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Isolated Lab and DMZ Security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Control experimental, testing, training, demonstration, and internet-facing lab environments so they do not create an uncontrolled path to production systems or sensitive data.</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labs, sandboxes, ranges, demonstration networks, proof-of-concept systems, honeypots, research environments, and DMZ segments operated by or for {{org.legal_name}}.</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Each environment shall have a named owner, approved purpose, data classification, network diagram, authorized users, lifecycle date, and documented boundary.</w:t>
      </w:r>
    </w:p>
    <w:p>
      <w:pPr>
        <w:keepNext w:val="0"/>
        <w:keepLines w:val="0"/>
        <w:numPr>
          <w:ilvl w:val="0"/>
          <w:numId w:val="10"/>
        </w:numPr>
        <w:spacing w:before="0" w:after="160" w:line="280" w:lineRule="auto"/>
      </w:pPr>
      <w:r>
        <w:rPr>
          <w:rFonts w:ascii="Calibri" w:hAnsi="Calibri" w:eastAsia="Calibri"/>
          <w:color w:val="000000"/>
          <w:sz w:val="22"/>
        </w:rPr>
        <w:t>Lab and DMZ networks shall be segmented from production and management networks using default-deny rules and only approved, documented flows.</w:t>
      </w:r>
    </w:p>
    <w:p>
      <w:pPr>
        <w:keepNext w:val="0"/>
        <w:keepLines w:val="0"/>
        <w:numPr>
          <w:ilvl w:val="0"/>
          <w:numId w:val="10"/>
        </w:numPr>
        <w:spacing w:before="0" w:after="160" w:line="280" w:lineRule="auto"/>
      </w:pPr>
      <w:r>
        <w:rPr>
          <w:rFonts w:ascii="Calibri" w:hAnsi="Calibri" w:eastAsia="Calibri"/>
          <w:color w:val="000000"/>
          <w:sz w:val="22"/>
        </w:rPr>
        <w:t>Production data, credentials, keys, certificates, and customer information shall not be used unless explicitly approved and protected to production-equivalent requirements.</w:t>
      </w:r>
    </w:p>
    <w:p>
      <w:pPr>
        <w:keepNext w:val="0"/>
        <w:keepLines w:val="0"/>
        <w:numPr>
          <w:ilvl w:val="0"/>
          <w:numId w:val="10"/>
        </w:numPr>
        <w:spacing w:before="0" w:after="160" w:line="280" w:lineRule="auto"/>
      </w:pPr>
      <w:r>
        <w:rPr>
          <w:rFonts w:ascii="Calibri" w:hAnsi="Calibri" w:eastAsia="Calibri"/>
          <w:color w:val="000000"/>
          <w:sz w:val="22"/>
        </w:rPr>
        <w:t>Internet exposure shall be minimized, scanned before release, monitored, and removed when no longer necessary.</w:t>
      </w:r>
    </w:p>
    <w:p>
      <w:pPr>
        <w:keepNext w:val="0"/>
        <w:keepLines w:val="0"/>
        <w:numPr>
          <w:ilvl w:val="0"/>
          <w:numId w:val="10"/>
        </w:numPr>
        <w:spacing w:before="0" w:after="160" w:line="280" w:lineRule="auto"/>
      </w:pPr>
      <w:r>
        <w:rPr>
          <w:rFonts w:ascii="Calibri" w:hAnsi="Calibri" w:eastAsia="Calibri"/>
          <w:color w:val="000000"/>
          <w:sz w:val="22"/>
        </w:rPr>
        <w:t>Administrative access shall use approved management paths, unique identities, strong authentication, and logging.</w:t>
      </w:r>
    </w:p>
    <w:p>
      <w:pPr>
        <w:keepNext w:val="0"/>
        <w:keepLines w:val="0"/>
        <w:numPr>
          <w:ilvl w:val="0"/>
          <w:numId w:val="10"/>
        </w:numPr>
        <w:spacing w:before="0" w:after="160" w:line="280" w:lineRule="auto"/>
      </w:pPr>
      <w:r>
        <w:rPr>
          <w:rFonts w:ascii="Calibri" w:hAnsi="Calibri" w:eastAsia="Calibri"/>
          <w:color w:val="000000"/>
          <w:sz w:val="22"/>
        </w:rPr>
        <w:t>Malware research or intentionally vulnerable systems require additional authorization, containment, egress controls, handling procedures, and monitoring.</w:t>
      </w:r>
    </w:p>
    <w:p>
      <w:pPr>
        <w:keepNext w:val="0"/>
        <w:keepLines w:val="0"/>
        <w:numPr>
          <w:ilvl w:val="0"/>
          <w:numId w:val="10"/>
        </w:numPr>
        <w:spacing w:before="0" w:after="160" w:line="280" w:lineRule="auto"/>
      </w:pPr>
      <w:r>
        <w:rPr>
          <w:rFonts w:ascii="Calibri" w:hAnsi="Calibri" w:eastAsia="Calibri"/>
          <w:color w:val="000000"/>
          <w:sz w:val="22"/>
        </w:rPr>
        <w:t>Owners shall review and decommission expired environments, remove access, sanitize data, revoke secrets, and update inventories.</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Environment authorization</w:t>
      </w:r>
    </w:p>
    <w:p>
      <w:pPr>
        <w:keepNext w:val="0"/>
        <w:keepLines w:val="0"/>
        <w:numPr>
          <w:ilvl w:val="0"/>
          <w:numId w:val="10"/>
        </w:numPr>
        <w:spacing w:before="0" w:after="160" w:line="280" w:lineRule="auto"/>
      </w:pPr>
      <w:r>
        <w:rPr>
          <w:rFonts w:ascii="Calibri" w:hAnsi="Calibri" w:eastAsia="Calibri"/>
          <w:color w:val="000000"/>
          <w:sz w:val="22"/>
        </w:rPr>
        <w:t>Network/data-flow diagram</w:t>
      </w:r>
    </w:p>
    <w:p>
      <w:pPr>
        <w:keepNext w:val="0"/>
        <w:keepLines w:val="0"/>
        <w:numPr>
          <w:ilvl w:val="0"/>
          <w:numId w:val="10"/>
        </w:numPr>
        <w:spacing w:before="0" w:after="160" w:line="280" w:lineRule="auto"/>
      </w:pPr>
      <w:r>
        <w:rPr>
          <w:rFonts w:ascii="Calibri" w:hAnsi="Calibri" w:eastAsia="Calibri"/>
          <w:color w:val="000000"/>
          <w:sz w:val="22"/>
        </w:rPr>
        <w:t>Firewall rule evidence</w:t>
      </w:r>
    </w:p>
    <w:p>
      <w:pPr>
        <w:keepNext w:val="0"/>
        <w:keepLines w:val="0"/>
        <w:numPr>
          <w:ilvl w:val="0"/>
          <w:numId w:val="10"/>
        </w:numPr>
        <w:spacing w:before="0" w:after="160" w:line="280" w:lineRule="auto"/>
      </w:pPr>
      <w:r>
        <w:rPr>
          <w:rFonts w:ascii="Calibri" w:hAnsi="Calibri" w:eastAsia="Calibri"/>
          <w:color w:val="000000"/>
          <w:sz w:val="22"/>
        </w:rPr>
        <w:t>User/access review</w:t>
      </w:r>
    </w:p>
    <w:p>
      <w:pPr>
        <w:keepNext w:val="0"/>
        <w:keepLines w:val="0"/>
        <w:numPr>
          <w:ilvl w:val="0"/>
          <w:numId w:val="10"/>
        </w:numPr>
        <w:spacing w:before="0" w:after="160" w:line="280" w:lineRule="auto"/>
      </w:pPr>
      <w:r>
        <w:rPr>
          <w:rFonts w:ascii="Calibri" w:hAnsi="Calibri" w:eastAsia="Calibri"/>
          <w:color w:val="000000"/>
          <w:sz w:val="22"/>
        </w:rPr>
        <w:t>Vulnerability scan</w:t>
      </w:r>
    </w:p>
    <w:p>
      <w:pPr>
        <w:keepNext w:val="0"/>
        <w:keepLines w:val="0"/>
        <w:numPr>
          <w:ilvl w:val="0"/>
          <w:numId w:val="10"/>
        </w:numPr>
        <w:spacing w:before="0" w:after="160" w:line="280" w:lineRule="auto"/>
      </w:pPr>
      <w:r>
        <w:rPr>
          <w:rFonts w:ascii="Calibri" w:hAnsi="Calibri" w:eastAsia="Calibri"/>
          <w:color w:val="000000"/>
          <w:sz w:val="22"/>
        </w:rPr>
        <w:t>Monitoring evidence</w:t>
      </w:r>
    </w:p>
    <w:p>
      <w:pPr>
        <w:keepNext w:val="0"/>
        <w:keepLines w:val="0"/>
        <w:numPr>
          <w:ilvl w:val="0"/>
          <w:numId w:val="10"/>
        </w:numPr>
        <w:spacing w:before="0" w:after="160" w:line="280" w:lineRule="auto"/>
      </w:pPr>
      <w:r>
        <w:rPr>
          <w:rFonts w:ascii="Calibri" w:hAnsi="Calibri" w:eastAsia="Calibri"/>
          <w:color w:val="000000"/>
          <w:sz w:val="22"/>
        </w:rPr>
        <w:t>Decommission record</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Labs with current authorization</w:t>
      </w:r>
    </w:p>
    <w:p>
      <w:pPr>
        <w:keepNext w:val="0"/>
        <w:keepLines w:val="0"/>
        <w:numPr>
          <w:ilvl w:val="0"/>
          <w:numId w:val="10"/>
        </w:numPr>
        <w:spacing w:before="0" w:after="160" w:line="280" w:lineRule="auto"/>
      </w:pPr>
      <w:r>
        <w:rPr>
          <w:rFonts w:ascii="Calibri" w:hAnsi="Calibri" w:eastAsia="Calibri"/>
          <w:color w:val="000000"/>
          <w:sz w:val="22"/>
        </w:rPr>
        <w:t>Expired environments</w:t>
      </w:r>
    </w:p>
    <w:p>
      <w:pPr>
        <w:keepNext w:val="0"/>
        <w:keepLines w:val="0"/>
        <w:numPr>
          <w:ilvl w:val="0"/>
          <w:numId w:val="10"/>
        </w:numPr>
        <w:spacing w:before="0" w:after="160" w:line="280" w:lineRule="auto"/>
      </w:pPr>
      <w:r>
        <w:rPr>
          <w:rFonts w:ascii="Calibri" w:hAnsi="Calibri" w:eastAsia="Calibri"/>
          <w:color w:val="000000"/>
          <w:sz w:val="22"/>
        </w:rPr>
        <w:t>Unapproved production data or routes</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SC.L2-3.13.1, SC.L2-3.13.5, SC.L2-3.13.6; AC.L2-3.1.3; CM.L2-3.4.6 and CM.L2-3.4.7.</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800-41 Rev. 1, Guidelines on Firewalls and Firewall Policy: https://doi.org/10.6028/NIST.SP.800-41r1</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Isolated Lab and DMZ Security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