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Email and Messaging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Protect organizational communications from unauthorized access, fraud, malware, data leakage, impersonation, and loss of required records.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email, chat, messaging, shared mailboxes, mailing lists, transactional mail, mobile clients, gateways, domains, and third-party services used for organizational communications.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Only approved communication services and organization-managed accounts may be used for official business involving nonpublic information.</w:t>
      </w:r>
    </w:p>
    <w:p>
      <w:pPr>
        <w:keepNext w:val="0"/>
        <w:keepLines w:val="0"/>
        <w:numPr>
          <w:ilvl w:val="0"/>
          <w:numId w:val="10"/>
        </w:numPr>
        <w:spacing w:before="0" w:after="160" w:line="280" w:lineRule="auto"/>
      </w:pPr>
      <w:r>
        <w:rPr>
          <w:rFonts w:ascii="Calibri" w:hAnsi="Calibri" w:eastAsia="Calibri"/>
          <w:color w:val="000000"/>
          <w:sz w:val="22"/>
        </w:rPr>
        <w:t>Multifactor authentication, anti-phishing and anti-malware protections, domain-authentication controls, secure transport, and risk-based access restrictions shall be enabled where supported.</w:t>
      </w:r>
    </w:p>
    <w:p>
      <w:pPr>
        <w:keepNext w:val="0"/>
        <w:keepLines w:val="0"/>
        <w:numPr>
          <w:ilvl w:val="0"/>
          <w:numId w:val="10"/>
        </w:numPr>
        <w:spacing w:before="0" w:after="160" w:line="280" w:lineRule="auto"/>
      </w:pPr>
      <w:r>
        <w:rPr>
          <w:rFonts w:ascii="Calibri" w:hAnsi="Calibri" w:eastAsia="Calibri"/>
          <w:color w:val="000000"/>
          <w:sz w:val="22"/>
        </w:rPr>
        <w:t>Users shall verify unusual requests for payment, credentials, sensitive data, or urgent action through an independent approved channel.</w:t>
      </w:r>
    </w:p>
    <w:p>
      <w:pPr>
        <w:keepNext w:val="0"/>
        <w:keepLines w:val="0"/>
        <w:numPr>
          <w:ilvl w:val="0"/>
          <w:numId w:val="10"/>
        </w:numPr>
        <w:spacing w:before="0" w:after="160" w:line="280" w:lineRule="auto"/>
      </w:pPr>
      <w:r>
        <w:rPr>
          <w:rFonts w:ascii="Calibri" w:hAnsi="Calibri" w:eastAsia="Calibri"/>
          <w:color w:val="000000"/>
          <w:sz w:val="22"/>
        </w:rPr>
        <w:t>Sensitive information shall be transmitted only to authorized recipients using approved protection appropriate to its classification; auto-complete and distribution lists shall be checked before sending.</w:t>
      </w:r>
    </w:p>
    <w:p>
      <w:pPr>
        <w:keepNext w:val="0"/>
        <w:keepLines w:val="0"/>
        <w:numPr>
          <w:ilvl w:val="0"/>
          <w:numId w:val="10"/>
        </w:numPr>
        <w:spacing w:before="0" w:after="160" w:line="280" w:lineRule="auto"/>
      </w:pPr>
      <w:r>
        <w:rPr>
          <w:rFonts w:ascii="Calibri" w:hAnsi="Calibri" w:eastAsia="Calibri"/>
          <w:color w:val="000000"/>
          <w:sz w:val="22"/>
        </w:rPr>
        <w:t>Suspicious messages, account prompts, unexpected rule changes, misdelivery, and suspected compromise shall be reported immediately using the designated mechanism.</w:t>
      </w:r>
    </w:p>
    <w:p>
      <w:pPr>
        <w:keepNext w:val="0"/>
        <w:keepLines w:val="0"/>
        <w:numPr>
          <w:ilvl w:val="0"/>
          <w:numId w:val="10"/>
        </w:numPr>
        <w:spacing w:before="0" w:after="160" w:line="280" w:lineRule="auto"/>
      </w:pPr>
      <w:r>
        <w:rPr>
          <w:rFonts w:ascii="Calibri" w:hAnsi="Calibri" w:eastAsia="Calibri"/>
          <w:color w:val="000000"/>
          <w:sz w:val="22"/>
        </w:rPr>
        <w:t>Administrators shall protect high-risk roles, external forwarding, application consent, delegated access, transport rules, connectors, and dormant mailboxes.</w:t>
      </w:r>
    </w:p>
    <w:p>
      <w:pPr>
        <w:keepNext w:val="0"/>
        <w:keepLines w:val="0"/>
        <w:numPr>
          <w:ilvl w:val="0"/>
          <w:numId w:val="10"/>
        </w:numPr>
        <w:spacing w:before="0" w:after="160" w:line="280" w:lineRule="auto"/>
      </w:pPr>
      <w:r>
        <w:rPr>
          <w:rFonts w:ascii="Calibri" w:hAnsi="Calibri" w:eastAsia="Calibri"/>
          <w:color w:val="000000"/>
          <w:sz w:val="22"/>
        </w:rPr>
        <w:t>Messages that are business records shall be retained and disposed of under the records-retention schedule and legal holds.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Messaging security configuration</w:t>
      </w:r>
    </w:p>
    <w:p>
      <w:pPr>
        <w:keepNext w:val="0"/>
        <w:keepLines w:val="0"/>
        <w:numPr>
          <w:ilvl w:val="0"/>
          <w:numId w:val="10"/>
        </w:numPr>
        <w:spacing w:before="0" w:after="160" w:line="280" w:lineRule="auto"/>
      </w:pPr>
      <w:r>
        <w:rPr>
          <w:rFonts w:ascii="Calibri" w:hAnsi="Calibri" w:eastAsia="Calibri"/>
          <w:color w:val="000000"/>
          <w:sz w:val="22"/>
        </w:rPr>
        <w:t>Domain authentication records</w:t>
      </w:r>
    </w:p>
    <w:p>
      <w:pPr>
        <w:keepNext w:val="0"/>
        <w:keepLines w:val="0"/>
        <w:numPr>
          <w:ilvl w:val="0"/>
          <w:numId w:val="10"/>
        </w:numPr>
        <w:spacing w:before="0" w:after="160" w:line="280" w:lineRule="auto"/>
      </w:pPr>
      <w:r>
        <w:rPr>
          <w:rFonts w:ascii="Calibri" w:hAnsi="Calibri" w:eastAsia="Calibri"/>
          <w:color w:val="000000"/>
          <w:sz w:val="22"/>
        </w:rPr>
        <w:t>High-risk mailbox review</w:t>
      </w:r>
    </w:p>
    <w:p>
      <w:pPr>
        <w:keepNext w:val="0"/>
        <w:keepLines w:val="0"/>
        <w:numPr>
          <w:ilvl w:val="0"/>
          <w:numId w:val="10"/>
        </w:numPr>
        <w:spacing w:before="0" w:after="160" w:line="280" w:lineRule="auto"/>
      </w:pPr>
      <w:r>
        <w:rPr>
          <w:rFonts w:ascii="Calibri" w:hAnsi="Calibri" w:eastAsia="Calibri"/>
          <w:color w:val="000000"/>
          <w:sz w:val="22"/>
        </w:rPr>
        <w:t>Phishing reports and response tickets</w:t>
      </w:r>
    </w:p>
    <w:p>
      <w:pPr>
        <w:keepNext w:val="0"/>
        <w:keepLines w:val="0"/>
        <w:numPr>
          <w:ilvl w:val="0"/>
          <w:numId w:val="10"/>
        </w:numPr>
        <w:spacing w:before="0" w:after="160" w:line="280" w:lineRule="auto"/>
      </w:pPr>
      <w:r>
        <w:rPr>
          <w:rFonts w:ascii="Calibri" w:hAnsi="Calibri" w:eastAsia="Calibri"/>
          <w:color w:val="000000"/>
          <w:sz w:val="22"/>
        </w:rPr>
        <w:t>Secure-message evidence</w:t>
      </w:r>
    </w:p>
    <w:p>
      <w:pPr>
        <w:keepNext w:val="0"/>
        <w:keepLines w:val="0"/>
        <w:numPr>
          <w:ilvl w:val="0"/>
          <w:numId w:val="10"/>
        </w:numPr>
        <w:spacing w:before="0" w:after="160" w:line="280" w:lineRule="auto"/>
      </w:pPr>
      <w:r>
        <w:rPr>
          <w:rFonts w:ascii="Calibri" w:hAnsi="Calibri" w:eastAsia="Calibri"/>
          <w:color w:val="000000"/>
          <w:sz w:val="22"/>
        </w:rPr>
        <w:t>Retention/hold configuration</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Domain-authentication alignment</w:t>
      </w:r>
    </w:p>
    <w:p>
      <w:pPr>
        <w:keepNext w:val="0"/>
        <w:keepLines w:val="0"/>
        <w:numPr>
          <w:ilvl w:val="0"/>
          <w:numId w:val="10"/>
        </w:numPr>
        <w:spacing w:before="0" w:after="160" w:line="280" w:lineRule="auto"/>
      </w:pPr>
      <w:r>
        <w:rPr>
          <w:rFonts w:ascii="Calibri" w:hAnsi="Calibri" w:eastAsia="Calibri"/>
          <w:color w:val="000000"/>
          <w:sz w:val="22"/>
        </w:rPr>
        <w:t>Phishing report rate and response time</w:t>
      </w:r>
    </w:p>
    <w:p>
      <w:pPr>
        <w:keepNext w:val="0"/>
        <w:keepLines w:val="0"/>
        <w:numPr>
          <w:ilvl w:val="0"/>
          <w:numId w:val="10"/>
        </w:numPr>
        <w:spacing w:before="0" w:after="160" w:line="280" w:lineRule="auto"/>
      </w:pPr>
      <w:r>
        <w:rPr>
          <w:rFonts w:ascii="Calibri" w:hAnsi="Calibri" w:eastAsia="Calibri"/>
          <w:color w:val="000000"/>
          <w:sz w:val="22"/>
        </w:rPr>
        <w:t>Compromised mailbox incidents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AC.L1-3.1.20; SI.L1-3.14.2, SI.L1-3.14.4, SI.L1-3.14.5; SC.L2-3.13.8; supports AT.L2-3.2.1.</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800-177 Rev. 1, Trustworthy Email: https://doi.org/10.6028/NIST.SP.800-177r1</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and Messaging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