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left"/>
        <w:tblLayout w:type="fixed"/>
        <w:tblLook w:firstColumn="1" w:firstRow="1" w:lastColumn="0" w:lastRow="0" w:noHBand="0" w:noVBand="1" w:val="04A0"/>
        <w:tblInd w:w="0" w:type="dxa"/>
      </w:tblPr>
      <w:tblGrid>
        <w:gridCol w:w="6480"/>
        <w:gridCol w:w="2880"/>
      </w:tblGrid>
      <w:tr>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b/>
                <w:color w:val="0B2545"/>
                <w:sz w:val="24"/>
              </w:rPr>
              <w:t>{{org.legal_name}}</w:t>
            </w:r>
          </w:p>
        </w:tc>
        <w:tc>
          <w:tcPr>
            <w:tcW w:type="dxa" w:w="2880"/>
            <w:vAlign w:val="center"/>
            <w:tcMar>
              <w:top w:w="80" w:type="dxa"/>
              <w:start w:w="120" w:type="dxa"/>
              <w:bottom w:w="80" w:type="dxa"/>
              <w:end w:w="120" w:type="dxa"/>
            </w:tcMar>
            <w:shd w:fill="F2F4F7" w:val="clear"/>
          </w:tcPr>
          <w:p>
            <w:pPr>
              <w:keepNext w:val="0"/>
              <w:keepLines w:val="0"/>
              <w:spacing w:before="0" w:after="0" w:line="240" w:lineRule="auto"/>
              <w:jc w:val="center"/>
            </w:pPr>
            <w:r>
              <w:rPr>
                <w:rFonts w:ascii="Calibri" w:hAnsi="Calibri" w:eastAsia="Calibri"/>
                <w:b/>
                <w:color w:val="59636E"/>
                <w:sz w:val="18"/>
              </w:rPr>
              <w:t>{{org.logo}}</w:t>
            </w:r>
          </w:p>
        </w:tc>
      </w:tr>
    </w:tbl>
    <w:p>
      <w:pPr>
        <w:keepNext w:val="0"/>
        <w:keepLines w:val="0"/>
        <w:spacing w:before="240" w:after="60" w:line="240" w:lineRule="auto"/>
      </w:pPr>
      <w:r>
        <w:rPr>
          <w:rFonts w:ascii="Calibri" w:hAnsi="Calibri" w:eastAsia="Calibri"/>
          <w:b/>
          <w:color w:val="2E74B5"/>
          <w:sz w:val="18"/>
        </w:rPr>
        <w:t>POLICY</w:t>
      </w:r>
    </w:p>
    <w:p>
      <w:pPr>
        <w:keepNext/>
        <w:keepLines w:val="0"/>
        <w:spacing w:before="0" w:after="100" w:line="240" w:lineRule="auto"/>
      </w:pPr>
      <w:r>
        <w:rPr>
          <w:rFonts w:ascii="Calibri" w:hAnsi="Calibri" w:eastAsia="Calibri"/>
          <w:b/>
          <w:color w:val="0B2545"/>
          <w:sz w:val="46"/>
        </w:rPr>
        <w:t>Electronic Messaging Retention Policy</w:t>
      </w:r>
    </w:p>
    <w:p>
      <w:pPr>
        <w:keepNext w:val="0"/>
        <w:keepLines w:val="0"/>
        <w:spacing w:before="0" w:after="280" w:line="240" w:lineRule="auto"/>
      </w:pPr>
      <w:r>
        <w:rPr>
          <w:rFonts w:ascii="Calibri" w:hAnsi="Calibri" w:eastAsia="Calibri"/>
          <w:i/>
          <w:color w:val="59636E"/>
          <w:sz w:val="20"/>
        </w:rPr>
        <w:t>{{doc.title}} — {{doc.template_key}} v{{doc.version}}</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440"/>
        <w:gridCol w:w="3240"/>
        <w:gridCol w:w="1440"/>
        <w:gridCol w:w="3240"/>
      </w:tblGrid>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Document ID</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{{doc.document_id}}</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Version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Policy Owner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{{doc.owner_name}}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Approver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Effective Date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{{doc.effective_date}}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Next Review</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{{doc.next_review_date}}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Classification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{{doc.classification}}</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Cycle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{{doc.review_cycle}}</w:t>
            </w:r>
          </w:p>
        </w:tc>
      </w:tr>
    </w:tbl>
    <w:p>
      <w:pPr>
        <w:pStyle w:val="Heading1"/>
        <w:keepNext/>
      </w:pPr>
      <w:r>
        <w:t>1. Purpose</w:t>
      </w:r>
    </w:p>
    <w:p>
      <w:pPr>
        <w:keepNext w:val="0"/>
        <w:keepLines w:val="0"/>
        <w:spacing w:before="0" w:after="120" w:line="264" w:lineRule="auto"/>
      </w:pPr>
      <w:r>
        <w:rPr>
          <w:rFonts w:ascii="Calibri" w:hAnsi="Calibri" w:eastAsia="Calibri"/>
          <w:color w:val="000000"/>
          <w:sz w:val="22"/>
        </w:rPr>
        <w:t>Retain and dispose of email and messaging records consistently with business, legal, regulatory, contractual, privacy, and security requirements.</w:t>
      </w:r>
    </w:p>
    <w:p>
      <w:pPr>
        <w:pStyle w:val="Heading1"/>
        <w:keepNext/>
      </w:pPr>
      <w:r>
        <w:t>2. Scope and Applicability</w:t>
      </w:r>
    </w:p>
    <w:p>
      <w:pPr>
        <w:keepNext w:val="0"/>
        <w:keepLines w:val="0"/>
        <w:spacing w:before="0" w:after="120" w:line="264" w:lineRule="auto"/>
      </w:pPr>
      <w:r>
        <w:rPr>
          <w:rFonts w:ascii="Calibri" w:hAnsi="Calibri" w:eastAsia="Calibri"/>
          <w:color w:val="000000"/>
          <w:sz w:val="22"/>
        </w:rPr>
        <w:t>Applies to organizational email, chat, shared mailboxes, collaboration messages, journaling, archives, backups used for recovery, and messages held by service providers.</w:t>
      </w:r>
    </w:p>
    <w:p>
      <w:pPr>
        <w:pStyle w:val="Heading1"/>
        <w:keepNext/>
      </w:pPr>
      <w:r>
        <w:t>3. Policy Requirements</w:t>
      </w:r>
    </w:p>
    <w:p>
      <w:pPr>
        <w:keepNext w:val="0"/>
        <w:keepLines w:val="0"/>
        <w:numPr>
          <w:ilvl w:val="0"/>
          <w:numId w:val="10"/>
        </w:numPr>
        <w:spacing w:before="0" w:after="160" w:line="280" w:lineRule="auto"/>
      </w:pPr>
      <w:r>
        <w:rPr>
          <w:rFonts w:ascii="Calibri" w:hAnsi="Calibri" w:eastAsia="Calibri"/>
          <w:color w:val="000000"/>
          <w:sz w:val="22"/>
        </w:rPr>
        <w:t>Records Management and Legal shall approve a retention schedule by record category; technology settings shall implement the approved periods where feasible.</w:t>
      </w:r>
    </w:p>
    <w:p>
      <w:pPr>
        <w:keepNext w:val="0"/>
        <w:keepLines w:val="0"/>
        <w:numPr>
          <w:ilvl w:val="0"/>
          <w:numId w:val="10"/>
        </w:numPr>
        <w:spacing w:before="0" w:after="160" w:line="280" w:lineRule="auto"/>
      </w:pPr>
      <w:r>
        <w:rPr>
          <w:rFonts w:ascii="Calibri" w:hAnsi="Calibri" w:eastAsia="Calibri"/>
          <w:color w:val="000000"/>
          <w:sz w:val="22"/>
        </w:rPr>
        <w:t>Users shall classify or file business records as required and shall not use deletion, personal accounts, exports, or alternate tools to evade retention or legal hold.</w:t>
      </w:r>
    </w:p>
    <w:p>
      <w:pPr>
        <w:keepNext w:val="0"/>
        <w:keepLines w:val="0"/>
        <w:numPr>
          <w:ilvl w:val="0"/>
          <w:numId w:val="10"/>
        </w:numPr>
        <w:spacing w:before="0" w:after="160" w:line="280" w:lineRule="auto"/>
      </w:pPr>
      <w:r>
        <w:rPr>
          <w:rFonts w:ascii="Calibri" w:hAnsi="Calibri" w:eastAsia="Calibri"/>
          <w:color w:val="000000"/>
          <w:sz w:val="22"/>
        </w:rPr>
        <w:t>Legal holds shall suspend ordinary disposition for relevant custodians, topics, systems, and date ranges until formally released.</w:t>
      </w:r>
    </w:p>
    <w:p>
      <w:pPr>
        <w:keepNext w:val="0"/>
        <w:keepLines w:val="0"/>
        <w:numPr>
          <w:ilvl w:val="0"/>
          <w:numId w:val="10"/>
        </w:numPr>
        <w:spacing w:before="0" w:after="160" w:line="280" w:lineRule="auto"/>
      </w:pPr>
      <w:r>
        <w:rPr>
          <w:rFonts w:ascii="Calibri" w:hAnsi="Calibri" w:eastAsia="Calibri"/>
          <w:color w:val="000000"/>
          <w:sz w:val="22"/>
        </w:rPr>
        <w:t>Retention shall be no longer than necessary unless law, contract, litigation, investigation, or approved business need requires otherwise.</w:t>
      </w:r>
    </w:p>
    <w:p>
      <w:pPr>
        <w:keepNext w:val="0"/>
        <w:keepLines w:val="0"/>
        <w:numPr>
          <w:ilvl w:val="0"/>
          <w:numId w:val="10"/>
        </w:numPr>
        <w:spacing w:before="0" w:after="160" w:line="280" w:lineRule="auto"/>
      </w:pPr>
      <w:r>
        <w:rPr>
          <w:rFonts w:ascii="Calibri" w:hAnsi="Calibri" w:eastAsia="Calibri"/>
          <w:color w:val="000000"/>
          <w:sz w:val="22"/>
        </w:rPr>
        <w:t>Backups are for recovery and do not replace an approved records archive unless specifically designed and governed for that purpose.</w:t>
      </w:r>
    </w:p>
    <w:p>
      <w:pPr>
        <w:keepNext w:val="0"/>
        <w:keepLines w:val="0"/>
        <w:numPr>
          <w:ilvl w:val="0"/>
          <w:numId w:val="10"/>
        </w:numPr>
        <w:spacing w:before="0" w:after="160" w:line="280" w:lineRule="auto"/>
      </w:pPr>
      <w:r>
        <w:rPr>
          <w:rFonts w:ascii="Calibri" w:hAnsi="Calibri" w:eastAsia="Calibri"/>
          <w:color w:val="000000"/>
          <w:sz w:val="22"/>
        </w:rPr>
        <w:t>Departing-user mailboxes and delegated accounts shall be reviewed, transferred, retained, or deleted through documented offboarding procedures.</w:t>
      </w:r>
    </w:p>
    <w:p>
      <w:pPr>
        <w:keepNext w:val="0"/>
        <w:keepLines w:val="0"/>
        <w:numPr>
          <w:ilvl w:val="0"/>
          <w:numId w:val="10"/>
        </w:numPr>
        <w:spacing w:before="0" w:after="160" w:line="280" w:lineRule="auto"/>
      </w:pPr>
      <w:r>
        <w:rPr>
          <w:rFonts w:ascii="Calibri" w:hAnsi="Calibri" w:eastAsia="Calibri"/>
          <w:color w:val="000000"/>
          <w:sz w:val="22"/>
        </w:rPr>
        <w:t>Disposition shall be authorized, repeatable, logged, and capable of demonstrating what rule was applied and when.</w:t>
      </w:r>
    </w:p>
    <w:p>
      <w:pPr>
        <w:pStyle w:val="Heading1"/>
        <w:keepNext/>
      </w:pPr>
      <w:r>
        <w:t>4. Roles and Responsibilities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Role</w:t>
            </w:r>
          </w:p>
        </w:tc>
        <w:tc>
          <w:tcPr>
            <w:tcW w:type="dxa" w:w="66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Responsibilities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Records Management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Own record categories, schedules, and disposition rules.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Legal</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Issue and release legal holds and advise on obligations.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Messaging Administrators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Configure, test, monitor, and evidence retention controls.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Users and Managers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Identify business records and comply with holds and filing requirements.</w:t>
            </w:r>
          </w:p>
        </w:tc>
      </w:tr>
    </w:tbl>
    <w:p>
      <w:pPr>
        <w:pStyle w:val="Heading1"/>
        <w:keepNext/>
      </w:pPr>
      <w:r>
        <w:t>5. Required Procedures, Evidence, and Records</w:t>
      </w:r>
    </w:p>
    <w:p>
      <w:pPr>
        <w:keepNext w:val="0"/>
        <w:keepLines w:val="0"/>
        <w:spacing w:before="0" w:after="120" w:line="264" w:lineRule="auto"/>
      </w:pPr>
      <w:r>
        <w:rPr>
          <w:rFonts w:ascii="Calibri" w:hAnsi="Calibri" w:eastAsia="Calibri"/>
          <w:color w:val="000000"/>
          <w:sz w:val="22"/>
        </w:rPr>
        <w:t>The policy owner shall ensure the following artifacts are created, retained, protected, and made available to authorized reviewers for the period defined by {{implementation.retention_period}}:</w:t>
      </w:r>
    </w:p>
    <w:p>
      <w:pPr>
        <w:keepNext w:val="0"/>
        <w:keepLines w:val="0"/>
        <w:numPr>
          <w:ilvl w:val="0"/>
          <w:numId w:val="10"/>
        </w:numPr>
        <w:spacing w:before="0" w:after="160" w:line="280" w:lineRule="auto"/>
      </w:pPr>
      <w:r>
        <w:rPr>
          <w:rFonts w:ascii="Calibri" w:hAnsi="Calibri" w:eastAsia="Calibri"/>
          <w:color w:val="000000"/>
          <w:sz w:val="22"/>
        </w:rPr>
        <w:t>Approved retention schedule</w:t>
      </w:r>
    </w:p>
    <w:p>
      <w:pPr>
        <w:keepNext w:val="0"/>
        <w:keepLines w:val="0"/>
        <w:numPr>
          <w:ilvl w:val="0"/>
          <w:numId w:val="10"/>
        </w:numPr>
        <w:spacing w:before="0" w:after="160" w:line="280" w:lineRule="auto"/>
      </w:pPr>
      <w:r>
        <w:rPr>
          <w:rFonts w:ascii="Calibri" w:hAnsi="Calibri" w:eastAsia="Calibri"/>
          <w:color w:val="000000"/>
          <w:sz w:val="22"/>
        </w:rPr>
        <w:t>Retention configuration export</w:t>
      </w:r>
    </w:p>
    <w:p>
      <w:pPr>
        <w:keepNext w:val="0"/>
        <w:keepLines w:val="0"/>
        <w:numPr>
          <w:ilvl w:val="0"/>
          <w:numId w:val="10"/>
        </w:numPr>
        <w:spacing w:before="0" w:after="160" w:line="280" w:lineRule="auto"/>
      </w:pPr>
      <w:r>
        <w:rPr>
          <w:rFonts w:ascii="Calibri" w:hAnsi="Calibri" w:eastAsia="Calibri"/>
          <w:color w:val="000000"/>
          <w:sz w:val="22"/>
        </w:rPr>
        <w:t>Legal-hold notices and acknowledgments</w:t>
      </w:r>
    </w:p>
    <w:p>
      <w:pPr>
        <w:keepNext w:val="0"/>
        <w:keepLines w:val="0"/>
        <w:numPr>
          <w:ilvl w:val="0"/>
          <w:numId w:val="10"/>
        </w:numPr>
        <w:spacing w:before="0" w:after="160" w:line="280" w:lineRule="auto"/>
      </w:pPr>
      <w:r>
        <w:rPr>
          <w:rFonts w:ascii="Calibri" w:hAnsi="Calibri" w:eastAsia="Calibri"/>
          <w:color w:val="000000"/>
          <w:sz w:val="22"/>
        </w:rPr>
        <w:t>Disposition logs</w:t>
      </w:r>
    </w:p>
    <w:p>
      <w:pPr>
        <w:keepNext w:val="0"/>
        <w:keepLines w:val="0"/>
        <w:numPr>
          <w:ilvl w:val="0"/>
          <w:numId w:val="10"/>
        </w:numPr>
        <w:spacing w:before="0" w:after="160" w:line="280" w:lineRule="auto"/>
      </w:pPr>
      <w:r>
        <w:rPr>
          <w:rFonts w:ascii="Calibri" w:hAnsi="Calibri" w:eastAsia="Calibri"/>
          <w:color w:val="000000"/>
          <w:sz w:val="22"/>
        </w:rPr>
        <w:t>Departing-user mailbox record</w:t>
      </w:r>
    </w:p>
    <w:p>
      <w:pPr>
        <w:keepNext w:val="0"/>
        <w:keepLines w:val="0"/>
        <w:numPr>
          <w:ilvl w:val="0"/>
          <w:numId w:val="10"/>
        </w:numPr>
        <w:spacing w:before="0" w:after="160" w:line="280" w:lineRule="auto"/>
      </w:pPr>
      <w:r>
        <w:rPr>
          <w:rFonts w:ascii="Calibri" w:hAnsi="Calibri" w:eastAsia="Calibri"/>
          <w:color w:val="000000"/>
          <w:sz w:val="22"/>
        </w:rPr>
        <w:t>Periodic configuration-to-schedule comparison</w:t>
      </w:r>
    </w:p>
    <w:p>
      <w:pPr>
        <w:pStyle w:val="Heading1"/>
        <w:keepNext/>
      </w:pPr>
      <w:r>
        <w:t>6. Monitoring and Review</w:t>
      </w:r>
    </w:p>
    <w:p>
      <w:pPr>
        <w:keepNext w:val="0"/>
        <w:keepLines w:val="0"/>
        <w:spacing w:before="0" w:after="120" w:line="264" w:lineRule="auto"/>
      </w:pPr>
      <w:r>
        <w:rPr>
          <w:rFonts w:ascii="Calibri" w:hAnsi="Calibri" w:eastAsia="Calibri"/>
          <w:color w:val="000000"/>
          <w:sz w:val="22"/>
        </w:rPr>
        <w:t>At minimum, the policy owner shall review the following indicators at {{implementation.defined_frequency}} and escalate material deficiencies:</w:t>
      </w:r>
    </w:p>
    <w:p>
      <w:pPr>
        <w:keepNext w:val="0"/>
        <w:keepLines w:val="0"/>
        <w:numPr>
          <w:ilvl w:val="0"/>
          <w:numId w:val="10"/>
        </w:numPr>
        <w:spacing w:before="0" w:after="160" w:line="280" w:lineRule="auto"/>
      </w:pPr>
      <w:r>
        <w:rPr>
          <w:rFonts w:ascii="Calibri" w:hAnsi="Calibri" w:eastAsia="Calibri"/>
          <w:color w:val="000000"/>
          <w:sz w:val="22"/>
        </w:rPr>
        <w:t>Retention settings matching schedule</w:t>
      </w:r>
    </w:p>
    <w:p>
      <w:pPr>
        <w:keepNext w:val="0"/>
        <w:keepLines w:val="0"/>
        <w:numPr>
          <w:ilvl w:val="0"/>
          <w:numId w:val="10"/>
        </w:numPr>
        <w:spacing w:before="0" w:after="160" w:line="280" w:lineRule="auto"/>
      </w:pPr>
      <w:r>
        <w:rPr>
          <w:rFonts w:ascii="Calibri" w:hAnsi="Calibri" w:eastAsia="Calibri"/>
          <w:color w:val="000000"/>
          <w:sz w:val="22"/>
        </w:rPr>
        <w:t>Legal-hold acknowledgment completion</w:t>
      </w:r>
    </w:p>
    <w:p>
      <w:pPr>
        <w:keepNext w:val="0"/>
        <w:keepLines w:val="0"/>
        <w:numPr>
          <w:ilvl w:val="0"/>
          <w:numId w:val="10"/>
        </w:numPr>
        <w:spacing w:before="0" w:after="160" w:line="280" w:lineRule="auto"/>
      </w:pPr>
      <w:r>
        <w:rPr>
          <w:rFonts w:ascii="Calibri" w:hAnsi="Calibri" w:eastAsia="Calibri"/>
          <w:color w:val="000000"/>
          <w:sz w:val="22"/>
        </w:rPr>
        <w:t>Disposition jobs completed and logged</w:t>
      </w:r>
    </w:p>
    <w:p>
      <w:pPr>
        <w:keepNext w:val="0"/>
        <w:keepLines w:val="0"/>
        <w:spacing w:before="0" w:after="120" w:line="264" w:lineRule="auto"/>
      </w:pPr>
      <w:r>
        <w:rPr>
          <w:rFonts w:ascii="Calibri" w:hAnsi="Calibri" w:eastAsia="Calibri"/>
          <w:color w:val="000000"/>
          <w:sz w:val="22"/>
        </w:rPr>
        <w:t>This document shall be reviewed at least annually and after a material incident, legal or contractual change, control failure, technology change, or significant change to the system boundary or operating model.</w:t>
      </w:r>
    </w:p>
    <w:p>
      <w:pPr>
        <w:pStyle w:val="Heading1"/>
        <w:keepNext/>
      </w:pPr>
      <w:r>
        <w:t>7. Exceptions</w:t>
      </w:r>
    </w:p>
    <w:p>
      <w:pPr>
        <w:keepNext w:val="0"/>
        <w:keepLines w:val="0"/>
        <w:spacing w:before="0" w:after="120" w:line="264" w:lineRule="auto"/>
      </w:pPr>
      <w:r>
        <w:rPr>
          <w:rFonts w:ascii="Calibri" w:hAnsi="Calibri" w:eastAsia="Calibri"/>
          <w:color w:val="000000"/>
          <w:sz w:val="22"/>
        </w:rPr>
        <w:t>Exceptions require a written request identifying the affected scope, business need, risk, compensating safeguards, accountable owner, approval authority, start date, expiration date, and review cadence. Exceptions shall be tracked to expiration and do not transfer responsibility for applicable legal, contractual, or CMMC requirements.</w:t>
      </w:r>
    </w:p>
    <w:p>
      <w:pPr>
        <w:pStyle w:val="Heading1"/>
        <w:keepNext/>
      </w:pPr>
      <w:r>
        <w:t>8. Compliance and Enforcement</w:t>
      </w:r>
    </w:p>
    <w:p>
      <w:pPr>
        <w:keepNext w:val="0"/>
        <w:keepLines w:val="0"/>
        <w:spacing w:before="0" w:after="120" w:line="264" w:lineRule="auto"/>
      </w:pPr>
      <w:r>
        <w:rPr>
          <w:rFonts w:ascii="Calibri" w:hAnsi="Calibri" w:eastAsia="Calibri"/>
          <w:color w:val="000000"/>
          <w:sz w:val="22"/>
        </w:rPr>
        <w:t>Failure to comply may result in access restriction, corrective action, contract remedies, or disciplinary action consistent with law and organizational policy. Suspected violations shall be reported through {{implementation.reporting_channel}}. Compliance does not by itself establish certification; effectiveness must be demonstrated through implementation and evidence.</w:t>
      </w:r>
    </w:p>
    <w:p>
      <w:pPr>
        <w:pStyle w:val="Heading1"/>
        <w:keepNext/>
      </w:pPr>
      <w:r>
        <w:t>9. Organization Implementation Parameters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880"/>
        <w:gridCol w:w="6480"/>
      </w:tblGrid>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In-Scope Systems / Processes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{{scope.summary}} Boundary: {{scope.boundary}}. Included locations: {{scope.included_locations}}. Excluded locations: {{scope.excluded_locations}}. Systems: {{scope.systems}}. Data flow: {{scope.data_flow}}.</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Responsible Team</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{{implementation.responsible_team}}</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Required Procedures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{{implementation.procedure_location}}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Technology / Control Location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{{implementation.control_location}}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Evidence Repository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{{implementation.repository}}</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and Test Frequency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{{implementation.review_trigger}}</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Reporting Channel</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{{implementation.reporting_channel}}</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Records Retention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{{implementation.retention_period}}</w:t>
            </w:r>
          </w:p>
        </w:tc>
      </w:tr>
    </w:tbl>
    <w:p>
      <w:r>
        <w:br w:type="page"/>
      </w:r>
    </w:p>
    <w:p>
      <w:pPr>
        <w:pStyle w:val="Heading1"/>
        <w:keepNext/>
      </w:pPr>
      <w:r>
        <w:t>10. Control Alignment and Tailoring</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Suggested control alignment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CMMC: AU.L2-3.3.1 and AU.L2-3.3.2 for audit records; broader message retention is driven by legal and business requirements.</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Applicability decision</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Applicable unless the documented system scope and operating model support a formally approved Not Applicable determination.</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Tailoring requirement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The policy owner shall define organization-selected values, map system-specific procedures and evidence, and obtain approval before publication.</w:t>
            </w:r>
          </w:p>
        </w:tc>
      </w:tr>
    </w:tbl>
    <w:p>
      <w:pPr>
        <w:pStyle w:val="Heading1"/>
        <w:keepNext/>
      </w:pPr>
      <w:r>
        <w:t>11. References</w:t>
      </w:r>
    </w:p>
    <w:p>
      <w:pPr>
        <w:keepNext w:val="0"/>
        <w:keepLines w:val="0"/>
        <w:numPr>
          <w:ilvl w:val="0"/>
          <w:numId w:val="10"/>
        </w:numPr>
        <w:spacing w:before="0" w:after="160" w:line="280" w:lineRule="auto"/>
      </w:pPr>
      <w:r>
        <w:rPr>
          <w:rFonts w:ascii="Calibri" w:hAnsi="Calibri" w:eastAsia="Calibri"/>
          <w:color w:val="000000"/>
          <w:sz w:val="22"/>
        </w:rPr>
        <w:t>NIST SP 800-53 Rev. 5, Security and Privacy Controls: https://doi.org/10.6028/NIST.SP.800-53r5</w:t>
      </w:r>
    </w:p>
    <w:p>
      <w:pPr>
        <w:keepNext w:val="0"/>
        <w:keepLines w:val="0"/>
        <w:numPr>
          <w:ilvl w:val="0"/>
          <w:numId w:val="10"/>
        </w:numPr>
        <w:spacing w:before="0" w:after="160" w:line="280" w:lineRule="auto"/>
      </w:pPr>
      <w:r>
        <w:rPr>
          <w:rFonts w:ascii="Calibri" w:hAnsi="Calibri" w:eastAsia="Calibri"/>
          <w:color w:val="000000"/>
          <w:sz w:val="22"/>
        </w:rPr>
        <w:t>NIST Cybersecurity Framework (CSF) 2.0: https://doi.org/10.6028/NIST.CSWP.29</w:t>
      </w:r>
    </w:p>
    <w:p>
      <w:pPr>
        <w:pStyle w:val="Heading1"/>
        <w:keepNext/>
      </w:pPr>
      <w:r>
        <w:t>12. Revision History</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260"/>
        <w:gridCol w:w="1800"/>
        <w:gridCol w:w="4500"/>
        <w:gridCol w:w="1800"/>
      </w:tblGrid>
      <w:tr>
        <w:tc>
          <w:tcPr>
            <w:tcW w:type="dxa" w:w="12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Version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c>
          <w:tcPr>
            <w:tcW w:type="dxa" w:w="45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Description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Author / Approver</w:t>
            </w:r>
          </w:p>
        </w:tc>
      </w:tr>
      <w:tr>
        <w:tc>
          <w:tcPr>
            <w:tcW w:type="dxa" w:w="12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{{revision.date}}</w:t>
            </w:r>
          </w:p>
        </w:tc>
        <w:tc>
          <w:tcPr>
            <w:tcW w:type="dxa" w:w="45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Initial approved issue / {{revision.summary}}</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{{revision.author}}</w:t>
            </w:r>
          </w:p>
        </w:tc>
      </w:tr>
    </w:tbl>
    <w:p>
      <w:pPr>
        <w:pStyle w:val="Heading1"/>
        <w:keepNext/>
      </w:pPr>
      <w:r>
        <w:t>13. Approval</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3960"/>
        <w:gridCol w:w="3000"/>
        <w:gridCol w:w="2400"/>
      </w:tblGrid>
      <w:tr>
        <w:tc>
          <w:tcPr>
            <w:tcW w:type="dxa" w:w="39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Name and Title</w:t>
            </w:r>
          </w:p>
        </w:tc>
        <w:tc>
          <w:tcPr>
            <w:tcW w:type="dxa" w:w="30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Signature / Approval Record</w:t>
            </w:r>
          </w:p>
        </w:tc>
        <w:tc>
          <w:tcPr>
            <w:tcW w:type="dxa" w:w="24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r>
      <w:tr>
        <w:tc>
          <w:tcPr>
            <w:tcW w:type="dxa" w:w="39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c>
          <w:tcPr>
            <w:tcW w:type="dxa" w:w="30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{{approval.record_id}}</w:t>
            </w:r>
          </w:p>
        </w:tc>
        <w:tc>
          <w:tcPr>
            <w:tcW w:type="dxa" w:w="24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{{approval.date}}</w:t>
            </w:r>
          </w:p>
        </w:tc>
      </w:tr>
    </w:tbl>
    <w:p>
      <w:pPr>
        <w:pStyle w:val="Heading1"/>
        <w:keepNext/>
      </w:pPr>
      <w:r>
        <w:t>14. Publication Checklist</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9360"/>
      </w:tblGrid>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All organization-selected values have been completed and verified.</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The owner, approver, effective date, review date, classification, and version are correct.</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Scope and any Not Applicable decision match the current SSP and assessment boundary.</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Required procedures, configurations, operational tests, and evidence locations have been validated.</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Approval is recorded and the controlled version is ready for publication and workforce communication.</w:t>
            </w:r>
          </w:p>
        </w:tc>
      </w:tr>
    </w:tbl>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jc w:val="center"/>
    </w:pPr>
    <w:r>
      <w:rPr>
        <w:rFonts w:ascii="Calibri" w:hAnsi="Calibri" w:eastAsia="Calibri"/>
        <w:color w:val="59636E"/>
        <w:sz w:val="17"/>
      </w:rPr>
      <w:t xml:space="preserve">{{org.legal_name}}  |  {{doc.document_id}}  |  Version {{doc.version}}  |  Page 1 of 1</w:t>
    </w:r>
    <w:r>
      <w:rPr>
        <w:rFonts w:ascii="Calibri" w:hAnsi="Calibri" w:eastAsia="Calibri"/>
        <w:color w:val="59636E"/>
        <w:sz w:val="17"/>
      </w:rPr>
      <w:fldChar w:fldCharType="begin"/>
      <w:instrText xml:space="preserve"> PAGE </w:instrText>
      <w:fldChar w:fldCharType="separate"/>
      <w:t xml:space="preserve"/>
      <w:fldChar w:fldCharType="end"/>
    </w:r>
    <w:r>
      <w:rPr>
        <w:rFonts w:ascii="Calibri" w:hAnsi="Calibri" w:eastAsia="Calibri"/>
        <w:color w:val="59636E"/>
        <w:sz w:val="17"/>
      </w:rPr>
      <w:t xml:space="preserve"/>
    </w:r>
    <w:r>
      <w:rPr>
        <w:rFonts w:ascii="Calibri" w:hAnsi="Calibri" w:eastAsia="Calibri"/>
        <w:color w:val="59636E"/>
        <w:sz w:val="17"/>
      </w:rPr>
      <w:fldChar w:fldCharType="begin"/>
      <w:instrText xml:space="preserve"> NUMPAGES </w:instrText>
      <w:fldChar w:fldCharType="separate"/>
      <w:t xml:space="preserv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left"/>
    </w:pPr>
    <w:r>
      <w:rPr>
        <w:rFonts w:ascii="Calibri" w:hAnsi="Calibri" w:eastAsia="Calibri"/>
        <w:b/>
        <w:color w:val="59636E"/>
        <w:sz w:val="17"/>
      </w:rPr>
      <w:t>{{org.legal_name}}  |  Policy  |  {{doc.document_id}}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Electronic Messaging Retention Policy</dc:title>
  <dc:subject> cybersecurity policy template</dc:subject>
  <dc:creator/>
  <cp:keywords> policy template</cp:keywords>
  <dc:description>generated by python-docx</dc:description>
  <cp:lastModifiedBy/>
  <cp:revision>1</cp:revision>
  <dcterms:created xsi:type="dcterms:W3CDTF">2013-12-23T23:15:00Z</dcterms:created>
  <dcterms:modified xsi:type="dcterms:W3CDTF">2013-12-23T23:15:00Z</dcterms:modified>
  <cp:category/>
</cp:coreProperties>
</file>