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Internet Access Monitoring and Filtering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Use proportionate monitoring and filtering to reduce malicious, illegal, unsafe, and unauthorized internet activity while respecting applicable law and approved privacy practices.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internet traffic routed through organizational networks, managed endpoints, secure web gateways, DNS services, remote-access services, and cloud security controls.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{{org.legal_name}} shall provide clear notice of authorized monitoring and shall limit monitoring access to personnel with approved duties.</w:t>
      </w:r>
    </w:p>
    <w:p>
      <w:pPr>
        <w:keepNext w:val="0"/>
        <w:keepLines w:val="0"/>
        <w:numPr>
          <w:ilvl w:val="0"/>
          <w:numId w:val="10"/>
        </w:numPr>
        <w:spacing w:before="0" w:after="160" w:line="280" w:lineRule="auto"/>
      </w:pPr>
      <w:r>
        <w:rPr>
          <w:rFonts w:ascii="Calibri" w:hAnsi="Calibri" w:eastAsia="Calibri"/>
          <w:color w:val="000000"/>
          <w:sz w:val="22"/>
        </w:rPr>
        <w:t>Internet controls shall block known malicious destinations, command-and-control, phishing, malware, prohibited content categories, and policy-defined high-risk services where technically feasible.</w:t>
      </w:r>
    </w:p>
    <w:p>
      <w:pPr>
        <w:keepNext w:val="0"/>
        <w:keepLines w:val="0"/>
        <w:numPr>
          <w:ilvl w:val="0"/>
          <w:numId w:val="10"/>
        </w:numPr>
        <w:spacing w:before="0" w:after="160" w:line="280" w:lineRule="auto"/>
      </w:pPr>
      <w:r>
        <w:rPr>
          <w:rFonts w:ascii="Calibri" w:hAnsi="Calibri" w:eastAsia="Calibri"/>
          <w:color w:val="000000"/>
          <w:sz w:val="22"/>
        </w:rPr>
        <w:t>Filtering rules shall be documented, change-controlled, tested, and reviewed to reduce unnecessary disruption and discriminatory or inconsistent application.</w:t>
      </w:r>
    </w:p>
    <w:p>
      <w:pPr>
        <w:keepNext w:val="0"/>
        <w:keepLines w:val="0"/>
        <w:numPr>
          <w:ilvl w:val="0"/>
          <w:numId w:val="10"/>
        </w:numPr>
        <w:spacing w:before="0" w:after="160" w:line="280" w:lineRule="auto"/>
      </w:pPr>
      <w:r>
        <w:rPr>
          <w:rFonts w:ascii="Calibri" w:hAnsi="Calibri" w:eastAsia="Calibri"/>
          <w:color w:val="000000"/>
          <w:sz w:val="22"/>
        </w:rPr>
        <w:t>Security logs shall record sufficient identity, time, destination, action, and device context for investigation while limiting collection and retention to approved purposes.</w:t>
      </w:r>
    </w:p>
    <w:p>
      <w:pPr>
        <w:keepNext w:val="0"/>
        <w:keepLines w:val="0"/>
        <w:numPr>
          <w:ilvl w:val="0"/>
          <w:numId w:val="10"/>
        </w:numPr>
        <w:spacing w:before="0" w:after="160" w:line="280" w:lineRule="auto"/>
      </w:pPr>
      <w:r>
        <w:rPr>
          <w:rFonts w:ascii="Calibri" w:hAnsi="Calibri" w:eastAsia="Calibri"/>
          <w:color w:val="000000"/>
          <w:sz w:val="22"/>
        </w:rPr>
        <w:t>Authorized bypasses shall be user- or device-specific, justified, approved, monitored, and time-limited.</w:t>
      </w:r>
    </w:p>
    <w:p>
      <w:pPr>
        <w:keepNext w:val="0"/>
        <w:keepLines w:val="0"/>
        <w:numPr>
          <w:ilvl w:val="0"/>
          <w:numId w:val="10"/>
        </w:numPr>
        <w:spacing w:before="0" w:after="160" w:line="280" w:lineRule="auto"/>
      </w:pPr>
      <w:r>
        <w:rPr>
          <w:rFonts w:ascii="Calibri" w:hAnsi="Calibri" w:eastAsia="Calibri"/>
          <w:color w:val="000000"/>
          <w:sz w:val="22"/>
        </w:rPr>
        <w:t>Encrypted-traffic inspection, if used, shall be legally reviewed, disclosed as required, protected against misuse, and exclude sensitive categories where appropriate.</w:t>
      </w:r>
    </w:p>
    <w:p>
      <w:pPr>
        <w:keepNext w:val="0"/>
        <w:keepLines w:val="0"/>
        <w:numPr>
          <w:ilvl w:val="0"/>
          <w:numId w:val="10"/>
        </w:numPr>
        <w:spacing w:before="0" w:after="160" w:line="280" w:lineRule="auto"/>
      </w:pPr>
      <w:r>
        <w:rPr>
          <w:rFonts w:ascii="Calibri" w:hAnsi="Calibri" w:eastAsia="Calibri"/>
          <w:color w:val="000000"/>
          <w:sz w:val="22"/>
        </w:rPr>
        <w:t>Alerts and blocks shall feed a documented response process, including escalation for suspected compromise or deliberate evasion.</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Monitoring notice</w:t>
      </w:r>
    </w:p>
    <w:p>
      <w:pPr>
        <w:keepNext w:val="0"/>
        <w:keepLines w:val="0"/>
        <w:numPr>
          <w:ilvl w:val="0"/>
          <w:numId w:val="10"/>
        </w:numPr>
        <w:spacing w:before="0" w:after="160" w:line="280" w:lineRule="auto"/>
      </w:pPr>
      <w:r>
        <w:rPr>
          <w:rFonts w:ascii="Calibri" w:hAnsi="Calibri" w:eastAsia="Calibri"/>
          <w:color w:val="000000"/>
          <w:sz w:val="22"/>
        </w:rPr>
        <w:t>Filtering standard/category list</w:t>
      </w:r>
    </w:p>
    <w:p>
      <w:pPr>
        <w:keepNext w:val="0"/>
        <w:keepLines w:val="0"/>
        <w:numPr>
          <w:ilvl w:val="0"/>
          <w:numId w:val="10"/>
        </w:numPr>
        <w:spacing w:before="0" w:after="160" w:line="280" w:lineRule="auto"/>
      </w:pPr>
      <w:r>
        <w:rPr>
          <w:rFonts w:ascii="Calibri" w:hAnsi="Calibri" w:eastAsia="Calibri"/>
          <w:color w:val="000000"/>
          <w:sz w:val="22"/>
        </w:rPr>
        <w:t>Gateway and DNS configuration</w:t>
      </w:r>
    </w:p>
    <w:p>
      <w:pPr>
        <w:keepNext w:val="0"/>
        <w:keepLines w:val="0"/>
        <w:numPr>
          <w:ilvl w:val="0"/>
          <w:numId w:val="10"/>
        </w:numPr>
        <w:spacing w:before="0" w:after="160" w:line="280" w:lineRule="auto"/>
      </w:pPr>
      <w:r>
        <w:rPr>
          <w:rFonts w:ascii="Calibri" w:hAnsi="Calibri" w:eastAsia="Calibri"/>
          <w:color w:val="000000"/>
          <w:sz w:val="22"/>
        </w:rPr>
        <w:t>Bypass register</w:t>
      </w:r>
    </w:p>
    <w:p>
      <w:pPr>
        <w:keepNext w:val="0"/>
        <w:keepLines w:val="0"/>
        <w:numPr>
          <w:ilvl w:val="0"/>
          <w:numId w:val="10"/>
        </w:numPr>
        <w:spacing w:before="0" w:after="160" w:line="280" w:lineRule="auto"/>
      </w:pPr>
      <w:r>
        <w:rPr>
          <w:rFonts w:ascii="Calibri" w:hAnsi="Calibri" w:eastAsia="Calibri"/>
          <w:color w:val="000000"/>
          <w:sz w:val="22"/>
        </w:rPr>
        <w:t>Alert/investigation tickets</w:t>
      </w:r>
    </w:p>
    <w:p>
      <w:pPr>
        <w:keepNext w:val="0"/>
        <w:keepLines w:val="0"/>
        <w:numPr>
          <w:ilvl w:val="0"/>
          <w:numId w:val="10"/>
        </w:numPr>
        <w:spacing w:before="0" w:after="160" w:line="280" w:lineRule="auto"/>
      </w:pPr>
      <w:r>
        <w:rPr>
          <w:rFonts w:ascii="Calibri" w:hAnsi="Calibri" w:eastAsia="Calibri"/>
          <w:color w:val="000000"/>
          <w:sz w:val="22"/>
        </w:rPr>
        <w:t>Periodic rule and access review</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Managed traffic covered by filtering</w:t>
      </w:r>
    </w:p>
    <w:p>
      <w:pPr>
        <w:keepNext w:val="0"/>
        <w:keepLines w:val="0"/>
        <w:numPr>
          <w:ilvl w:val="0"/>
          <w:numId w:val="10"/>
        </w:numPr>
        <w:spacing w:before="0" w:after="160" w:line="280" w:lineRule="auto"/>
      </w:pPr>
      <w:r>
        <w:rPr>
          <w:rFonts w:ascii="Calibri" w:hAnsi="Calibri" w:eastAsia="Calibri"/>
          <w:color w:val="000000"/>
          <w:sz w:val="22"/>
        </w:rPr>
        <w:t>Bypasses expired on time</w:t>
      </w:r>
    </w:p>
    <w:p>
      <w:pPr>
        <w:keepNext w:val="0"/>
        <w:keepLines w:val="0"/>
        <w:numPr>
          <w:ilvl w:val="0"/>
          <w:numId w:val="10"/>
        </w:numPr>
        <w:spacing w:before="0" w:after="160" w:line="280" w:lineRule="auto"/>
      </w:pPr>
      <w:r>
        <w:rPr>
          <w:rFonts w:ascii="Calibri" w:hAnsi="Calibri" w:eastAsia="Calibri"/>
          <w:color w:val="000000"/>
          <w:sz w:val="22"/>
        </w:rPr>
        <w:t>Malicious destinations blocked and investigated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SI.L2-3.14.6 and SI.L2-3.14.7; AU.L2-3.3.1 through AU.L2-3.3.6; AC.L2-3.1.3.</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Access Monitoring and Filtering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