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End-User Encryption Key and Recovery Secret Protection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Protect private keys, recovery codes, seed phrases, passkeys, device-recovery keys, and other secrets assigned to individual users.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workforce members who receive, create, hold, export, recover, or use cryptographic or authentication secrets for organizational work.</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Users shall store private keys and recovery secrets only in approved hardware, managed key stores, password managers, or escrow systems appropriate to the secret type.</w:t>
      </w:r>
    </w:p>
    <w:p>
      <w:pPr>
        <w:keepNext w:val="0"/>
        <w:keepLines w:val="0"/>
        <w:numPr>
          <w:ilvl w:val="0"/>
          <w:numId w:val="10"/>
        </w:numPr>
        <w:spacing w:before="0" w:after="160" w:line="280" w:lineRule="auto"/>
      </w:pPr>
      <w:r>
        <w:rPr>
          <w:rFonts w:ascii="Calibri" w:hAnsi="Calibri" w:eastAsia="Calibri"/>
          <w:color w:val="000000"/>
          <w:sz w:val="22"/>
        </w:rPr>
        <w:t>Secrets shall not be sent through ordinary email or chat, stored in tickets or shared documents, photographed, printed without approval, or copied to personal devices or accounts.</w:t>
      </w:r>
    </w:p>
    <w:p>
      <w:pPr>
        <w:keepNext w:val="0"/>
        <w:keepLines w:val="0"/>
        <w:numPr>
          <w:ilvl w:val="0"/>
          <w:numId w:val="10"/>
        </w:numPr>
        <w:spacing w:before="0" w:after="160" w:line="280" w:lineRule="auto"/>
      </w:pPr>
      <w:r>
        <w:rPr>
          <w:rFonts w:ascii="Calibri" w:hAnsi="Calibri" w:eastAsia="Calibri"/>
          <w:color w:val="000000"/>
          <w:sz w:val="22"/>
        </w:rPr>
        <w:t>Private keys and recovery secrets shall not be shared; delegated access shall use approved role or workload mechanisms rather than copying a user's secret.</w:t>
      </w:r>
    </w:p>
    <w:p>
      <w:pPr>
        <w:keepNext w:val="0"/>
        <w:keepLines w:val="0"/>
        <w:numPr>
          <w:ilvl w:val="0"/>
          <w:numId w:val="10"/>
        </w:numPr>
        <w:spacing w:before="0" w:after="160" w:line="280" w:lineRule="auto"/>
      </w:pPr>
      <w:r>
        <w:rPr>
          <w:rFonts w:ascii="Calibri" w:hAnsi="Calibri" w:eastAsia="Calibri"/>
          <w:color w:val="000000"/>
          <w:sz w:val="22"/>
        </w:rPr>
        <w:t>Export of a private key requires a documented business need, approved protection, controlled transfer, and prompt removal of unnecessary copies.</w:t>
      </w:r>
    </w:p>
    <w:p>
      <w:pPr>
        <w:keepNext w:val="0"/>
        <w:keepLines w:val="0"/>
        <w:numPr>
          <w:ilvl w:val="0"/>
          <w:numId w:val="10"/>
        </w:numPr>
        <w:spacing w:before="0" w:after="160" w:line="280" w:lineRule="auto"/>
      </w:pPr>
      <w:r>
        <w:rPr>
          <w:rFonts w:ascii="Calibri" w:hAnsi="Calibri" w:eastAsia="Calibri"/>
          <w:color w:val="000000"/>
          <w:sz w:val="22"/>
        </w:rPr>
        <w:t>Suspected exposure, loss, unauthorized recovery, or unexplained authentication shall be reported immediately; affected secrets shall be revoked, rotated, or replaced.</w:t>
      </w:r>
    </w:p>
    <w:p>
      <w:pPr>
        <w:keepNext w:val="0"/>
        <w:keepLines w:val="0"/>
        <w:numPr>
          <w:ilvl w:val="0"/>
          <w:numId w:val="10"/>
        </w:numPr>
        <w:spacing w:before="0" w:after="160" w:line="280" w:lineRule="auto"/>
      </w:pPr>
      <w:r>
        <w:rPr>
          <w:rFonts w:ascii="Calibri" w:hAnsi="Calibri" w:eastAsia="Calibri"/>
          <w:color w:val="000000"/>
          <w:sz w:val="22"/>
        </w:rPr>
        <w:t>Offboarding and role changes shall revoke access, transfer business ownership, and destroy or archive secrets under approved custody.</w:t>
      </w:r>
    </w:p>
    <w:p>
      <w:pPr>
        <w:keepNext w:val="0"/>
        <w:keepLines w:val="0"/>
        <w:numPr>
          <w:ilvl w:val="0"/>
          <w:numId w:val="10"/>
        </w:numPr>
        <w:spacing w:before="0" w:after="160" w:line="280" w:lineRule="auto"/>
      </w:pPr>
      <w:r>
        <w:rPr>
          <w:rFonts w:ascii="Calibri" w:hAnsi="Calibri" w:eastAsia="Calibri"/>
          <w:color w:val="000000"/>
          <w:sz w:val="22"/>
        </w:rPr>
        <w:t>Security shall test recovery procedures without exposing production secrets and shall periodically review escrow and recovery access.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Key/recovery-secret inventory or custody record</w:t>
      </w:r>
    </w:p>
    <w:p>
      <w:pPr>
        <w:keepNext w:val="0"/>
        <w:keepLines w:val="0"/>
        <w:numPr>
          <w:ilvl w:val="0"/>
          <w:numId w:val="10"/>
        </w:numPr>
        <w:spacing w:before="0" w:after="160" w:line="280" w:lineRule="auto"/>
      </w:pPr>
      <w:r>
        <w:rPr>
          <w:rFonts w:ascii="Calibri" w:hAnsi="Calibri" w:eastAsia="Calibri"/>
          <w:color w:val="000000"/>
          <w:sz w:val="22"/>
        </w:rPr>
        <w:t>Approved storage configuration</w:t>
      </w:r>
    </w:p>
    <w:p>
      <w:pPr>
        <w:keepNext w:val="0"/>
        <w:keepLines w:val="0"/>
        <w:numPr>
          <w:ilvl w:val="0"/>
          <w:numId w:val="10"/>
        </w:numPr>
        <w:spacing w:before="0" w:after="160" w:line="280" w:lineRule="auto"/>
      </w:pPr>
      <w:r>
        <w:rPr>
          <w:rFonts w:ascii="Calibri" w:hAnsi="Calibri" w:eastAsia="Calibri"/>
          <w:color w:val="000000"/>
          <w:sz w:val="22"/>
        </w:rPr>
        <w:t>Export/transfer approval</w:t>
      </w:r>
    </w:p>
    <w:p>
      <w:pPr>
        <w:keepNext w:val="0"/>
        <w:keepLines w:val="0"/>
        <w:numPr>
          <w:ilvl w:val="0"/>
          <w:numId w:val="10"/>
        </w:numPr>
        <w:spacing w:before="0" w:after="160" w:line="280" w:lineRule="auto"/>
      </w:pPr>
      <w:r>
        <w:rPr>
          <w:rFonts w:ascii="Calibri" w:hAnsi="Calibri" w:eastAsia="Calibri"/>
          <w:color w:val="000000"/>
          <w:sz w:val="22"/>
        </w:rPr>
        <w:t>Recovery test</w:t>
      </w:r>
    </w:p>
    <w:p>
      <w:pPr>
        <w:keepNext w:val="0"/>
        <w:keepLines w:val="0"/>
        <w:numPr>
          <w:ilvl w:val="0"/>
          <w:numId w:val="10"/>
        </w:numPr>
        <w:spacing w:before="0" w:after="160" w:line="280" w:lineRule="auto"/>
      </w:pPr>
      <w:r>
        <w:rPr>
          <w:rFonts w:ascii="Calibri" w:hAnsi="Calibri" w:eastAsia="Calibri"/>
          <w:color w:val="000000"/>
          <w:sz w:val="22"/>
        </w:rPr>
        <w:t>Exposure and revocation ticket</w:t>
      </w:r>
    </w:p>
    <w:p>
      <w:pPr>
        <w:keepNext w:val="0"/>
        <w:keepLines w:val="0"/>
        <w:numPr>
          <w:ilvl w:val="0"/>
          <w:numId w:val="10"/>
        </w:numPr>
        <w:spacing w:before="0" w:after="160" w:line="280" w:lineRule="auto"/>
      </w:pPr>
      <w:r>
        <w:rPr>
          <w:rFonts w:ascii="Calibri" w:hAnsi="Calibri" w:eastAsia="Calibri"/>
          <w:color w:val="000000"/>
          <w:sz w:val="22"/>
        </w:rPr>
        <w:t>Escrow access review</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Secrets held in approved stores</w:t>
      </w:r>
    </w:p>
    <w:p>
      <w:pPr>
        <w:keepNext w:val="0"/>
        <w:keepLines w:val="0"/>
        <w:numPr>
          <w:ilvl w:val="0"/>
          <w:numId w:val="10"/>
        </w:numPr>
        <w:spacing w:before="0" w:after="160" w:line="280" w:lineRule="auto"/>
      </w:pPr>
      <w:r>
        <w:rPr>
          <w:rFonts w:ascii="Calibri" w:hAnsi="Calibri" w:eastAsia="Calibri"/>
          <w:color w:val="000000"/>
          <w:sz w:val="22"/>
        </w:rPr>
        <w:t>Escrow access reviewed</w:t>
      </w:r>
    </w:p>
    <w:p>
      <w:pPr>
        <w:keepNext w:val="0"/>
        <w:keepLines w:val="0"/>
        <w:numPr>
          <w:ilvl w:val="0"/>
          <w:numId w:val="10"/>
        </w:numPr>
        <w:spacing w:before="0" w:after="160" w:line="280" w:lineRule="auto"/>
      </w:pPr>
      <w:r>
        <w:rPr>
          <w:rFonts w:ascii="Calibri" w:hAnsi="Calibri" w:eastAsia="Calibri"/>
          <w:color w:val="000000"/>
          <w:sz w:val="22"/>
        </w:rPr>
        <w:t>Exposed secrets revoked within target</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SC.L2-3.13.10; IA.L2-3.5.10 and IA.L2-3.5.11; MP controls for stored recovery material.</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800-57 Part 1 Rev. 5, Key Management: https://doi.org/10.6028/NIST.SP.800-57pt1r5</w:t>
      </w:r>
    </w:p>
    <w:p>
      <w:pPr>
        <w:keepNext w:val="0"/>
        <w:keepLines w:val="0"/>
        <w:numPr>
          <w:ilvl w:val="0"/>
          <w:numId w:val="10"/>
        </w:numPr>
        <w:spacing w:before="0" w:after="160" w:line="280" w:lineRule="auto"/>
      </w:pPr>
      <w:r>
        <w:rPr>
          <w:rFonts w:ascii="Calibri" w:hAnsi="Calibri" w:eastAsia="Calibri"/>
          <w:color w:val="000000"/>
          <w:sz w:val="22"/>
        </w:rPr>
        <w:t>NIST SP 800-63B-4, Authentication and Authenticator Management: https://doi.org/10.6028/NIST.SP.800-63B-4</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End-User Encryption Key and Recovery Secret Protection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