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Cybersecurity and Technology Ethics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Set expectations for lawful, honest, authorized, and professionally responsible use of access, data, security capabilities, and technical influence.</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all workforce members and third parties performing technology, security, investigation, administration, development, data, or assurance work for {{org.legal_name}}.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Personnel shall act only within documented authorization, assigned duties, law, contract, and approved rules of engagement.</w:t>
      </w:r>
    </w:p>
    <w:p>
      <w:pPr>
        <w:keepNext w:val="0"/>
        <w:keepLines w:val="0"/>
        <w:numPr>
          <w:ilvl w:val="0"/>
          <w:numId w:val="10"/>
        </w:numPr>
        <w:spacing w:before="0" w:after="160" w:line="280" w:lineRule="auto"/>
      </w:pPr>
      <w:r>
        <w:rPr>
          <w:rFonts w:ascii="Calibri" w:hAnsi="Calibri" w:eastAsia="Calibri"/>
          <w:color w:val="000000"/>
          <w:sz w:val="22"/>
        </w:rPr>
        <w:t>Privileged access, monitoring data, vulnerabilities, investigative information, and security tools shall not be used for personal benefit, curiosity, retaliation, harassment, or unauthorized surveillance.</w:t>
      </w:r>
    </w:p>
    <w:p>
      <w:pPr>
        <w:keepNext w:val="0"/>
        <w:keepLines w:val="0"/>
        <w:numPr>
          <w:ilvl w:val="0"/>
          <w:numId w:val="10"/>
        </w:numPr>
        <w:spacing w:before="0" w:after="160" w:line="280" w:lineRule="auto"/>
      </w:pPr>
      <w:r>
        <w:rPr>
          <w:rFonts w:ascii="Calibri" w:hAnsi="Calibri" w:eastAsia="Calibri"/>
          <w:color w:val="000000"/>
          <w:sz w:val="22"/>
        </w:rPr>
        <w:t>Findings, evidence, test results, time records, qualifications, and risk statements shall be reported accurately without concealment, fabrication, or misleading omission.</w:t>
      </w:r>
    </w:p>
    <w:p>
      <w:pPr>
        <w:keepNext w:val="0"/>
        <w:keepLines w:val="0"/>
        <w:numPr>
          <w:ilvl w:val="0"/>
          <w:numId w:val="10"/>
        </w:numPr>
        <w:spacing w:before="0" w:after="160" w:line="280" w:lineRule="auto"/>
      </w:pPr>
      <w:r>
        <w:rPr>
          <w:rFonts w:ascii="Calibri" w:hAnsi="Calibri" w:eastAsia="Calibri"/>
          <w:color w:val="000000"/>
          <w:sz w:val="22"/>
        </w:rPr>
        <w:t>Conflicts of interest, gifts, outside work, personal relationships, or financial interests that could affect judgment shall be disclosed through the approved process.</w:t>
      </w:r>
    </w:p>
    <w:p>
      <w:pPr>
        <w:keepNext w:val="0"/>
        <w:keepLines w:val="0"/>
        <w:numPr>
          <w:ilvl w:val="0"/>
          <w:numId w:val="10"/>
        </w:numPr>
        <w:spacing w:before="0" w:after="160" w:line="280" w:lineRule="auto"/>
      </w:pPr>
      <w:r>
        <w:rPr>
          <w:rFonts w:ascii="Calibri" w:hAnsi="Calibri" w:eastAsia="Calibri"/>
          <w:color w:val="000000"/>
          <w:sz w:val="22"/>
        </w:rPr>
        <w:t>Sensitive information learned through work shall be protected during and after the engagement and shared only with authorized recipients.</w:t>
      </w:r>
    </w:p>
    <w:p>
      <w:pPr>
        <w:keepNext w:val="0"/>
        <w:keepLines w:val="0"/>
        <w:numPr>
          <w:ilvl w:val="0"/>
          <w:numId w:val="10"/>
        </w:numPr>
        <w:spacing w:before="0" w:after="160" w:line="280" w:lineRule="auto"/>
      </w:pPr>
      <w:r>
        <w:rPr>
          <w:rFonts w:ascii="Calibri" w:hAnsi="Calibri" w:eastAsia="Calibri"/>
          <w:color w:val="000000"/>
          <w:sz w:val="22"/>
        </w:rPr>
        <w:t>Personnel shall stop and escalate when scope, legality, safety, or authorization is unclear; silence or management pressure does not create authorization.</w:t>
      </w:r>
    </w:p>
    <w:p>
      <w:pPr>
        <w:keepNext w:val="0"/>
        <w:keepLines w:val="0"/>
        <w:numPr>
          <w:ilvl w:val="0"/>
          <w:numId w:val="10"/>
        </w:numPr>
        <w:spacing w:before="0" w:after="160" w:line="280" w:lineRule="auto"/>
      </w:pPr>
      <w:r>
        <w:rPr>
          <w:rFonts w:ascii="Calibri" w:hAnsi="Calibri" w:eastAsia="Calibri"/>
          <w:color w:val="000000"/>
          <w:sz w:val="22"/>
        </w:rPr>
        <w:t>Good-faith reporting of suspected misconduct shall be handled confidentially and without retaliation to the extent permitted by law.</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Leadership</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Model and enforce ethical conduct and protect good-faith reporting.</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Legal/Compliance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Interpret obligations and investigate or coordinate reports.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Managers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Ensure authorization and avoid pressure to misstate risk or evidence.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Personnel</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Act within scope, protect information, disclose conflicts, and report concerns.</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Policy acknowledgment</w:t>
      </w:r>
    </w:p>
    <w:p>
      <w:pPr>
        <w:keepNext w:val="0"/>
        <w:keepLines w:val="0"/>
        <w:numPr>
          <w:ilvl w:val="0"/>
          <w:numId w:val="10"/>
        </w:numPr>
        <w:spacing w:before="0" w:after="160" w:line="280" w:lineRule="auto"/>
      </w:pPr>
      <w:r>
        <w:rPr>
          <w:rFonts w:ascii="Calibri" w:hAnsi="Calibri" w:eastAsia="Calibri"/>
          <w:color w:val="000000"/>
          <w:sz w:val="22"/>
        </w:rPr>
        <w:t>Rules of engagement</w:t>
      </w:r>
    </w:p>
    <w:p>
      <w:pPr>
        <w:keepNext w:val="0"/>
        <w:keepLines w:val="0"/>
        <w:numPr>
          <w:ilvl w:val="0"/>
          <w:numId w:val="10"/>
        </w:numPr>
        <w:spacing w:before="0" w:after="160" w:line="280" w:lineRule="auto"/>
      </w:pPr>
      <w:r>
        <w:rPr>
          <w:rFonts w:ascii="Calibri" w:hAnsi="Calibri" w:eastAsia="Calibri"/>
          <w:color w:val="000000"/>
          <w:sz w:val="22"/>
        </w:rPr>
        <w:t>Conflict disclosures</w:t>
      </w:r>
    </w:p>
    <w:p>
      <w:pPr>
        <w:keepNext w:val="0"/>
        <w:keepLines w:val="0"/>
        <w:numPr>
          <w:ilvl w:val="0"/>
          <w:numId w:val="10"/>
        </w:numPr>
        <w:spacing w:before="0" w:after="160" w:line="280" w:lineRule="auto"/>
      </w:pPr>
      <w:r>
        <w:rPr>
          <w:rFonts w:ascii="Calibri" w:hAnsi="Calibri" w:eastAsia="Calibri"/>
          <w:color w:val="000000"/>
          <w:sz w:val="22"/>
        </w:rPr>
        <w:t>Ethics or compliance reports</w:t>
      </w:r>
    </w:p>
    <w:p>
      <w:pPr>
        <w:keepNext w:val="0"/>
        <w:keepLines w:val="0"/>
        <w:numPr>
          <w:ilvl w:val="0"/>
          <w:numId w:val="10"/>
        </w:numPr>
        <w:spacing w:before="0" w:after="160" w:line="280" w:lineRule="auto"/>
      </w:pPr>
      <w:r>
        <w:rPr>
          <w:rFonts w:ascii="Calibri" w:hAnsi="Calibri" w:eastAsia="Calibri"/>
          <w:color w:val="000000"/>
          <w:sz w:val="22"/>
        </w:rPr>
        <w:t>Investigation and disposition records</w:t>
      </w:r>
    </w:p>
    <w:p>
      <w:pPr>
        <w:keepNext w:val="0"/>
        <w:keepLines w:val="0"/>
        <w:numPr>
          <w:ilvl w:val="0"/>
          <w:numId w:val="10"/>
        </w:numPr>
        <w:spacing w:before="0" w:after="160" w:line="280" w:lineRule="auto"/>
      </w:pPr>
      <w:r>
        <w:rPr>
          <w:rFonts w:ascii="Calibri" w:hAnsi="Calibri" w:eastAsia="Calibri"/>
          <w:color w:val="000000"/>
          <w:sz w:val="22"/>
        </w:rPr>
        <w:t>Corrective actions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Acknowledgment and training completion</w:t>
      </w:r>
    </w:p>
    <w:p>
      <w:pPr>
        <w:keepNext w:val="0"/>
        <w:keepLines w:val="0"/>
        <w:numPr>
          <w:ilvl w:val="0"/>
          <w:numId w:val="10"/>
        </w:numPr>
        <w:spacing w:before="0" w:after="160" w:line="280" w:lineRule="auto"/>
      </w:pPr>
      <w:r>
        <w:rPr>
          <w:rFonts w:ascii="Calibri" w:hAnsi="Calibri" w:eastAsia="Calibri"/>
          <w:color w:val="000000"/>
          <w:sz w:val="22"/>
        </w:rPr>
        <w:t>Reports triaged within target</w:t>
      </w:r>
    </w:p>
    <w:p>
      <w:pPr>
        <w:keepNext w:val="0"/>
        <w:keepLines w:val="0"/>
        <w:numPr>
          <w:ilvl w:val="0"/>
          <w:numId w:val="10"/>
        </w:numPr>
        <w:spacing w:before="0" w:after="160" w:line="280" w:lineRule="auto"/>
      </w:pPr>
      <w:r>
        <w:rPr>
          <w:rFonts w:ascii="Calibri" w:hAnsi="Calibri" w:eastAsia="Calibri"/>
          <w:color w:val="000000"/>
          <w:sz w:val="22"/>
        </w:rPr>
        <w:t>Confirmed retaliation events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Supports governance, personnel security, training, least privilege, and assessment integrity; map to applicable CMMC practices based on implementation.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and Technology Ethics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