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Extranet and Partner Connectivity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Control network, application, and data access provided to customers, suppliers, affiliates, and other external organizations.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partner portals, business-to-business connections, federated access, site-to-site tunnels, APIs, file exchanges, shared cloud resources, and vendor connectivity.</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Every connection shall have an internal sponsor, external owner, approved purpose, data classification, documented flow, authentication method, permitted resources, and expiration or review date.</w:t>
      </w:r>
    </w:p>
    <w:p>
      <w:pPr>
        <w:keepNext w:val="0"/>
        <w:keepLines w:val="0"/>
        <w:numPr>
          <w:ilvl w:val="0"/>
          <w:numId w:val="10"/>
        </w:numPr>
        <w:spacing w:before="0" w:after="160" w:line="280" w:lineRule="auto"/>
      </w:pPr>
      <w:r>
        <w:rPr>
          <w:rFonts w:ascii="Calibri" w:hAnsi="Calibri" w:eastAsia="Calibri"/>
          <w:color w:val="000000"/>
          <w:sz w:val="22"/>
        </w:rPr>
        <w:t>Access shall be limited to the minimum systems, functions, protocols, addresses, and time periods required; broad network trust is prohibited.</w:t>
      </w:r>
    </w:p>
    <w:p>
      <w:pPr>
        <w:keepNext w:val="0"/>
        <w:keepLines w:val="0"/>
        <w:numPr>
          <w:ilvl w:val="0"/>
          <w:numId w:val="10"/>
        </w:numPr>
        <w:spacing w:before="0" w:after="160" w:line="280" w:lineRule="auto"/>
      </w:pPr>
      <w:r>
        <w:rPr>
          <w:rFonts w:ascii="Calibri" w:hAnsi="Calibri" w:eastAsia="Calibri"/>
          <w:color w:val="000000"/>
          <w:sz w:val="22"/>
        </w:rPr>
        <w:t>External identities shall be uniquely attributable, strongly authenticated, lifecycle-managed, and reviewed by the sponsor and resource owner.</w:t>
      </w:r>
    </w:p>
    <w:p>
      <w:pPr>
        <w:keepNext w:val="0"/>
        <w:keepLines w:val="0"/>
        <w:numPr>
          <w:ilvl w:val="0"/>
          <w:numId w:val="10"/>
        </w:numPr>
        <w:spacing w:before="0" w:after="160" w:line="280" w:lineRule="auto"/>
      </w:pPr>
      <w:r>
        <w:rPr>
          <w:rFonts w:ascii="Calibri" w:hAnsi="Calibri" w:eastAsia="Calibri"/>
          <w:color w:val="000000"/>
          <w:sz w:val="22"/>
        </w:rPr>
        <w:t>Connections shall terminate in controlled boundary services or segmented zones with default-deny rules, logging, monitoring, and rate or abuse controls where applicable.</w:t>
      </w:r>
    </w:p>
    <w:p>
      <w:pPr>
        <w:keepNext w:val="0"/>
        <w:keepLines w:val="0"/>
        <w:numPr>
          <w:ilvl w:val="0"/>
          <w:numId w:val="10"/>
        </w:numPr>
        <w:spacing w:before="0" w:after="160" w:line="280" w:lineRule="auto"/>
      </w:pPr>
      <w:r>
        <w:rPr>
          <w:rFonts w:ascii="Calibri" w:hAnsi="Calibri" w:eastAsia="Calibri"/>
          <w:color w:val="000000"/>
          <w:sz w:val="22"/>
        </w:rPr>
        <w:t>Agreements shall define security responsibilities, incident notification, acceptable use, data handling, change notice, audit evidence, and termination.</w:t>
      </w:r>
    </w:p>
    <w:p>
      <w:pPr>
        <w:keepNext w:val="0"/>
        <w:keepLines w:val="0"/>
        <w:numPr>
          <w:ilvl w:val="0"/>
          <w:numId w:val="10"/>
        </w:numPr>
        <w:spacing w:before="0" w:after="160" w:line="280" w:lineRule="auto"/>
      </w:pPr>
      <w:r>
        <w:rPr>
          <w:rFonts w:ascii="Calibri" w:hAnsi="Calibri" w:eastAsia="Calibri"/>
          <w:color w:val="000000"/>
          <w:sz w:val="22"/>
        </w:rPr>
        <w:t>Material changes, security events, ownership changes, and contract termination shall trigger reassessment and access review.</w:t>
      </w:r>
    </w:p>
    <w:p>
      <w:pPr>
        <w:keepNext w:val="0"/>
        <w:keepLines w:val="0"/>
        <w:numPr>
          <w:ilvl w:val="0"/>
          <w:numId w:val="10"/>
        </w:numPr>
        <w:spacing w:before="0" w:after="160" w:line="280" w:lineRule="auto"/>
      </w:pPr>
      <w:r>
        <w:rPr>
          <w:rFonts w:ascii="Calibri" w:hAnsi="Calibri" w:eastAsia="Calibri"/>
          <w:color w:val="000000"/>
          <w:sz w:val="22"/>
        </w:rPr>
        <w:t>Access, routes, accounts, keys, certificates, and shared data shall be removed or transferred securely when the relationship ends.</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Connection request and approval</w:t>
      </w:r>
    </w:p>
    <w:p>
      <w:pPr>
        <w:keepNext w:val="0"/>
        <w:keepLines w:val="0"/>
        <w:numPr>
          <w:ilvl w:val="0"/>
          <w:numId w:val="10"/>
        </w:numPr>
        <w:spacing w:before="0" w:after="160" w:line="280" w:lineRule="auto"/>
      </w:pPr>
      <w:r>
        <w:rPr>
          <w:rFonts w:ascii="Calibri" w:hAnsi="Calibri" w:eastAsia="Calibri"/>
          <w:color w:val="000000"/>
          <w:sz w:val="22"/>
        </w:rPr>
        <w:t>Data-flow/network diagram</w:t>
      </w:r>
    </w:p>
    <w:p>
      <w:pPr>
        <w:keepNext w:val="0"/>
        <w:keepLines w:val="0"/>
        <w:numPr>
          <w:ilvl w:val="0"/>
          <w:numId w:val="10"/>
        </w:numPr>
        <w:spacing w:before="0" w:after="160" w:line="280" w:lineRule="auto"/>
      </w:pPr>
      <w:r>
        <w:rPr>
          <w:rFonts w:ascii="Calibri" w:hAnsi="Calibri" w:eastAsia="Calibri"/>
          <w:color w:val="000000"/>
          <w:sz w:val="22"/>
        </w:rPr>
        <w:t>Agreement and security requirements</w:t>
      </w:r>
    </w:p>
    <w:p>
      <w:pPr>
        <w:keepNext w:val="0"/>
        <w:keepLines w:val="0"/>
        <w:numPr>
          <w:ilvl w:val="0"/>
          <w:numId w:val="10"/>
        </w:numPr>
        <w:spacing w:before="0" w:after="160" w:line="280" w:lineRule="auto"/>
      </w:pPr>
      <w:r>
        <w:rPr>
          <w:rFonts w:ascii="Calibri" w:hAnsi="Calibri" w:eastAsia="Calibri"/>
          <w:color w:val="000000"/>
          <w:sz w:val="22"/>
        </w:rPr>
        <w:t>Identity/access review</w:t>
      </w:r>
    </w:p>
    <w:p>
      <w:pPr>
        <w:keepNext w:val="0"/>
        <w:keepLines w:val="0"/>
        <w:numPr>
          <w:ilvl w:val="0"/>
          <w:numId w:val="10"/>
        </w:numPr>
        <w:spacing w:before="0" w:after="160" w:line="280" w:lineRule="auto"/>
      </w:pPr>
      <w:r>
        <w:rPr>
          <w:rFonts w:ascii="Calibri" w:hAnsi="Calibri" w:eastAsia="Calibri"/>
          <w:color w:val="000000"/>
          <w:sz w:val="22"/>
        </w:rPr>
        <w:t>Firewall/API configuration</w:t>
      </w:r>
    </w:p>
    <w:p>
      <w:pPr>
        <w:keepNext w:val="0"/>
        <w:keepLines w:val="0"/>
        <w:numPr>
          <w:ilvl w:val="0"/>
          <w:numId w:val="10"/>
        </w:numPr>
        <w:spacing w:before="0" w:after="160" w:line="280" w:lineRule="auto"/>
      </w:pPr>
      <w:r>
        <w:rPr>
          <w:rFonts w:ascii="Calibri" w:hAnsi="Calibri" w:eastAsia="Calibri"/>
          <w:color w:val="000000"/>
          <w:sz w:val="22"/>
        </w:rPr>
        <w:t>Monitoring evidence</w:t>
      </w:r>
    </w:p>
    <w:p>
      <w:pPr>
        <w:keepNext w:val="0"/>
        <w:keepLines w:val="0"/>
        <w:numPr>
          <w:ilvl w:val="0"/>
          <w:numId w:val="10"/>
        </w:numPr>
        <w:spacing w:before="0" w:after="160" w:line="280" w:lineRule="auto"/>
      </w:pPr>
      <w:r>
        <w:rPr>
          <w:rFonts w:ascii="Calibri" w:hAnsi="Calibri" w:eastAsia="Calibri"/>
          <w:color w:val="000000"/>
          <w:sz w:val="22"/>
        </w:rPr>
        <w:t>Termination checklist</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Connections with current owner and review</w:t>
      </w:r>
    </w:p>
    <w:p>
      <w:pPr>
        <w:keepNext w:val="0"/>
        <w:keepLines w:val="0"/>
        <w:numPr>
          <w:ilvl w:val="0"/>
          <w:numId w:val="10"/>
        </w:numPr>
        <w:spacing w:before="0" w:after="160" w:line="280" w:lineRule="auto"/>
      </w:pPr>
      <w:r>
        <w:rPr>
          <w:rFonts w:ascii="Calibri" w:hAnsi="Calibri" w:eastAsia="Calibri"/>
          <w:color w:val="000000"/>
          <w:sz w:val="22"/>
        </w:rPr>
        <w:t>External accounts reviewed</w:t>
      </w:r>
    </w:p>
    <w:p>
      <w:pPr>
        <w:keepNext w:val="0"/>
        <w:keepLines w:val="0"/>
        <w:numPr>
          <w:ilvl w:val="0"/>
          <w:numId w:val="10"/>
        </w:numPr>
        <w:spacing w:before="0" w:after="160" w:line="280" w:lineRule="auto"/>
      </w:pPr>
      <w:r>
        <w:rPr>
          <w:rFonts w:ascii="Calibri" w:hAnsi="Calibri" w:eastAsia="Calibri"/>
          <w:color w:val="000000"/>
          <w:sz w:val="22"/>
        </w:rPr>
        <w:t>Expired connections removed</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AC.L1-3.1.1, AC.L1-3.1.2, AC.L1-3.1.20; AC.L2-3.1.3 and AC.L2-3.1.12; SC.L2-3.13.1 and SC.L2-3.13.5.</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800-46 Rev. 2, Telework, Remote Access, and BYOD Security: https://doi.org/10.6028/NIST.SP.800-46r2</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Extranet and Partner Connectivity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