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Internet-Facing and DMZ Equipment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Establish minimum safeguards for systems exposed to untrusted networks or placed in boundary segments.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internet-facing applications, gateways, proxies, firewalls, load balancers, name services, remote-access services, mail gateways, and systems located in a DMZ or equivalent cloud boundary.</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Internet exposure requires owner approval, documented purpose, data classification, architecture review, and inventory registration before release.</w:t>
      </w:r>
    </w:p>
    <w:p>
      <w:pPr>
        <w:keepNext w:val="0"/>
        <w:keepLines w:val="0"/>
        <w:numPr>
          <w:ilvl w:val="0"/>
          <w:numId w:val="10"/>
        </w:numPr>
        <w:spacing w:before="0" w:after="160" w:line="280" w:lineRule="auto"/>
      </w:pPr>
      <w:r>
        <w:rPr>
          <w:rFonts w:ascii="Calibri" w:hAnsi="Calibri" w:eastAsia="Calibri"/>
          <w:color w:val="000000"/>
          <w:sz w:val="22"/>
        </w:rPr>
        <w:t>Boundary rules shall be default-deny and allow only required sources, destinations, ports, protocols, and directions; administrative access shall use a separate protected path.</w:t>
      </w:r>
    </w:p>
    <w:p>
      <w:pPr>
        <w:keepNext w:val="0"/>
        <w:keepLines w:val="0"/>
        <w:numPr>
          <w:ilvl w:val="0"/>
          <w:numId w:val="10"/>
        </w:numPr>
        <w:spacing w:before="0" w:after="160" w:line="280" w:lineRule="auto"/>
      </w:pPr>
      <w:r>
        <w:rPr>
          <w:rFonts w:ascii="Calibri" w:hAnsi="Calibri" w:eastAsia="Calibri"/>
          <w:color w:val="000000"/>
          <w:sz w:val="22"/>
        </w:rPr>
        <w:t>Systems shall use hardened baselines, minimal services, supported software, rapid remediation for exploitable vulnerabilities, anti-malware where applicable, secure logging, and reliable time synchronization.</w:t>
      </w:r>
    </w:p>
    <w:p>
      <w:pPr>
        <w:keepNext w:val="0"/>
        <w:keepLines w:val="0"/>
        <w:numPr>
          <w:ilvl w:val="0"/>
          <w:numId w:val="10"/>
        </w:numPr>
        <w:spacing w:before="0" w:after="160" w:line="280" w:lineRule="auto"/>
      </w:pPr>
      <w:r>
        <w:rPr>
          <w:rFonts w:ascii="Calibri" w:hAnsi="Calibri" w:eastAsia="Calibri"/>
          <w:color w:val="000000"/>
          <w:sz w:val="22"/>
        </w:rPr>
        <w:t>CUI and other restricted data shall not be stored in an internet-facing tier unless specifically authorized and protected by approved architecture.</w:t>
      </w:r>
    </w:p>
    <w:p>
      <w:pPr>
        <w:keepNext w:val="0"/>
        <w:keepLines w:val="0"/>
        <w:numPr>
          <w:ilvl w:val="0"/>
          <w:numId w:val="10"/>
        </w:numPr>
        <w:spacing w:before="0" w:after="160" w:line="280" w:lineRule="auto"/>
      </w:pPr>
      <w:r>
        <w:rPr>
          <w:rFonts w:ascii="Calibri" w:hAnsi="Calibri" w:eastAsia="Calibri"/>
          <w:color w:val="000000"/>
          <w:sz w:val="22"/>
        </w:rPr>
        <w:t>External attack surface, certificates, DNS, exposed services, and security headers shall be continuously or periodically monitored based on risk.</w:t>
      </w:r>
    </w:p>
    <w:p>
      <w:pPr>
        <w:keepNext w:val="0"/>
        <w:keepLines w:val="0"/>
        <w:numPr>
          <w:ilvl w:val="0"/>
          <w:numId w:val="10"/>
        </w:numPr>
        <w:spacing w:before="0" w:after="160" w:line="280" w:lineRule="auto"/>
      </w:pPr>
      <w:r>
        <w:rPr>
          <w:rFonts w:ascii="Calibri" w:hAnsi="Calibri" w:eastAsia="Calibri"/>
          <w:color w:val="000000"/>
          <w:sz w:val="22"/>
        </w:rPr>
        <w:t>Pre-production and recurring testing shall include vulnerability assessment and, for high-risk services, penetration or application-security testing.</w:t>
      </w:r>
    </w:p>
    <w:p>
      <w:pPr>
        <w:keepNext w:val="0"/>
        <w:keepLines w:val="0"/>
        <w:numPr>
          <w:ilvl w:val="0"/>
          <w:numId w:val="10"/>
        </w:numPr>
        <w:spacing w:before="0" w:after="160" w:line="280" w:lineRule="auto"/>
      </w:pPr>
      <w:r>
        <w:rPr>
          <w:rFonts w:ascii="Calibri" w:hAnsi="Calibri" w:eastAsia="Calibri"/>
          <w:color w:val="000000"/>
          <w:sz w:val="22"/>
        </w:rPr>
        <w:t>Unused services, stale rules, abandoned domains, and expired systems shall be removed promptly and verified after decommissioning.</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Exposure authorization</w:t>
      </w:r>
    </w:p>
    <w:p>
      <w:pPr>
        <w:keepNext w:val="0"/>
        <w:keepLines w:val="0"/>
        <w:numPr>
          <w:ilvl w:val="0"/>
          <w:numId w:val="10"/>
        </w:numPr>
        <w:spacing w:before="0" w:after="160" w:line="280" w:lineRule="auto"/>
      </w:pPr>
      <w:r>
        <w:rPr>
          <w:rFonts w:ascii="Calibri" w:hAnsi="Calibri" w:eastAsia="Calibri"/>
          <w:color w:val="000000"/>
          <w:sz w:val="22"/>
        </w:rPr>
        <w:t>Architecture/data-flow diagram</w:t>
      </w:r>
    </w:p>
    <w:p>
      <w:pPr>
        <w:keepNext w:val="0"/>
        <w:keepLines w:val="0"/>
        <w:numPr>
          <w:ilvl w:val="0"/>
          <w:numId w:val="10"/>
        </w:numPr>
        <w:spacing w:before="0" w:after="160" w:line="280" w:lineRule="auto"/>
      </w:pPr>
      <w:r>
        <w:rPr>
          <w:rFonts w:ascii="Calibri" w:hAnsi="Calibri" w:eastAsia="Calibri"/>
          <w:color w:val="000000"/>
          <w:sz w:val="22"/>
        </w:rPr>
        <w:t>Boundary rule review</w:t>
      </w:r>
    </w:p>
    <w:p>
      <w:pPr>
        <w:keepNext w:val="0"/>
        <w:keepLines w:val="0"/>
        <w:numPr>
          <w:ilvl w:val="0"/>
          <w:numId w:val="10"/>
        </w:numPr>
        <w:spacing w:before="0" w:after="160" w:line="280" w:lineRule="auto"/>
      </w:pPr>
      <w:r>
        <w:rPr>
          <w:rFonts w:ascii="Calibri" w:hAnsi="Calibri" w:eastAsia="Calibri"/>
          <w:color w:val="000000"/>
          <w:sz w:val="22"/>
        </w:rPr>
        <w:t>Baseline and patch evidence</w:t>
      </w:r>
    </w:p>
    <w:p>
      <w:pPr>
        <w:keepNext w:val="0"/>
        <w:keepLines w:val="0"/>
        <w:numPr>
          <w:ilvl w:val="0"/>
          <w:numId w:val="10"/>
        </w:numPr>
        <w:spacing w:before="0" w:after="160" w:line="280" w:lineRule="auto"/>
      </w:pPr>
      <w:r>
        <w:rPr>
          <w:rFonts w:ascii="Calibri" w:hAnsi="Calibri" w:eastAsia="Calibri"/>
          <w:color w:val="000000"/>
          <w:sz w:val="22"/>
        </w:rPr>
        <w:t>External scan/test report</w:t>
      </w:r>
    </w:p>
    <w:p>
      <w:pPr>
        <w:keepNext w:val="0"/>
        <w:keepLines w:val="0"/>
        <w:numPr>
          <w:ilvl w:val="0"/>
          <w:numId w:val="10"/>
        </w:numPr>
        <w:spacing w:before="0" w:after="160" w:line="280" w:lineRule="auto"/>
      </w:pPr>
      <w:r>
        <w:rPr>
          <w:rFonts w:ascii="Calibri" w:hAnsi="Calibri" w:eastAsia="Calibri"/>
          <w:color w:val="000000"/>
          <w:sz w:val="22"/>
        </w:rPr>
        <w:t>Certificate/domain inventory</w:t>
      </w:r>
    </w:p>
    <w:p>
      <w:pPr>
        <w:keepNext w:val="0"/>
        <w:keepLines w:val="0"/>
        <w:numPr>
          <w:ilvl w:val="0"/>
          <w:numId w:val="10"/>
        </w:numPr>
        <w:spacing w:before="0" w:after="160" w:line="280" w:lineRule="auto"/>
      </w:pPr>
      <w:r>
        <w:rPr>
          <w:rFonts w:ascii="Calibri" w:hAnsi="Calibri" w:eastAsia="Calibri"/>
          <w:color w:val="000000"/>
          <w:sz w:val="22"/>
        </w:rPr>
        <w:t>Decommission evidence</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Internet assets inventoried</w:t>
      </w:r>
    </w:p>
    <w:p>
      <w:pPr>
        <w:keepNext w:val="0"/>
        <w:keepLines w:val="0"/>
        <w:numPr>
          <w:ilvl w:val="0"/>
          <w:numId w:val="10"/>
        </w:numPr>
        <w:spacing w:before="0" w:after="160" w:line="280" w:lineRule="auto"/>
      </w:pPr>
      <w:r>
        <w:rPr>
          <w:rFonts w:ascii="Calibri" w:hAnsi="Calibri" w:eastAsia="Calibri"/>
          <w:color w:val="000000"/>
          <w:sz w:val="22"/>
        </w:rPr>
        <w:t>Critical external findings past due</w:t>
      </w:r>
    </w:p>
    <w:p>
      <w:pPr>
        <w:keepNext w:val="0"/>
        <w:keepLines w:val="0"/>
        <w:numPr>
          <w:ilvl w:val="0"/>
          <w:numId w:val="10"/>
        </w:numPr>
        <w:spacing w:before="0" w:after="160" w:line="280" w:lineRule="auto"/>
      </w:pPr>
      <w:r>
        <w:rPr>
          <w:rFonts w:ascii="Calibri" w:hAnsi="Calibri" w:eastAsia="Calibri"/>
          <w:color w:val="000000"/>
          <w:sz w:val="22"/>
        </w:rPr>
        <w:t>Boundary rules reviewed on time</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SC.L2-3.13.1, SC.L2-3.13.5, SC.L2-3.13.6; CM.L2-3.4.6 and CM.L2-3.4.7; RA.L2-3.11.2.</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800-41 Rev. 1, Guidelines on Firewalls and Firewall Policy: https://doi.org/10.6028/NIST.SP.800-41r1</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800-115, Technical Guide to Information Security Testing: https://doi.org/10.6028/NIST.SP.800-115</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Internet-Facing and DMZ Equipment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