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Internet and Cloud Service Usage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Define permitted internet and cloud-service use and prevent unsafe browsing, unapproved data transfer, and circumvention of security controls.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organizational networks, managed endpoints, remote sessions, browsers, internet services, cloud applications, file-sharing platforms, generative AI, and other externally hosted tools.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Users shall access internet services for authorized business and limited permitted personal use under the acceptable-use policy.</w:t>
      </w:r>
    </w:p>
    <w:p>
      <w:pPr>
        <w:keepNext w:val="0"/>
        <w:keepLines w:val="0"/>
        <w:numPr>
          <w:ilvl w:val="0"/>
          <w:numId w:val="10"/>
        </w:numPr>
        <w:spacing w:before="0" w:after="160" w:line="280" w:lineRule="auto"/>
      </w:pPr>
      <w:r>
        <w:rPr>
          <w:rFonts w:ascii="Calibri" w:hAnsi="Calibri" w:eastAsia="Calibri"/>
          <w:color w:val="000000"/>
          <w:sz w:val="22"/>
        </w:rPr>
        <w:t>Nonpublic information shall be entered, uploaded, synchronized, or shared only through approved services and accounts with required contractual and security safeguards.</w:t>
      </w:r>
    </w:p>
    <w:p>
      <w:pPr>
        <w:keepNext w:val="0"/>
        <w:keepLines w:val="0"/>
        <w:numPr>
          <w:ilvl w:val="0"/>
          <w:numId w:val="10"/>
        </w:numPr>
        <w:spacing w:before="0" w:after="160" w:line="280" w:lineRule="auto"/>
      </w:pPr>
      <w:r>
        <w:rPr>
          <w:rFonts w:ascii="Calibri" w:hAnsi="Calibri" w:eastAsia="Calibri"/>
          <w:color w:val="000000"/>
          <w:sz w:val="22"/>
        </w:rPr>
        <w:t>Users shall not bypass web, DNS, proxy, certificate, endpoint, data-loss, or access controls or use anonymizers and personal hotspots to evade policy.</w:t>
      </w:r>
    </w:p>
    <w:p>
      <w:pPr>
        <w:keepNext w:val="0"/>
        <w:keepLines w:val="0"/>
        <w:numPr>
          <w:ilvl w:val="0"/>
          <w:numId w:val="10"/>
        </w:numPr>
        <w:spacing w:before="0" w:after="160" w:line="280" w:lineRule="auto"/>
      </w:pPr>
      <w:r>
        <w:rPr>
          <w:rFonts w:ascii="Calibri" w:hAnsi="Calibri" w:eastAsia="Calibri"/>
          <w:color w:val="000000"/>
          <w:sz w:val="22"/>
        </w:rPr>
        <w:t>Unapproved browser extensions, remote-access services, storage, messaging, code repositories, and AI services are prohibited for organizational data.</w:t>
      </w:r>
    </w:p>
    <w:p>
      <w:pPr>
        <w:keepNext w:val="0"/>
        <w:keepLines w:val="0"/>
        <w:numPr>
          <w:ilvl w:val="0"/>
          <w:numId w:val="10"/>
        </w:numPr>
        <w:spacing w:before="0" w:after="160" w:line="280" w:lineRule="auto"/>
      </w:pPr>
      <w:r>
        <w:rPr>
          <w:rFonts w:ascii="Calibri" w:hAnsi="Calibri" w:eastAsia="Calibri"/>
          <w:color w:val="000000"/>
          <w:sz w:val="22"/>
        </w:rPr>
        <w:t>Downloads and uploads shall be scanned or otherwise inspected by approved controls where supported; suspicious content shall not be opened or forwarded.</w:t>
      </w:r>
    </w:p>
    <w:p>
      <w:pPr>
        <w:keepNext w:val="0"/>
        <w:keepLines w:val="0"/>
        <w:numPr>
          <w:ilvl w:val="0"/>
          <w:numId w:val="10"/>
        </w:numPr>
        <w:spacing w:before="0" w:after="160" w:line="280" w:lineRule="auto"/>
      </w:pPr>
      <w:r>
        <w:rPr>
          <w:rFonts w:ascii="Calibri" w:hAnsi="Calibri" w:eastAsia="Calibri"/>
          <w:color w:val="000000"/>
          <w:sz w:val="22"/>
        </w:rPr>
        <w:t>Access to high-risk categories may be blocked or restricted; legitimate business exceptions require approval, defined scope, monitoring, and expiration.</w:t>
      </w:r>
    </w:p>
    <w:p>
      <w:pPr>
        <w:keepNext w:val="0"/>
        <w:keepLines w:val="0"/>
        <w:numPr>
          <w:ilvl w:val="0"/>
          <w:numId w:val="10"/>
        </w:numPr>
        <w:spacing w:before="0" w:after="160" w:line="280" w:lineRule="auto"/>
      </w:pPr>
      <w:r>
        <w:rPr>
          <w:rFonts w:ascii="Calibri" w:hAnsi="Calibri" w:eastAsia="Calibri"/>
          <w:color w:val="000000"/>
          <w:sz w:val="22"/>
        </w:rPr>
        <w:t>Suspected malicious sites, credential prompts, unsafe downloads, or accidental disclosure shall be reported immediately.</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Approved-service register</w:t>
      </w:r>
    </w:p>
    <w:p>
      <w:pPr>
        <w:keepNext w:val="0"/>
        <w:keepLines w:val="0"/>
        <w:numPr>
          <w:ilvl w:val="0"/>
          <w:numId w:val="10"/>
        </w:numPr>
        <w:spacing w:before="0" w:after="160" w:line="280" w:lineRule="auto"/>
      </w:pPr>
      <w:r>
        <w:rPr>
          <w:rFonts w:ascii="Calibri" w:hAnsi="Calibri" w:eastAsia="Calibri"/>
          <w:color w:val="000000"/>
          <w:sz w:val="22"/>
        </w:rPr>
        <w:t>Web/DNS control configuration</w:t>
      </w:r>
    </w:p>
    <w:p>
      <w:pPr>
        <w:keepNext w:val="0"/>
        <w:keepLines w:val="0"/>
        <w:numPr>
          <w:ilvl w:val="0"/>
          <w:numId w:val="10"/>
        </w:numPr>
        <w:spacing w:before="0" w:after="160" w:line="280" w:lineRule="auto"/>
      </w:pPr>
      <w:r>
        <w:rPr>
          <w:rFonts w:ascii="Calibri" w:hAnsi="Calibri" w:eastAsia="Calibri"/>
          <w:color w:val="000000"/>
          <w:sz w:val="22"/>
        </w:rPr>
        <w:t>Cloud application discovery report</w:t>
      </w:r>
    </w:p>
    <w:p>
      <w:pPr>
        <w:keepNext w:val="0"/>
        <w:keepLines w:val="0"/>
        <w:numPr>
          <w:ilvl w:val="0"/>
          <w:numId w:val="10"/>
        </w:numPr>
        <w:spacing w:before="0" w:after="160" w:line="280" w:lineRule="auto"/>
      </w:pPr>
      <w:r>
        <w:rPr>
          <w:rFonts w:ascii="Calibri" w:hAnsi="Calibri" w:eastAsia="Calibri"/>
          <w:color w:val="000000"/>
          <w:sz w:val="22"/>
        </w:rPr>
        <w:t>Exception register</w:t>
      </w:r>
    </w:p>
    <w:p>
      <w:pPr>
        <w:keepNext w:val="0"/>
        <w:keepLines w:val="0"/>
        <w:numPr>
          <w:ilvl w:val="0"/>
          <w:numId w:val="10"/>
        </w:numPr>
        <w:spacing w:before="0" w:after="160" w:line="280" w:lineRule="auto"/>
      </w:pPr>
      <w:r>
        <w:rPr>
          <w:rFonts w:ascii="Calibri" w:hAnsi="Calibri" w:eastAsia="Calibri"/>
          <w:color w:val="000000"/>
          <w:sz w:val="22"/>
        </w:rPr>
        <w:t>User acknowledgment</w:t>
      </w:r>
    </w:p>
    <w:p>
      <w:pPr>
        <w:keepNext w:val="0"/>
        <w:keepLines w:val="0"/>
        <w:numPr>
          <w:ilvl w:val="0"/>
          <w:numId w:val="10"/>
        </w:numPr>
        <w:spacing w:before="0" w:after="160" w:line="280" w:lineRule="auto"/>
      </w:pPr>
      <w:r>
        <w:rPr>
          <w:rFonts w:ascii="Calibri" w:hAnsi="Calibri" w:eastAsia="Calibri"/>
          <w:color w:val="000000"/>
          <w:sz w:val="22"/>
        </w:rPr>
        <w:t>Incident and corrective-action records</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Sanctioned cloud services</w:t>
      </w:r>
    </w:p>
    <w:p>
      <w:pPr>
        <w:keepNext w:val="0"/>
        <w:keepLines w:val="0"/>
        <w:numPr>
          <w:ilvl w:val="0"/>
          <w:numId w:val="10"/>
        </w:numPr>
        <w:spacing w:before="0" w:after="160" w:line="280" w:lineRule="auto"/>
      </w:pPr>
      <w:r>
        <w:rPr>
          <w:rFonts w:ascii="Calibri" w:hAnsi="Calibri" w:eastAsia="Calibri"/>
          <w:color w:val="000000"/>
          <w:sz w:val="22"/>
        </w:rPr>
        <w:t>Unapproved service detections</w:t>
      </w:r>
    </w:p>
    <w:p>
      <w:pPr>
        <w:keepNext w:val="0"/>
        <w:keepLines w:val="0"/>
        <w:numPr>
          <w:ilvl w:val="0"/>
          <w:numId w:val="10"/>
        </w:numPr>
        <w:spacing w:before="0" w:after="160" w:line="280" w:lineRule="auto"/>
      </w:pPr>
      <w:r>
        <w:rPr>
          <w:rFonts w:ascii="Calibri" w:hAnsi="Calibri" w:eastAsia="Calibri"/>
          <w:color w:val="000000"/>
          <w:sz w:val="22"/>
        </w:rPr>
        <w:t>Expired web exceptions</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AC.L1-3.1.20; AC.L2-3.1.3; CM.L2-3.4.8 and CM.L2-3.4.9; SI.L2-3.14.6 and SI.L2-3.14.7.</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Cybersecurity Framework (CSF) 2.0: https://doi.org/10.6028/NIST.CSWP.29</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Internet and Cloud Service Usage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