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Mobile Device Encryption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Require encryption and recovery safeguards for mobile devices that store or access organizational information.</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organization-owned and approved personally owned smartphones, tablets, rugged devices, portable computers, and removable storage used for organizational work.</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Full-device or file-based encryption shall be enabled using an organization-approved platform before nonpublic information is stored or accessed.</w:t>
      </w:r>
    </w:p>
    <w:p>
      <w:pPr>
        <w:keepNext w:val="0"/>
        <w:keepLines w:val="0"/>
        <w:numPr>
          <w:ilvl w:val="0"/>
          <w:numId w:val="10"/>
        </w:numPr>
        <w:spacing w:before="0" w:after="160" w:line="280" w:lineRule="auto"/>
      </w:pPr>
      <w:r>
        <w:rPr>
          <w:rFonts w:ascii="Calibri" w:hAnsi="Calibri" w:eastAsia="Calibri"/>
          <w:color w:val="000000"/>
          <w:sz w:val="22"/>
        </w:rPr>
        <w:t>Access shall require an approved screen lock, device authentication, and automatic lock period; devices that cannot enforce required protection shall not access restricted data.</w:t>
      </w:r>
    </w:p>
    <w:p>
      <w:pPr>
        <w:keepNext w:val="0"/>
        <w:keepLines w:val="0"/>
        <w:numPr>
          <w:ilvl w:val="0"/>
          <w:numId w:val="10"/>
        </w:numPr>
        <w:spacing w:before="0" w:after="160" w:line="280" w:lineRule="auto"/>
      </w:pPr>
      <w:r>
        <w:rPr>
          <w:rFonts w:ascii="Calibri" w:hAnsi="Calibri" w:eastAsia="Calibri"/>
          <w:color w:val="000000"/>
          <w:sz w:val="22"/>
        </w:rPr>
        <w:t>Encryption recovery keys shall be escrowed to an approved managed service with restricted, logged recovery access.</w:t>
      </w:r>
    </w:p>
    <w:p>
      <w:pPr>
        <w:keepNext w:val="0"/>
        <w:keepLines w:val="0"/>
        <w:numPr>
          <w:ilvl w:val="0"/>
          <w:numId w:val="10"/>
        </w:numPr>
        <w:spacing w:before="0" w:after="160" w:line="280" w:lineRule="auto"/>
      </w:pPr>
      <w:r>
        <w:rPr>
          <w:rFonts w:ascii="Calibri" w:hAnsi="Calibri" w:eastAsia="Calibri"/>
          <w:color w:val="000000"/>
          <w:sz w:val="22"/>
        </w:rPr>
        <w:t>Devices shall not be rooted, jailbroken, bootloader-unlocked, or otherwise modified to bypass platform security.</w:t>
      </w:r>
    </w:p>
    <w:p>
      <w:pPr>
        <w:keepNext w:val="0"/>
        <w:keepLines w:val="0"/>
        <w:numPr>
          <w:ilvl w:val="0"/>
          <w:numId w:val="10"/>
        </w:numPr>
        <w:spacing w:before="0" w:after="160" w:line="280" w:lineRule="auto"/>
      </w:pPr>
      <w:r>
        <w:rPr>
          <w:rFonts w:ascii="Calibri" w:hAnsi="Calibri" w:eastAsia="Calibri"/>
          <w:color w:val="000000"/>
          <w:sz w:val="22"/>
        </w:rPr>
        <w:t>Management controls shall verify encryption state, supported operating-system version, integrity, and compliance before access where technically supported.</w:t>
      </w:r>
    </w:p>
    <w:p>
      <w:pPr>
        <w:keepNext w:val="0"/>
        <w:keepLines w:val="0"/>
        <w:numPr>
          <w:ilvl w:val="0"/>
          <w:numId w:val="10"/>
        </w:numPr>
        <w:spacing w:before="0" w:after="160" w:line="280" w:lineRule="auto"/>
      </w:pPr>
      <w:r>
        <w:rPr>
          <w:rFonts w:ascii="Calibri" w:hAnsi="Calibri" w:eastAsia="Calibri"/>
          <w:color w:val="000000"/>
          <w:sz w:val="22"/>
        </w:rPr>
        <w:t>Lost, stolen, transferred, or retired devices shall be reported promptly and remotely locked, wiped, revoked, or sanitized as appropriate.</w:t>
      </w:r>
    </w:p>
    <w:p>
      <w:pPr>
        <w:keepNext w:val="0"/>
        <w:keepLines w:val="0"/>
        <w:numPr>
          <w:ilvl w:val="0"/>
          <w:numId w:val="10"/>
        </w:numPr>
        <w:spacing w:before="0" w:after="160" w:line="280" w:lineRule="auto"/>
      </w:pPr>
      <w:r>
        <w:rPr>
          <w:rFonts w:ascii="Calibri" w:hAnsi="Calibri" w:eastAsia="Calibri"/>
          <w:color w:val="000000"/>
          <w:sz w:val="22"/>
        </w:rPr>
        <w:t>Backups and synchronized copies of mobile data shall use approved encrypted services and shall not be stored in personal accounts.</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Device inventory</w:t>
      </w:r>
    </w:p>
    <w:p>
      <w:pPr>
        <w:keepNext w:val="0"/>
        <w:keepLines w:val="0"/>
        <w:numPr>
          <w:ilvl w:val="0"/>
          <w:numId w:val="10"/>
        </w:numPr>
        <w:spacing w:before="0" w:after="160" w:line="280" w:lineRule="auto"/>
      </w:pPr>
      <w:r>
        <w:rPr>
          <w:rFonts w:ascii="Calibri" w:hAnsi="Calibri" w:eastAsia="Calibri"/>
          <w:color w:val="000000"/>
          <w:sz w:val="22"/>
        </w:rPr>
        <w:t>Encryption/compliance report</w:t>
      </w:r>
    </w:p>
    <w:p>
      <w:pPr>
        <w:keepNext w:val="0"/>
        <w:keepLines w:val="0"/>
        <w:numPr>
          <w:ilvl w:val="0"/>
          <w:numId w:val="10"/>
        </w:numPr>
        <w:spacing w:before="0" w:after="160" w:line="280" w:lineRule="auto"/>
      </w:pPr>
      <w:r>
        <w:rPr>
          <w:rFonts w:ascii="Calibri" w:hAnsi="Calibri" w:eastAsia="Calibri"/>
          <w:color w:val="000000"/>
          <w:sz w:val="22"/>
        </w:rPr>
        <w:t>Recovery-key escrow evidence</w:t>
      </w:r>
    </w:p>
    <w:p>
      <w:pPr>
        <w:keepNext w:val="0"/>
        <w:keepLines w:val="0"/>
        <w:numPr>
          <w:ilvl w:val="0"/>
          <w:numId w:val="10"/>
        </w:numPr>
        <w:spacing w:before="0" w:after="160" w:line="280" w:lineRule="auto"/>
      </w:pPr>
      <w:r>
        <w:rPr>
          <w:rFonts w:ascii="Calibri" w:hAnsi="Calibri" w:eastAsia="Calibri"/>
          <w:color w:val="000000"/>
          <w:sz w:val="22"/>
        </w:rPr>
        <w:t>Conditional access or enforcement evidence</w:t>
      </w:r>
    </w:p>
    <w:p>
      <w:pPr>
        <w:keepNext w:val="0"/>
        <w:keepLines w:val="0"/>
        <w:numPr>
          <w:ilvl w:val="0"/>
          <w:numId w:val="10"/>
        </w:numPr>
        <w:spacing w:before="0" w:after="160" w:line="280" w:lineRule="auto"/>
      </w:pPr>
      <w:r>
        <w:rPr>
          <w:rFonts w:ascii="Calibri" w:hAnsi="Calibri" w:eastAsia="Calibri"/>
          <w:color w:val="000000"/>
          <w:sz w:val="22"/>
        </w:rPr>
        <w:t>Loss/wipe ticket</w:t>
      </w:r>
    </w:p>
    <w:p>
      <w:pPr>
        <w:keepNext w:val="0"/>
        <w:keepLines w:val="0"/>
        <w:numPr>
          <w:ilvl w:val="0"/>
          <w:numId w:val="10"/>
        </w:numPr>
        <w:spacing w:before="0" w:after="160" w:line="280" w:lineRule="auto"/>
      </w:pPr>
      <w:r>
        <w:rPr>
          <w:rFonts w:ascii="Calibri" w:hAnsi="Calibri" w:eastAsia="Calibri"/>
          <w:color w:val="000000"/>
          <w:sz w:val="22"/>
        </w:rPr>
        <w:t>Sanitization/disposal record</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Managed mobile devices encrypted</w:t>
      </w:r>
    </w:p>
    <w:p>
      <w:pPr>
        <w:keepNext w:val="0"/>
        <w:keepLines w:val="0"/>
        <w:numPr>
          <w:ilvl w:val="0"/>
          <w:numId w:val="10"/>
        </w:numPr>
        <w:spacing w:before="0" w:after="160" w:line="280" w:lineRule="auto"/>
      </w:pPr>
      <w:r>
        <w:rPr>
          <w:rFonts w:ascii="Calibri" w:hAnsi="Calibri" w:eastAsia="Calibri"/>
          <w:color w:val="000000"/>
          <w:sz w:val="22"/>
        </w:rPr>
        <w:t>Noncompliant devices blocked</w:t>
      </w:r>
    </w:p>
    <w:p>
      <w:pPr>
        <w:keepNext w:val="0"/>
        <w:keepLines w:val="0"/>
        <w:numPr>
          <w:ilvl w:val="0"/>
          <w:numId w:val="10"/>
        </w:numPr>
        <w:spacing w:before="0" w:after="160" w:line="280" w:lineRule="auto"/>
      </w:pPr>
      <w:r>
        <w:rPr>
          <w:rFonts w:ascii="Calibri" w:hAnsi="Calibri" w:eastAsia="Calibri"/>
          <w:color w:val="000000"/>
          <w:sz w:val="22"/>
        </w:rPr>
        <w:t>Recovery events logged and reviewed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AC.L2-3.1.18, AC.L2-3.1.19; MP.L2-3.8.1, MP.L2-3.8.7, MP.L2-3.8.8; SC.L2-3.13.16.</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800-124 Rev. 2, Managing Mobile Device Security: https://doi.org/10.6028/NIST.SP.800-124r2</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800-88 Rev. 2, Guidelines for Media Sanitization: https://doi.org/10.6028/NIST.SP.800-88r2</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Device Encryption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