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Mobile Workforce Endpoint Responsibility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user responsibilities for protecting organizational endpoints and information while traveling or working away from controlled facilities.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workforce members using laptops, mobile devices, removable media, virtual desktops, remote-access services, or personally owned devices approved for business use.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Users shall maintain physical control of devices, use approved cases or storage, and never leave sensitive equipment visible or unattended in an unsecured vehicle or public location.</w:t>
      </w:r>
    </w:p>
    <w:p>
      <w:pPr>
        <w:keepNext w:val="0"/>
        <w:keepLines w:val="0"/>
        <w:numPr>
          <w:ilvl w:val="0"/>
          <w:numId w:val="10"/>
        </w:numPr>
        <w:spacing w:before="0" w:after="160" w:line="280" w:lineRule="auto"/>
      </w:pPr>
      <w:r>
        <w:rPr>
          <w:rFonts w:ascii="Calibri" w:hAnsi="Calibri" w:eastAsia="Calibri"/>
          <w:color w:val="000000"/>
          <w:sz w:val="22"/>
        </w:rPr>
        <w:t>Public or untrusted networks shall be used only through approved secure access; automatic connection to open wireless networks shall be disabled.</w:t>
      </w:r>
    </w:p>
    <w:p>
      <w:pPr>
        <w:keepNext w:val="0"/>
        <w:keepLines w:val="0"/>
        <w:numPr>
          <w:ilvl w:val="0"/>
          <w:numId w:val="10"/>
        </w:numPr>
        <w:spacing w:before="0" w:after="160" w:line="280" w:lineRule="auto"/>
      </w:pPr>
      <w:r>
        <w:rPr>
          <w:rFonts w:ascii="Calibri" w:hAnsi="Calibri" w:eastAsia="Calibri"/>
          <w:color w:val="000000"/>
          <w:sz w:val="22"/>
        </w:rPr>
        <w:t>Users shall prevent shoulder surfing and voice disclosure, use privacy safeguards when warranted, and avoid handling restricted information where unauthorized persons can observe or overhear.</w:t>
      </w:r>
    </w:p>
    <w:p>
      <w:pPr>
        <w:keepNext w:val="0"/>
        <w:keepLines w:val="0"/>
        <w:numPr>
          <w:ilvl w:val="0"/>
          <w:numId w:val="10"/>
        </w:numPr>
        <w:spacing w:before="0" w:after="160" w:line="280" w:lineRule="auto"/>
      </w:pPr>
      <w:r>
        <w:rPr>
          <w:rFonts w:ascii="Calibri" w:hAnsi="Calibri" w:eastAsia="Calibri"/>
          <w:color w:val="000000"/>
          <w:sz w:val="22"/>
        </w:rPr>
        <w:t>Managed security, updates, encryption, endpoint protection, remote lock/wipe, and monitoring shall not be disabled or bypassed.</w:t>
      </w:r>
    </w:p>
    <w:p>
      <w:pPr>
        <w:keepNext w:val="0"/>
        <w:keepLines w:val="0"/>
        <w:numPr>
          <w:ilvl w:val="0"/>
          <w:numId w:val="10"/>
        </w:numPr>
        <w:spacing w:before="0" w:after="160" w:line="280" w:lineRule="auto"/>
      </w:pPr>
      <w:r>
        <w:rPr>
          <w:rFonts w:ascii="Calibri" w:hAnsi="Calibri" w:eastAsia="Calibri"/>
          <w:color w:val="000000"/>
          <w:sz w:val="22"/>
        </w:rPr>
        <w:t>Organizational data shall remain in approved services; local storage, printing, photography, removable media, and personal-account transfer require explicit authorization.</w:t>
      </w:r>
    </w:p>
    <w:p>
      <w:pPr>
        <w:keepNext w:val="0"/>
        <w:keepLines w:val="0"/>
        <w:numPr>
          <w:ilvl w:val="0"/>
          <w:numId w:val="10"/>
        </w:numPr>
        <w:spacing w:before="0" w:after="160" w:line="280" w:lineRule="auto"/>
      </w:pPr>
      <w:r>
        <w:rPr>
          <w:rFonts w:ascii="Calibri" w:hAnsi="Calibri" w:eastAsia="Calibri"/>
          <w:color w:val="000000"/>
          <w:sz w:val="22"/>
        </w:rPr>
        <w:t>Loss, theft, damage, unexpected prompts, suspected compromise, border inspection, or unauthorized access shall be reported immediately.</w:t>
      </w:r>
    </w:p>
    <w:p>
      <w:pPr>
        <w:keepNext w:val="0"/>
        <w:keepLines w:val="0"/>
        <w:numPr>
          <w:ilvl w:val="0"/>
          <w:numId w:val="10"/>
        </w:numPr>
        <w:spacing w:before="0" w:after="160" w:line="280" w:lineRule="auto"/>
      </w:pPr>
      <w:r>
        <w:rPr>
          <w:rFonts w:ascii="Calibri" w:hAnsi="Calibri" w:eastAsia="Calibri"/>
          <w:color w:val="000000"/>
          <w:sz w:val="22"/>
        </w:rPr>
        <w:t>On return or transfer, users shall follow inspection, synchronization, evidence preservation, and equipment return procedures.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Remote-work/mobile acknowledgment</w:t>
      </w:r>
    </w:p>
    <w:p>
      <w:pPr>
        <w:keepNext w:val="0"/>
        <w:keepLines w:val="0"/>
        <w:numPr>
          <w:ilvl w:val="0"/>
          <w:numId w:val="10"/>
        </w:numPr>
        <w:spacing w:before="0" w:after="160" w:line="280" w:lineRule="auto"/>
      </w:pPr>
      <w:r>
        <w:rPr>
          <w:rFonts w:ascii="Calibri" w:hAnsi="Calibri" w:eastAsia="Calibri"/>
          <w:color w:val="000000"/>
          <w:sz w:val="22"/>
        </w:rPr>
        <w:t>Device compliance report</w:t>
      </w:r>
    </w:p>
    <w:p>
      <w:pPr>
        <w:keepNext w:val="0"/>
        <w:keepLines w:val="0"/>
        <w:numPr>
          <w:ilvl w:val="0"/>
          <w:numId w:val="10"/>
        </w:numPr>
        <w:spacing w:before="0" w:after="160" w:line="280" w:lineRule="auto"/>
      </w:pPr>
      <w:r>
        <w:rPr>
          <w:rFonts w:ascii="Calibri" w:hAnsi="Calibri" w:eastAsia="Calibri"/>
          <w:color w:val="000000"/>
          <w:sz w:val="22"/>
        </w:rPr>
        <w:t>Travel or special-risk approval</w:t>
      </w:r>
    </w:p>
    <w:p>
      <w:pPr>
        <w:keepNext w:val="0"/>
        <w:keepLines w:val="0"/>
        <w:numPr>
          <w:ilvl w:val="0"/>
          <w:numId w:val="10"/>
        </w:numPr>
        <w:spacing w:before="0" w:after="160" w:line="280" w:lineRule="auto"/>
      </w:pPr>
      <w:r>
        <w:rPr>
          <w:rFonts w:ascii="Calibri" w:hAnsi="Calibri" w:eastAsia="Calibri"/>
          <w:color w:val="000000"/>
          <w:sz w:val="22"/>
        </w:rPr>
        <w:t>Loss/theft report</w:t>
      </w:r>
    </w:p>
    <w:p>
      <w:pPr>
        <w:keepNext w:val="0"/>
        <w:keepLines w:val="0"/>
        <w:numPr>
          <w:ilvl w:val="0"/>
          <w:numId w:val="10"/>
        </w:numPr>
        <w:spacing w:before="0" w:after="160" w:line="280" w:lineRule="auto"/>
      </w:pPr>
      <w:r>
        <w:rPr>
          <w:rFonts w:ascii="Calibri" w:hAnsi="Calibri" w:eastAsia="Calibri"/>
          <w:color w:val="000000"/>
          <w:sz w:val="22"/>
        </w:rPr>
        <w:t>Access revocation/wipe evidence</w:t>
      </w:r>
    </w:p>
    <w:p>
      <w:pPr>
        <w:keepNext w:val="0"/>
        <w:keepLines w:val="0"/>
        <w:numPr>
          <w:ilvl w:val="0"/>
          <w:numId w:val="10"/>
        </w:numPr>
        <w:spacing w:before="0" w:after="160" w:line="280" w:lineRule="auto"/>
      </w:pPr>
      <w:r>
        <w:rPr>
          <w:rFonts w:ascii="Calibri" w:hAnsi="Calibri" w:eastAsia="Calibri"/>
          <w:color w:val="000000"/>
          <w:sz w:val="22"/>
        </w:rPr>
        <w:t>Return inspection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Mobile workforce acknowledgments</w:t>
      </w:r>
    </w:p>
    <w:p>
      <w:pPr>
        <w:keepNext w:val="0"/>
        <w:keepLines w:val="0"/>
        <w:numPr>
          <w:ilvl w:val="0"/>
          <w:numId w:val="10"/>
        </w:numPr>
        <w:spacing w:before="0" w:after="160" w:line="280" w:lineRule="auto"/>
      </w:pPr>
      <w:r>
        <w:rPr>
          <w:rFonts w:ascii="Calibri" w:hAnsi="Calibri" w:eastAsia="Calibri"/>
          <w:color w:val="000000"/>
          <w:sz w:val="22"/>
        </w:rPr>
        <w:t>Reported device losses</w:t>
      </w:r>
    </w:p>
    <w:p>
      <w:pPr>
        <w:keepNext w:val="0"/>
        <w:keepLines w:val="0"/>
        <w:numPr>
          <w:ilvl w:val="0"/>
          <w:numId w:val="10"/>
        </w:numPr>
        <w:spacing w:before="0" w:after="160" w:line="280" w:lineRule="auto"/>
      </w:pPr>
      <w:r>
        <w:rPr>
          <w:rFonts w:ascii="Calibri" w:hAnsi="Calibri" w:eastAsia="Calibri"/>
          <w:color w:val="000000"/>
          <w:sz w:val="22"/>
        </w:rPr>
        <w:t>Noncompliant remote endpoints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AC.L2-3.1.18 and AC.L2-3.1.19; MP.L1-3.8.3 and MP.L2-3.8.7; PE practices as applicable.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800-124 Rev. 2, Managing Mobile Device Security: https://doi.org/10.6028/NIST.SP.800-124r2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Workforce Endpoint Responsibility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