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GUIDELINE</w:t>
      </w:r>
    </w:p>
    <w:p>
      <w:pPr>
        <w:keepNext/>
        <w:keepLines w:val="0"/>
        <w:spacing w:before="0" w:after="100" w:line="240" w:lineRule="auto"/>
      </w:pPr>
      <w:r>
        <w:rPr>
          <w:rFonts w:ascii="Calibri" w:hAnsi="Calibri" w:eastAsia="Calibri"/>
          <w:b/>
          <w:color w:val="0B2545"/>
          <w:sz w:val="46"/>
        </w:rPr>
        <w:t>Password and Passphrase Construction Guidelines</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Provide user-facing guidance for creating and handling passwords when password authentication remains necessary.</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workforce members, administrators, service owners, and developers using passwords or passphrases for organizational accounts and systems.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Use a long, memorable passphrase or a password generated and stored by an approved password manager; meet the system's organization-approved minimum length.</w:t>
      </w:r>
    </w:p>
    <w:p>
      <w:pPr>
        <w:keepNext w:val="0"/>
        <w:keepLines w:val="0"/>
        <w:numPr>
          <w:ilvl w:val="0"/>
          <w:numId w:val="10"/>
        </w:numPr>
        <w:spacing w:before="0" w:after="160" w:line="280" w:lineRule="auto"/>
      </w:pPr>
      <w:r>
        <w:rPr>
          <w:rFonts w:ascii="Calibri" w:hAnsi="Calibri" w:eastAsia="Calibri"/>
          <w:color w:val="000000"/>
          <w:sz w:val="22"/>
        </w:rPr>
        <w:t>Use a unique password for every organizational account and never reuse a work password on a personal or external service.</w:t>
      </w:r>
    </w:p>
    <w:p>
      <w:pPr>
        <w:keepNext w:val="0"/>
        <w:keepLines w:val="0"/>
        <w:numPr>
          <w:ilvl w:val="0"/>
          <w:numId w:val="10"/>
        </w:numPr>
        <w:spacing w:before="0" w:after="160" w:line="280" w:lineRule="auto"/>
      </w:pPr>
      <w:r>
        <w:rPr>
          <w:rFonts w:ascii="Calibri" w:hAnsi="Calibri" w:eastAsia="Calibri"/>
          <w:color w:val="000000"/>
          <w:sz w:val="22"/>
        </w:rPr>
        <w:t>Do not use passwords found on common or compromised-password blocklists, obvious organization terms, usernames, predictable patterns, or context easily learned about the user.</w:t>
      </w:r>
    </w:p>
    <w:p>
      <w:pPr>
        <w:keepNext w:val="0"/>
        <w:keepLines w:val="0"/>
        <w:numPr>
          <w:ilvl w:val="0"/>
          <w:numId w:val="10"/>
        </w:numPr>
        <w:spacing w:before="0" w:after="160" w:line="280" w:lineRule="auto"/>
      </w:pPr>
      <w:r>
        <w:rPr>
          <w:rFonts w:ascii="Calibri" w:hAnsi="Calibri" w:eastAsia="Calibri"/>
          <w:color w:val="000000"/>
          <w:sz w:val="22"/>
        </w:rPr>
        <w:t>Do not share passwords or send them by email, chat, text, tickets, documents, or telephone; use approved delegation and secret-sharing mechanisms.</w:t>
      </w:r>
    </w:p>
    <w:p>
      <w:pPr>
        <w:keepNext w:val="0"/>
        <w:keepLines w:val="0"/>
        <w:numPr>
          <w:ilvl w:val="0"/>
          <w:numId w:val="10"/>
        </w:numPr>
        <w:spacing w:before="0" w:after="160" w:line="280" w:lineRule="auto"/>
      </w:pPr>
      <w:r>
        <w:rPr>
          <w:rFonts w:ascii="Calibri" w:hAnsi="Calibri" w:eastAsia="Calibri"/>
          <w:color w:val="000000"/>
          <w:sz w:val="22"/>
        </w:rPr>
        <w:t>Do not change passwords on a routine schedule solely because time passed unless required by a governing obligation; change immediately when compromise is suspected or confirmed.</w:t>
      </w:r>
    </w:p>
    <w:p>
      <w:pPr>
        <w:keepNext w:val="0"/>
        <w:keepLines w:val="0"/>
        <w:numPr>
          <w:ilvl w:val="0"/>
          <w:numId w:val="10"/>
        </w:numPr>
        <w:spacing w:before="0" w:after="160" w:line="280" w:lineRule="auto"/>
      </w:pPr>
      <w:r>
        <w:rPr>
          <w:rFonts w:ascii="Calibri" w:hAnsi="Calibri" w:eastAsia="Calibri"/>
          <w:color w:val="000000"/>
          <w:sz w:val="22"/>
        </w:rPr>
        <w:t>Use multifactor authentication and phishing-resistant authenticators where offered; passwords alone are insufficient for privileged or high-risk access unless formally excepted.</w:t>
      </w:r>
    </w:p>
    <w:p>
      <w:pPr>
        <w:keepNext w:val="0"/>
        <w:keepLines w:val="0"/>
        <w:numPr>
          <w:ilvl w:val="0"/>
          <w:numId w:val="10"/>
        </w:numPr>
        <w:spacing w:before="0" w:after="160" w:line="280" w:lineRule="auto"/>
      </w:pPr>
      <w:r>
        <w:rPr>
          <w:rFonts w:ascii="Calibri" w:hAnsi="Calibri" w:eastAsia="Calibri"/>
          <w:color w:val="000000"/>
          <w:sz w:val="22"/>
        </w:rPr>
        <w:t>Report unexpected authentication prompts, lockouts, reset messages, or suspected credential exposure immediately.</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Published user guidance</w:t>
      </w:r>
    </w:p>
    <w:p>
      <w:pPr>
        <w:keepNext w:val="0"/>
        <w:keepLines w:val="0"/>
        <w:numPr>
          <w:ilvl w:val="0"/>
          <w:numId w:val="10"/>
        </w:numPr>
        <w:spacing w:before="0" w:after="160" w:line="280" w:lineRule="auto"/>
      </w:pPr>
      <w:r>
        <w:rPr>
          <w:rFonts w:ascii="Calibri" w:hAnsi="Calibri" w:eastAsia="Calibri"/>
          <w:color w:val="000000"/>
          <w:sz w:val="22"/>
        </w:rPr>
        <w:t>Password-manager approval/configuration</w:t>
      </w:r>
    </w:p>
    <w:p>
      <w:pPr>
        <w:keepNext w:val="0"/>
        <w:keepLines w:val="0"/>
        <w:numPr>
          <w:ilvl w:val="0"/>
          <w:numId w:val="10"/>
        </w:numPr>
        <w:spacing w:before="0" w:after="160" w:line="280" w:lineRule="auto"/>
      </w:pPr>
      <w:r>
        <w:rPr>
          <w:rFonts w:ascii="Calibri" w:hAnsi="Calibri" w:eastAsia="Calibri"/>
          <w:color w:val="000000"/>
          <w:sz w:val="22"/>
        </w:rPr>
        <w:t>Compromised-password screening evidence</w:t>
      </w:r>
    </w:p>
    <w:p>
      <w:pPr>
        <w:keepNext w:val="0"/>
        <w:keepLines w:val="0"/>
        <w:numPr>
          <w:ilvl w:val="0"/>
          <w:numId w:val="10"/>
        </w:numPr>
        <w:spacing w:before="0" w:after="160" w:line="280" w:lineRule="auto"/>
      </w:pPr>
      <w:r>
        <w:rPr>
          <w:rFonts w:ascii="Calibri" w:hAnsi="Calibri" w:eastAsia="Calibri"/>
          <w:color w:val="000000"/>
          <w:sz w:val="22"/>
        </w:rPr>
        <w:t>MFA enrollment report</w:t>
      </w:r>
    </w:p>
    <w:p>
      <w:pPr>
        <w:keepNext w:val="0"/>
        <w:keepLines w:val="0"/>
        <w:numPr>
          <w:ilvl w:val="0"/>
          <w:numId w:val="10"/>
        </w:numPr>
        <w:spacing w:before="0" w:after="160" w:line="280" w:lineRule="auto"/>
      </w:pPr>
      <w:r>
        <w:rPr>
          <w:rFonts w:ascii="Calibri" w:hAnsi="Calibri" w:eastAsia="Calibri"/>
          <w:color w:val="000000"/>
          <w:sz w:val="22"/>
        </w:rPr>
        <w:t>Credential incident records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MFA enrollment</w:t>
      </w:r>
    </w:p>
    <w:p>
      <w:pPr>
        <w:keepNext w:val="0"/>
        <w:keepLines w:val="0"/>
        <w:numPr>
          <w:ilvl w:val="0"/>
          <w:numId w:val="10"/>
        </w:numPr>
        <w:spacing w:before="0" w:after="160" w:line="280" w:lineRule="auto"/>
      </w:pPr>
      <w:r>
        <w:rPr>
          <w:rFonts w:ascii="Calibri" w:hAnsi="Calibri" w:eastAsia="Calibri"/>
          <w:color w:val="000000"/>
          <w:sz w:val="22"/>
        </w:rPr>
        <w:t>Compromised passwords blocked</w:t>
      </w:r>
    </w:p>
    <w:p>
      <w:pPr>
        <w:keepNext w:val="0"/>
        <w:keepLines w:val="0"/>
        <w:numPr>
          <w:ilvl w:val="0"/>
          <w:numId w:val="10"/>
        </w:numPr>
        <w:spacing w:before="0" w:after="160" w:line="280" w:lineRule="auto"/>
      </w:pPr>
      <w:r>
        <w:rPr>
          <w:rFonts w:ascii="Calibri" w:hAnsi="Calibri" w:eastAsia="Calibri"/>
          <w:color w:val="000000"/>
          <w:sz w:val="22"/>
        </w:rPr>
        <w:t>Password-related incidents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IA.L2-3.5.7, IA.L2-3.5.8, IA.L2-3.5.9, IA.L2-3.5.10, IA.L2-3.5.11.</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800-63B-4, Authentication and Authenticator Management: https://doi.org/10.6028/NIST.SP.800-63B-4</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Guideline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and Passphrase Construction Guidelines</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