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Password and Authenticator Protection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Establish lifecycle, storage, reset, monitoring, and protection requirements for passwords and other authenticators.</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workforce, privileged, service, emergency, application, device, and third-party accounts across organizational systems and services.</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Authentication requirements shall be risk-based and documented, including approved authenticator types, minimum length where passwords are used, MFA requirements, session controls, and recovery methods.</w:t>
      </w:r>
    </w:p>
    <w:p>
      <w:pPr>
        <w:keepNext w:val="0"/>
        <w:keepLines w:val="0"/>
        <w:numPr>
          <w:ilvl w:val="0"/>
          <w:numId w:val="10"/>
        </w:numPr>
        <w:spacing w:before="0" w:after="160" w:line="280" w:lineRule="auto"/>
      </w:pPr>
      <w:r>
        <w:rPr>
          <w:rFonts w:ascii="Calibri" w:hAnsi="Calibri" w:eastAsia="Calibri"/>
          <w:color w:val="000000"/>
          <w:sz w:val="22"/>
        </w:rPr>
        <w:t>Passwords shall be screened against common and compromised values and stored only using approved salted password-hashing methods; reversible encryption or plaintext storage is prohibited.</w:t>
      </w:r>
    </w:p>
    <w:p>
      <w:pPr>
        <w:keepNext w:val="0"/>
        <w:keepLines w:val="0"/>
        <w:numPr>
          <w:ilvl w:val="0"/>
          <w:numId w:val="10"/>
        </w:numPr>
        <w:spacing w:before="0" w:after="160" w:line="280" w:lineRule="auto"/>
      </w:pPr>
      <w:r>
        <w:rPr>
          <w:rFonts w:ascii="Calibri" w:hAnsi="Calibri" w:eastAsia="Calibri"/>
          <w:color w:val="000000"/>
          <w:sz w:val="22"/>
        </w:rPr>
        <w:t>Privileged and remote access shall use multifactor authentication; phishing-resistant methods shall be prioritized for high-impact roles and sensitive environments.</w:t>
      </w:r>
    </w:p>
    <w:p>
      <w:pPr>
        <w:keepNext w:val="0"/>
        <w:keepLines w:val="0"/>
        <w:numPr>
          <w:ilvl w:val="0"/>
          <w:numId w:val="10"/>
        </w:numPr>
        <w:spacing w:before="0" w:after="160" w:line="280" w:lineRule="auto"/>
      </w:pPr>
      <w:r>
        <w:rPr>
          <w:rFonts w:ascii="Calibri" w:hAnsi="Calibri" w:eastAsia="Calibri"/>
          <w:color w:val="000000"/>
          <w:sz w:val="22"/>
        </w:rPr>
        <w:t>Initial, temporary, and reset credentials shall be delivered through verified channels, expire promptly, and require change or activation by the intended user.</w:t>
      </w:r>
    </w:p>
    <w:p>
      <w:pPr>
        <w:keepNext w:val="0"/>
        <w:keepLines w:val="0"/>
        <w:numPr>
          <w:ilvl w:val="0"/>
          <w:numId w:val="10"/>
        </w:numPr>
        <w:spacing w:before="0" w:after="160" w:line="280" w:lineRule="auto"/>
      </w:pPr>
      <w:r>
        <w:rPr>
          <w:rFonts w:ascii="Calibri" w:hAnsi="Calibri" w:eastAsia="Calibri"/>
          <w:color w:val="000000"/>
          <w:sz w:val="22"/>
        </w:rPr>
        <w:t>Reset and recovery processes shall verify identity, resist social engineering, log actions, notify the account owner, and revoke superseded authenticators.</w:t>
      </w:r>
    </w:p>
    <w:p>
      <w:pPr>
        <w:keepNext w:val="0"/>
        <w:keepLines w:val="0"/>
        <w:numPr>
          <w:ilvl w:val="0"/>
          <w:numId w:val="10"/>
        </w:numPr>
        <w:spacing w:before="0" w:after="160" w:line="280" w:lineRule="auto"/>
      </w:pPr>
      <w:r>
        <w:rPr>
          <w:rFonts w:ascii="Calibri" w:hAnsi="Calibri" w:eastAsia="Calibri"/>
          <w:color w:val="000000"/>
          <w:sz w:val="22"/>
        </w:rPr>
        <w:t>Shared authenticators are prohibited except approved emergency access with controlled custody, monitoring, post-use rotation, and review.</w:t>
      </w:r>
    </w:p>
    <w:p>
      <w:pPr>
        <w:keepNext w:val="0"/>
        <w:keepLines w:val="0"/>
        <w:numPr>
          <w:ilvl w:val="0"/>
          <w:numId w:val="10"/>
        </w:numPr>
        <w:spacing w:before="0" w:after="160" w:line="280" w:lineRule="auto"/>
      </w:pPr>
      <w:r>
        <w:rPr>
          <w:rFonts w:ascii="Calibri" w:hAnsi="Calibri" w:eastAsia="Calibri"/>
          <w:color w:val="000000"/>
          <w:sz w:val="22"/>
        </w:rPr>
        <w:t>Suspected compromised authenticators shall be disabled, revoked, or rotated promptly; related sessions, tokens, keys, and recovery factors shall be evaluated.</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Authentication standard</w:t>
      </w:r>
    </w:p>
    <w:p>
      <w:pPr>
        <w:keepNext w:val="0"/>
        <w:keepLines w:val="0"/>
        <w:numPr>
          <w:ilvl w:val="0"/>
          <w:numId w:val="10"/>
        </w:numPr>
        <w:spacing w:before="0" w:after="160" w:line="280" w:lineRule="auto"/>
      </w:pPr>
      <w:r>
        <w:rPr>
          <w:rFonts w:ascii="Calibri" w:hAnsi="Calibri" w:eastAsia="Calibri"/>
          <w:color w:val="000000"/>
          <w:sz w:val="22"/>
        </w:rPr>
        <w:t>Identity-platform configuration</w:t>
      </w:r>
    </w:p>
    <w:p>
      <w:pPr>
        <w:keepNext w:val="0"/>
        <w:keepLines w:val="0"/>
        <w:numPr>
          <w:ilvl w:val="0"/>
          <w:numId w:val="10"/>
        </w:numPr>
        <w:spacing w:before="0" w:after="160" w:line="280" w:lineRule="auto"/>
      </w:pPr>
      <w:r>
        <w:rPr>
          <w:rFonts w:ascii="Calibri" w:hAnsi="Calibri" w:eastAsia="Calibri"/>
          <w:color w:val="000000"/>
          <w:sz w:val="22"/>
        </w:rPr>
        <w:t>MFA and privileged-authentication report</w:t>
      </w:r>
    </w:p>
    <w:p>
      <w:pPr>
        <w:keepNext w:val="0"/>
        <w:keepLines w:val="0"/>
        <w:numPr>
          <w:ilvl w:val="0"/>
          <w:numId w:val="10"/>
        </w:numPr>
        <w:spacing w:before="0" w:after="160" w:line="280" w:lineRule="auto"/>
      </w:pPr>
      <w:r>
        <w:rPr>
          <w:rFonts w:ascii="Calibri" w:hAnsi="Calibri" w:eastAsia="Calibri"/>
          <w:color w:val="000000"/>
          <w:sz w:val="22"/>
        </w:rPr>
        <w:t>Reset/recovery logs</w:t>
      </w:r>
    </w:p>
    <w:p>
      <w:pPr>
        <w:keepNext w:val="0"/>
        <w:keepLines w:val="0"/>
        <w:numPr>
          <w:ilvl w:val="0"/>
          <w:numId w:val="10"/>
        </w:numPr>
        <w:spacing w:before="0" w:after="160" w:line="280" w:lineRule="auto"/>
      </w:pPr>
      <w:r>
        <w:rPr>
          <w:rFonts w:ascii="Calibri" w:hAnsi="Calibri" w:eastAsia="Calibri"/>
          <w:color w:val="000000"/>
          <w:sz w:val="22"/>
        </w:rPr>
        <w:t>Emergency-access review</w:t>
      </w:r>
    </w:p>
    <w:p>
      <w:pPr>
        <w:keepNext w:val="0"/>
        <w:keepLines w:val="0"/>
        <w:numPr>
          <w:ilvl w:val="0"/>
          <w:numId w:val="10"/>
        </w:numPr>
        <w:spacing w:before="0" w:after="160" w:line="280" w:lineRule="auto"/>
      </w:pPr>
      <w:r>
        <w:rPr>
          <w:rFonts w:ascii="Calibri" w:hAnsi="Calibri" w:eastAsia="Calibri"/>
          <w:color w:val="000000"/>
          <w:sz w:val="22"/>
        </w:rPr>
        <w:t>Compromised-credential response ticket</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MFA coverage by risk tier</w:t>
      </w:r>
    </w:p>
    <w:p>
      <w:pPr>
        <w:keepNext w:val="0"/>
        <w:keepLines w:val="0"/>
        <w:numPr>
          <w:ilvl w:val="0"/>
          <w:numId w:val="10"/>
        </w:numPr>
        <w:spacing w:before="0" w:after="160" w:line="280" w:lineRule="auto"/>
      </w:pPr>
      <w:r>
        <w:rPr>
          <w:rFonts w:ascii="Calibri" w:hAnsi="Calibri" w:eastAsia="Calibri"/>
          <w:color w:val="000000"/>
          <w:sz w:val="22"/>
        </w:rPr>
        <w:t>Dormant or shared accounts</w:t>
      </w:r>
    </w:p>
    <w:p>
      <w:pPr>
        <w:keepNext w:val="0"/>
        <w:keepLines w:val="0"/>
        <w:numPr>
          <w:ilvl w:val="0"/>
          <w:numId w:val="10"/>
        </w:numPr>
        <w:spacing w:before="0" w:after="160" w:line="280" w:lineRule="auto"/>
      </w:pPr>
      <w:r>
        <w:rPr>
          <w:rFonts w:ascii="Calibri" w:hAnsi="Calibri" w:eastAsia="Calibri"/>
          <w:color w:val="000000"/>
          <w:sz w:val="22"/>
        </w:rPr>
        <w:t>Compromised authenticators revoked within target</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IA.L1-3.5.1, IA.L1-3.5.2; IA.L2-3.5.3 through IA.L2-3.5.11; AC.L2-3.1.14.</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800-63B-4, Authentication and Authenticator Management: https://doi.org/10.6028/NIST.SP.800-63B-4</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Password and Authenticator Protection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