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360"/>
        <w:jc w:val="left"/>
        <w:tblLayout w:type="fixed"/>
        <w:tblLook w:firstColumn="1" w:firstRow="1" w:lastColumn="0" w:lastRow="0" w:noHBand="0" w:noVBand="1" w:val="04A0"/>
        <w:tblInd w:w="0" w:type="dxa"/>
      </w:tblPr>
      <w:tblGrid>
        <w:gridCol w:w="6480"/>
        <w:gridCol w:w="2880"/>
      </w:tblGrid>
      <w:tr>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b/>
                <w:color w:val="0B2545"/>
                <w:sz w:val="24"/>
              </w:rPr>
              <w:t>{{org.legal_name}}</w:t>
            </w:r>
          </w:p>
        </w:tc>
        <w:tc>
          <w:tcPr>
            <w:tcW w:type="dxa" w:w="2880"/>
            <w:vAlign w:val="center"/>
            <w:tcMar>
              <w:top w:w="80" w:type="dxa"/>
              <w:start w:w="120" w:type="dxa"/>
              <w:bottom w:w="80" w:type="dxa"/>
              <w:end w:w="120" w:type="dxa"/>
            </w:tcMar>
            <w:shd w:fill="F2F4F7" w:val="clear"/>
          </w:tcPr>
          <w:p>
            <w:pPr>
              <w:keepNext w:val="0"/>
              <w:keepLines w:val="0"/>
              <w:spacing w:before="0" w:after="0" w:line="240" w:lineRule="auto"/>
              <w:jc w:val="center"/>
            </w:pPr>
            <w:r>
              <w:rPr>
                <w:rFonts w:ascii="Calibri" w:hAnsi="Calibri" w:eastAsia="Calibri"/>
                <w:b/>
                <w:color w:val="59636E"/>
                <w:sz w:val="18"/>
              </w:rPr>
              <w:t>{{org.logo}}</w:t>
            </w:r>
          </w:p>
        </w:tc>
      </w:tr>
    </w:tbl>
    <w:p>
      <w:pPr>
        <w:keepNext w:val="0"/>
        <w:keepLines w:val="0"/>
        <w:spacing w:before="240" w:after="60" w:line="240" w:lineRule="auto"/>
      </w:pPr>
      <w:r>
        <w:rPr>
          <w:rFonts w:ascii="Calibri" w:hAnsi="Calibri" w:eastAsia="Calibri"/>
          <w:b/>
          <w:color w:val="2E74B5"/>
          <w:sz w:val="18"/>
        </w:rPr>
        <w:t>STANDARD</w:t>
      </w:r>
    </w:p>
    <w:p>
      <w:pPr>
        <w:keepNext/>
        <w:keepLines w:val="0"/>
        <w:spacing w:before="0" w:after="100" w:line="240" w:lineRule="auto"/>
      </w:pPr>
      <w:r>
        <w:rPr>
          <w:rFonts w:ascii="Calibri" w:hAnsi="Calibri" w:eastAsia="Calibri"/>
          <w:b/>
          <w:color w:val="0B2545"/>
          <w:sz w:val="46"/>
        </w:rPr>
        <w:t>Remote Access, Mobile Computing, and Portable Storage Standard</w:t>
      </w:r>
    </w:p>
    <w:p>
      <w:pPr>
        <w:keepNext w:val="0"/>
        <w:keepLines w:val="0"/>
        <w:spacing w:before="0" w:after="280" w:line="240" w:lineRule="auto"/>
      </w:pPr>
      <w:r>
        <w:rPr>
          <w:rFonts w:ascii="Calibri" w:hAnsi="Calibri" w:eastAsia="Calibri"/>
          <w:i/>
          <w:color w:val="59636E"/>
          <w:sz w:val="20"/>
        </w:rPr>
        <w:t>{{doc.title}} — {{doc.template_key}} v{{doc.version}}</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440"/>
        <w:gridCol w:w="3240"/>
        <w:gridCol w:w="1440"/>
        <w:gridCol w:w="3240"/>
      </w:tblGrid>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Document ID</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{{doc.document_id}}</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Version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Policy Owner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{{doc.owner_name}}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Approver</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Effective Date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{{doc.effective_date}}</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Next Review</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{{doc.next_review_date}}</w:t>
            </w:r>
          </w:p>
        </w:tc>
      </w:tr>
      <w:tr>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Classification</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{{doc.classification}}</w:t>
            </w:r>
          </w:p>
        </w:tc>
        <w:tc>
          <w:tcPr>
            <w:tcW w:type="dxa" w:w="144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Cycle</w:t>
            </w:r>
          </w:p>
        </w:tc>
        <w:tc>
          <w:tcPr>
            <w:tcW w:type="dxa" w:w="324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{{doc.review_cycle}}</w:t>
            </w:r>
          </w:p>
        </w:tc>
      </w:tr>
    </w:tbl>
    <w:p>
      <w:pPr>
        <w:pStyle w:val="Heading1"/>
        <w:keepNext/>
      </w:pPr>
      <w:r>
        <w:t>1. Purpose</w:t>
      </w:r>
    </w:p>
    <w:p>
      <w:pPr>
        <w:keepNext w:val="0"/>
        <w:keepLines w:val="0"/>
        <w:spacing w:before="0" w:after="120" w:line="264" w:lineRule="auto"/>
      </w:pPr>
      <w:r>
        <w:rPr>
          <w:rFonts w:ascii="Calibri" w:hAnsi="Calibri" w:eastAsia="Calibri"/>
          <w:color w:val="000000"/>
          <w:sz w:val="22"/>
        </w:rPr>
        <w:t>Define a combined technical baseline for remote access, mobile endpoints, and portable storage used with organizational information.</w:t>
      </w:r>
    </w:p>
    <w:p>
      <w:pPr>
        <w:pStyle w:val="Heading1"/>
        <w:keepNext/>
      </w:pPr>
      <w:r>
        <w:t>2. Scope and Applicability</w:t>
      </w:r>
    </w:p>
    <w:p>
      <w:pPr>
        <w:keepNext w:val="0"/>
        <w:keepLines w:val="0"/>
        <w:spacing w:before="0" w:after="120" w:line="264" w:lineRule="auto"/>
      </w:pPr>
      <w:r>
        <w:rPr>
          <w:rFonts w:ascii="Calibri" w:hAnsi="Calibri" w:eastAsia="Calibri"/>
          <w:color w:val="000000"/>
          <w:sz w:val="22"/>
        </w:rPr>
        <w:t>Applies to remote sessions, VPN or zero-trust access, mobile devices, laptops, virtual desktops, personally owned devices when approved, and removable storage.</w:t>
      </w:r>
    </w:p>
    <w:p>
      <w:pPr>
        <w:pStyle w:val="Heading1"/>
        <w:keepNext/>
      </w:pPr>
      <w:r>
        <w:t>3. Policy Requirements</w:t>
      </w:r>
    </w:p>
    <w:p>
      <w:pPr>
        <w:keepNext w:val="0"/>
        <w:keepLines w:val="0"/>
        <w:numPr>
          <w:ilvl w:val="0"/>
          <w:numId w:val="10"/>
        </w:numPr>
        <w:spacing w:before="0" w:after="160" w:line="280" w:lineRule="auto"/>
      </w:pPr>
      <w:r>
        <w:rPr>
          <w:rFonts w:ascii="Calibri" w:hAnsi="Calibri" w:eastAsia="Calibri"/>
          <w:color w:val="000000"/>
          <w:sz w:val="22"/>
        </w:rPr>
        <w:t>Remote access shall use approved gateways, encrypted protocols, multifactor authentication, device and user policy evaluation, and centralized logging.</w:t>
      </w:r>
    </w:p>
    <w:p>
      <w:pPr>
        <w:keepNext w:val="0"/>
        <w:keepLines w:val="0"/>
        <w:numPr>
          <w:ilvl w:val="0"/>
          <w:numId w:val="10"/>
        </w:numPr>
        <w:spacing w:before="0" w:after="160" w:line="280" w:lineRule="auto"/>
      </w:pPr>
      <w:r>
        <w:rPr>
          <w:rFonts w:ascii="Calibri" w:hAnsi="Calibri" w:eastAsia="Calibri"/>
          <w:color w:val="000000"/>
          <w:sz w:val="22"/>
        </w:rPr>
        <w:t>Access shall be limited by role, device posture, location or risk conditions, authorized applications, and session duration; split tunneling shall follow documented risk decisions.</w:t>
      </w:r>
    </w:p>
    <w:p>
      <w:pPr>
        <w:keepNext w:val="0"/>
        <w:keepLines w:val="0"/>
        <w:numPr>
          <w:ilvl w:val="0"/>
          <w:numId w:val="10"/>
        </w:numPr>
        <w:spacing w:before="0" w:after="160" w:line="280" w:lineRule="auto"/>
      </w:pPr>
      <w:r>
        <w:rPr>
          <w:rFonts w:ascii="Calibri" w:hAnsi="Calibri" w:eastAsia="Calibri"/>
          <w:color w:val="000000"/>
          <w:sz w:val="22"/>
        </w:rPr>
        <w:t>Endpoints shall be inventoried, supported, encrypted, protected against malware, patched, screen-locked, and remotely manageable before accessing restricted information.</w:t>
      </w:r>
    </w:p>
    <w:p>
      <w:pPr>
        <w:keepNext w:val="0"/>
        <w:keepLines w:val="0"/>
        <w:numPr>
          <w:ilvl w:val="0"/>
          <w:numId w:val="10"/>
        </w:numPr>
        <w:spacing w:before="0" w:after="160" w:line="280" w:lineRule="auto"/>
      </w:pPr>
      <w:r>
        <w:rPr>
          <w:rFonts w:ascii="Calibri" w:hAnsi="Calibri" w:eastAsia="Calibri"/>
          <w:color w:val="000000"/>
          <w:sz w:val="22"/>
        </w:rPr>
        <w:t>Restricted data shall remain in approved applications, containers, virtual sessions, or encrypted storage; uncontrolled local download and clipboard/drive redirection shall be limited.</w:t>
      </w:r>
    </w:p>
    <w:p>
      <w:pPr>
        <w:keepNext w:val="0"/>
        <w:keepLines w:val="0"/>
        <w:numPr>
          <w:ilvl w:val="0"/>
          <w:numId w:val="10"/>
        </w:numPr>
        <w:spacing w:before="0" w:after="160" w:line="280" w:lineRule="auto"/>
      </w:pPr>
      <w:r>
        <w:rPr>
          <w:rFonts w:ascii="Calibri" w:hAnsi="Calibri" w:eastAsia="Calibri"/>
          <w:color w:val="000000"/>
          <w:sz w:val="22"/>
        </w:rPr>
        <w:t>Removable storage is prohibited by default for restricted information unless specifically authorized, encrypted, inventoried, and scanned.</w:t>
      </w:r>
    </w:p>
    <w:p>
      <w:pPr>
        <w:keepNext w:val="0"/>
        <w:keepLines w:val="0"/>
        <w:numPr>
          <w:ilvl w:val="0"/>
          <w:numId w:val="10"/>
        </w:numPr>
        <w:spacing w:before="0" w:after="160" w:line="280" w:lineRule="auto"/>
      </w:pPr>
      <w:r>
        <w:rPr>
          <w:rFonts w:ascii="Calibri" w:hAnsi="Calibri" w:eastAsia="Calibri"/>
          <w:color w:val="000000"/>
          <w:sz w:val="22"/>
        </w:rPr>
        <w:t>Administrative remote access shall use separate privileged identities and protected management paths and shall be monitored at heightened assurance.</w:t>
      </w:r>
    </w:p>
    <w:p>
      <w:pPr>
        <w:keepNext w:val="0"/>
        <w:keepLines w:val="0"/>
        <w:numPr>
          <w:ilvl w:val="0"/>
          <w:numId w:val="10"/>
        </w:numPr>
        <w:spacing w:before="0" w:after="160" w:line="280" w:lineRule="auto"/>
      </w:pPr>
      <w:r>
        <w:rPr>
          <w:rFonts w:ascii="Calibri" w:hAnsi="Calibri" w:eastAsia="Calibri"/>
          <w:color w:val="000000"/>
          <w:sz w:val="22"/>
        </w:rPr>
        <w:t>Lost devices, unexpected sessions, unauthorized media, or suspected compromise shall trigger immediate reporting and access revocation or containment.</w:t>
      </w:r>
    </w:p>
    <w:p>
      <w:pPr>
        <w:pStyle w:val="Heading1"/>
        <w:keepNext/>
      </w:pPr>
      <w:r>
        <w:t>4. Roles and Responsibilities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Role</w:t>
            </w:r>
          </w:p>
        </w:tc>
        <w:tc>
          <w:tcPr>
            <w:tcW w:type="dxa" w:w="66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Responsibilities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Executive / Approving Authority</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Approve the document, allocate resources, and accept residual risk within delegated authority.</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Policy Owner</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Maintain requirements, coordinate implementation, review exceptions, and report performance.</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System and Service Owners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Implement requirements, maintain evidence, and correct deficiencies for assigned assets.</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Security / Compliance</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Advise on safeguards, assess effectiveness, monitor risk, and support evidence review.</w:t>
            </w:r>
          </w:p>
        </w:tc>
      </w:tr>
      <w:tr>
        <w:tc>
          <w:tcPr>
            <w:tcW w:type="dxa" w:w="270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color w:val="000000"/>
                <w:sz w:val="19"/>
              </w:rPr>
              <w:t>Workforce Members and Third Parties</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b w:val="0"/>
                <w:color w:val="000000"/>
                <w:sz w:val="19"/>
              </w:rPr>
              <w:t>Follow approved procedures, protect access and information, and report suspected issues promptly.</w:t>
            </w:r>
          </w:p>
        </w:tc>
      </w:tr>
    </w:tbl>
    <w:p>
      <w:pPr>
        <w:pStyle w:val="Heading1"/>
        <w:keepNext/>
      </w:pPr>
      <w:r>
        <w:t>5. Required Procedures, Evidence, and Records</w:t>
      </w:r>
    </w:p>
    <w:p>
      <w:pPr>
        <w:keepNext w:val="0"/>
        <w:keepLines w:val="0"/>
        <w:spacing w:before="0" w:after="120" w:line="264" w:lineRule="auto"/>
      </w:pPr>
      <w:r>
        <w:rPr>
          <w:rFonts w:ascii="Calibri" w:hAnsi="Calibri" w:eastAsia="Calibri"/>
          <w:color w:val="000000"/>
          <w:sz w:val="22"/>
        </w:rPr>
        <w:t>The policy owner shall ensure the following artifacts are created, retained, protected, and made available to authorized reviewers for the period defined by {{implementation.retention_period}}:</w:t>
      </w:r>
    </w:p>
    <w:p>
      <w:pPr>
        <w:keepNext w:val="0"/>
        <w:keepLines w:val="0"/>
        <w:numPr>
          <w:ilvl w:val="0"/>
          <w:numId w:val="10"/>
        </w:numPr>
        <w:spacing w:before="0" w:after="160" w:line="280" w:lineRule="auto"/>
      </w:pPr>
      <w:r>
        <w:rPr>
          <w:rFonts w:ascii="Calibri" w:hAnsi="Calibri" w:eastAsia="Calibri"/>
          <w:color w:val="000000"/>
          <w:sz w:val="22"/>
        </w:rPr>
        <w:t>Remote-access architecture</w:t>
      </w:r>
    </w:p>
    <w:p>
      <w:pPr>
        <w:keepNext w:val="0"/>
        <w:keepLines w:val="0"/>
        <w:numPr>
          <w:ilvl w:val="0"/>
          <w:numId w:val="10"/>
        </w:numPr>
        <w:spacing w:before="0" w:after="160" w:line="280" w:lineRule="auto"/>
      </w:pPr>
      <w:r>
        <w:rPr>
          <w:rFonts w:ascii="Calibri" w:hAnsi="Calibri" w:eastAsia="Calibri"/>
          <w:color w:val="000000"/>
          <w:sz w:val="22"/>
        </w:rPr>
        <w:t>Access and device-compliance policy</w:t>
      </w:r>
    </w:p>
    <w:p>
      <w:pPr>
        <w:keepNext w:val="0"/>
        <w:keepLines w:val="0"/>
        <w:numPr>
          <w:ilvl w:val="0"/>
          <w:numId w:val="10"/>
        </w:numPr>
        <w:spacing w:before="0" w:after="160" w:line="280" w:lineRule="auto"/>
      </w:pPr>
      <w:r>
        <w:rPr>
          <w:rFonts w:ascii="Calibri" w:hAnsi="Calibri" w:eastAsia="Calibri"/>
          <w:color w:val="000000"/>
          <w:sz w:val="22"/>
        </w:rPr>
        <w:t>Authorized user/device list</w:t>
      </w:r>
    </w:p>
    <w:p>
      <w:pPr>
        <w:keepNext w:val="0"/>
        <w:keepLines w:val="0"/>
        <w:numPr>
          <w:ilvl w:val="0"/>
          <w:numId w:val="10"/>
        </w:numPr>
        <w:spacing w:before="0" w:after="160" w:line="280" w:lineRule="auto"/>
      </w:pPr>
      <w:r>
        <w:rPr>
          <w:rFonts w:ascii="Calibri" w:hAnsi="Calibri" w:eastAsia="Calibri"/>
          <w:color w:val="000000"/>
          <w:sz w:val="22"/>
        </w:rPr>
        <w:t>Session and security logs</w:t>
      </w:r>
    </w:p>
    <w:p>
      <w:pPr>
        <w:keepNext w:val="0"/>
        <w:keepLines w:val="0"/>
        <w:numPr>
          <w:ilvl w:val="0"/>
          <w:numId w:val="10"/>
        </w:numPr>
        <w:spacing w:before="0" w:after="160" w:line="280" w:lineRule="auto"/>
      </w:pPr>
      <w:r>
        <w:rPr>
          <w:rFonts w:ascii="Calibri" w:hAnsi="Calibri" w:eastAsia="Calibri"/>
          <w:color w:val="000000"/>
          <w:sz w:val="22"/>
        </w:rPr>
        <w:t>Removable-media authorization</w:t>
      </w:r>
    </w:p>
    <w:p>
      <w:pPr>
        <w:keepNext w:val="0"/>
        <w:keepLines w:val="0"/>
        <w:numPr>
          <w:ilvl w:val="0"/>
          <w:numId w:val="10"/>
        </w:numPr>
        <w:spacing w:before="0" w:after="160" w:line="280" w:lineRule="auto"/>
      </w:pPr>
      <w:r>
        <w:rPr>
          <w:rFonts w:ascii="Calibri" w:hAnsi="Calibri" w:eastAsia="Calibri"/>
          <w:color w:val="000000"/>
          <w:sz w:val="22"/>
        </w:rPr>
        <w:t>Lost-device or compromise response record</w:t>
      </w:r>
    </w:p>
    <w:p>
      <w:pPr>
        <w:pStyle w:val="Heading1"/>
        <w:keepNext/>
      </w:pPr>
      <w:r>
        <w:t>6. Monitoring and Review</w:t>
      </w:r>
    </w:p>
    <w:p>
      <w:pPr>
        <w:keepNext w:val="0"/>
        <w:keepLines w:val="0"/>
        <w:spacing w:before="0" w:after="120" w:line="264" w:lineRule="auto"/>
      </w:pPr>
      <w:r>
        <w:rPr>
          <w:rFonts w:ascii="Calibri" w:hAnsi="Calibri" w:eastAsia="Calibri"/>
          <w:color w:val="000000"/>
          <w:sz w:val="22"/>
        </w:rPr>
        <w:t>At minimum, the policy owner shall review the following indicators at {{implementation.defined_frequency}} and escalate material deficiencies:</w:t>
      </w:r>
    </w:p>
    <w:p>
      <w:pPr>
        <w:keepNext w:val="0"/>
        <w:keepLines w:val="0"/>
        <w:numPr>
          <w:ilvl w:val="0"/>
          <w:numId w:val="10"/>
        </w:numPr>
        <w:spacing w:before="0" w:after="160" w:line="280" w:lineRule="auto"/>
      </w:pPr>
      <w:r>
        <w:rPr>
          <w:rFonts w:ascii="Calibri" w:hAnsi="Calibri" w:eastAsia="Calibri"/>
          <w:color w:val="000000"/>
          <w:sz w:val="22"/>
        </w:rPr>
        <w:t>Remote sessions with MFA and compliant devices</w:t>
      </w:r>
    </w:p>
    <w:p>
      <w:pPr>
        <w:keepNext w:val="0"/>
        <w:keepLines w:val="0"/>
        <w:numPr>
          <w:ilvl w:val="0"/>
          <w:numId w:val="10"/>
        </w:numPr>
        <w:spacing w:before="0" w:after="160" w:line="280" w:lineRule="auto"/>
      </w:pPr>
      <w:r>
        <w:rPr>
          <w:rFonts w:ascii="Calibri" w:hAnsi="Calibri" w:eastAsia="Calibri"/>
          <w:color w:val="000000"/>
          <w:sz w:val="22"/>
        </w:rPr>
        <w:t>Restricted data downloads blocked</w:t>
      </w:r>
    </w:p>
    <w:p>
      <w:pPr>
        <w:keepNext w:val="0"/>
        <w:keepLines w:val="0"/>
        <w:numPr>
          <w:ilvl w:val="0"/>
          <w:numId w:val="10"/>
        </w:numPr>
        <w:spacing w:before="0" w:after="160" w:line="280" w:lineRule="auto"/>
      </w:pPr>
      <w:r>
        <w:rPr>
          <w:rFonts w:ascii="Calibri" w:hAnsi="Calibri" w:eastAsia="Calibri"/>
          <w:color w:val="000000"/>
          <w:sz w:val="22"/>
        </w:rPr>
        <w:t>Authorized portable media reconciled</w:t>
      </w:r>
    </w:p>
    <w:p>
      <w:pPr>
        <w:keepNext w:val="0"/>
        <w:keepLines w:val="0"/>
        <w:spacing w:before="0" w:after="120" w:line="264" w:lineRule="auto"/>
      </w:pPr>
      <w:r>
        <w:rPr>
          <w:rFonts w:ascii="Calibri" w:hAnsi="Calibri" w:eastAsia="Calibri"/>
          <w:color w:val="000000"/>
          <w:sz w:val="22"/>
        </w:rPr>
        <w:t>This document shall be reviewed at least annually and after a material incident, legal or contractual change, control failure, technology change, or significant change to the system boundary or operating model.</w:t>
      </w:r>
    </w:p>
    <w:p>
      <w:pPr>
        <w:pStyle w:val="Heading1"/>
        <w:keepNext/>
      </w:pPr>
      <w:r>
        <w:t>7. Exceptions</w:t>
      </w:r>
    </w:p>
    <w:p>
      <w:pPr>
        <w:keepNext w:val="0"/>
        <w:keepLines w:val="0"/>
        <w:spacing w:before="0" w:after="120" w:line="264" w:lineRule="auto"/>
      </w:pPr>
      <w:r>
        <w:rPr>
          <w:rFonts w:ascii="Calibri" w:hAnsi="Calibri" w:eastAsia="Calibri"/>
          <w:color w:val="000000"/>
          <w:sz w:val="22"/>
        </w:rPr>
        <w:t>Exceptions require a written request identifying the affected scope, business need, risk, compensating safeguards, accountable owner, approval authority, start date, expiration date, and review cadence. Exceptions shall be tracked to expiration and do not transfer responsibility for applicable legal, contractual, or CMMC requirements.</w:t>
      </w:r>
    </w:p>
    <w:p>
      <w:pPr>
        <w:pStyle w:val="Heading1"/>
        <w:keepNext/>
      </w:pPr>
      <w:r>
        <w:t>8. Compliance and Enforcement</w:t>
      </w:r>
    </w:p>
    <w:p>
      <w:pPr>
        <w:keepNext w:val="0"/>
        <w:keepLines w:val="0"/>
        <w:spacing w:before="0" w:after="120" w:line="264" w:lineRule="auto"/>
      </w:pPr>
      <w:r>
        <w:rPr>
          <w:rFonts w:ascii="Calibri" w:hAnsi="Calibri" w:eastAsia="Calibri"/>
          <w:color w:val="000000"/>
          <w:sz w:val="22"/>
        </w:rPr>
        <w:t>Failure to comply may result in access restriction, corrective action, contract remedies, or disciplinary action consistent with law and organizational policy. Suspected violations shall be reported through {{implementation.reporting_channel}}. Compliance does not by itself establish certification; effectiveness must be demonstrated through implementation and evidence.</w:t>
      </w:r>
    </w:p>
    <w:p>
      <w:pPr>
        <w:pStyle w:val="Heading1"/>
        <w:keepNext/>
      </w:pPr>
      <w:r>
        <w:t>9. Organization Implementation Parameters</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880"/>
        <w:gridCol w:w="6480"/>
      </w:tblGrid>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In-Scope Systems / Processes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{{scope.summary}} Boundary: {{scope.boundary}}. Included locations: {{scope.included_locations}}. Excluded locations: {{scope.excluded_locations}}. Systems: {{scope.systems}}. Data flow: {{scope.data_flow}}.</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Responsible Team</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{{implementation.responsible_team}}</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Required Procedures</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{{implementation.procedure_location}}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Technology / Control Location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{{implementation.control_location}}</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Evidence Repository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{{implementation.repository}}</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Review and Test Frequency</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{{implementation.review_trigger}}</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Reporting Channel</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{{implementation.reporting_channel}}</w:t>
            </w:r>
          </w:p>
        </w:tc>
      </w:tr>
      <w:tr>
        <w:tc>
          <w:tcPr>
            <w:tcW w:type="dxa" w:w="288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8"/>
              </w:rPr>
              <w:t>Records Retention</w:t>
            </w:r>
          </w:p>
        </w:tc>
        <w:tc>
          <w:tcPr>
            <w:tcW w:type="dxa" w:w="648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{{implementation.retention_period}}</w:t>
            </w:r>
          </w:p>
        </w:tc>
      </w:tr>
    </w:tbl>
    <w:p>
      <w:r>
        <w:br w:type="page"/>
      </w:r>
    </w:p>
    <w:p>
      <w:pPr>
        <w:pStyle w:val="Heading1"/>
        <w:keepNext/>
      </w:pPr>
      <w:r>
        <w:t>10. Control Alignment and Tailoring</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2700"/>
        <w:gridCol w:w="6660"/>
      </w:tblGrid>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Suggested control alignment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CMMC: AC.L2-3.1.12 through AC.L2-3.1.19; MP.L2-3.8.7 through MP.L2-3.8.9; SC.L2-3.13.8.</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Applicability decision</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Applicable unless the documented system scope and operating model support a formally approved Not Applicable determination.</w:t>
            </w:r>
          </w:p>
        </w:tc>
      </w:tr>
      <w:tr>
        <w:tc>
          <w:tcPr>
            <w:tcW w:type="dxa" w:w="27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Tailoring requirement</w:t>
            </w:r>
          </w:p>
        </w:tc>
        <w:tc>
          <w:tcPr>
            <w:tcW w:type="dxa" w:w="6660"/>
            <w:vAlign w:val="center"/>
            <w:tcMar>
              <w:top w:w="80" w:type="dxa"/>
              <w:start w:w="120" w:type="dxa"/>
              <w:bottom w:w="80" w:type="dxa"/>
              <w:end w:w="120" w:type="dxa"/>
            </w:tcMar>
          </w:tcPr>
          <w:p>
            <w:pPr>
              <w:keepNext w:val="0"/>
              <w:keepLines w:val="0"/>
              <w:spacing w:before="0" w:after="0" w:line="252" w:lineRule="auto"/>
            </w:pPr>
            <w:r>
              <w:rPr>
                <w:rFonts w:ascii="Calibri" w:hAnsi="Calibri" w:eastAsia="Calibri"/>
                <w:color w:val="000000"/>
                <w:sz w:val="19"/>
              </w:rPr>
              <w:t>The policy owner shall define organization-selected values, map system-specific procedures and evidence, and obtain approval before publication.</w:t>
            </w:r>
          </w:p>
        </w:tc>
      </w:tr>
    </w:tbl>
    <w:p>
      <w:pPr>
        <w:pStyle w:val="Heading1"/>
        <w:keepNext/>
      </w:pPr>
      <w:r>
        <w:t>11. References</w:t>
      </w:r>
    </w:p>
    <w:p>
      <w:pPr>
        <w:keepNext w:val="0"/>
        <w:keepLines w:val="0"/>
        <w:numPr>
          <w:ilvl w:val="0"/>
          <w:numId w:val="10"/>
        </w:numPr>
        <w:spacing w:before="0" w:after="160" w:line="280" w:lineRule="auto"/>
      </w:pPr>
      <w:r>
        <w:rPr>
          <w:rFonts w:ascii="Calibri" w:hAnsi="Calibri" w:eastAsia="Calibri"/>
          <w:color w:val="000000"/>
          <w:sz w:val="22"/>
        </w:rPr>
        <w:t>NIST SP 800-46 Rev. 2, Telework, Remote Access, and BYOD Security: https://doi.org/10.6028/NIST.SP.800-46r2</w:t>
      </w:r>
    </w:p>
    <w:p>
      <w:pPr>
        <w:keepNext w:val="0"/>
        <w:keepLines w:val="0"/>
        <w:numPr>
          <w:ilvl w:val="0"/>
          <w:numId w:val="10"/>
        </w:numPr>
        <w:spacing w:before="0" w:after="160" w:line="280" w:lineRule="auto"/>
      </w:pPr>
      <w:r>
        <w:rPr>
          <w:rFonts w:ascii="Calibri" w:hAnsi="Calibri" w:eastAsia="Calibri"/>
          <w:color w:val="000000"/>
          <w:sz w:val="22"/>
        </w:rPr>
        <w:t>NIST SP 800-124 Rev. 2, Managing Mobile Device Security: https://doi.org/10.6028/NIST.SP.800-124r2</w:t>
      </w:r>
    </w:p>
    <w:p>
      <w:pPr>
        <w:keepNext w:val="0"/>
        <w:keepLines w:val="0"/>
        <w:numPr>
          <w:ilvl w:val="0"/>
          <w:numId w:val="10"/>
        </w:numPr>
        <w:spacing w:before="0" w:after="160" w:line="280" w:lineRule="auto"/>
      </w:pPr>
      <w:r>
        <w:rPr>
          <w:rFonts w:ascii="Calibri" w:hAnsi="Calibri" w:eastAsia="Calibri"/>
          <w:color w:val="000000"/>
          <w:sz w:val="22"/>
        </w:rPr>
        <w:t>NIST SP 800-171 Rev. 2, Protecting CUI in Nonfederal Systems: https://doi.org/10.6028/NIST.SP.800-171r2</w:t>
      </w:r>
    </w:p>
    <w:p>
      <w:pPr>
        <w:pStyle w:val="Heading1"/>
        <w:keepNext/>
      </w:pPr>
      <w:r>
        <w:t>12. Revision History</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1260"/>
        <w:gridCol w:w="1800"/>
        <w:gridCol w:w="4500"/>
        <w:gridCol w:w="1800"/>
      </w:tblGrid>
      <w:tr>
        <w:tc>
          <w:tcPr>
            <w:tcW w:type="dxa" w:w="12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Version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c>
          <w:tcPr>
            <w:tcW w:type="dxa" w:w="45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Description</w:t>
            </w:r>
          </w:p>
        </w:tc>
        <w:tc>
          <w:tcPr>
            <w:tcW w:type="dxa" w:w="18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Author / Approver</w:t>
            </w:r>
          </w:p>
        </w:tc>
      </w:tr>
      <w:tr>
        <w:tc>
          <w:tcPr>
            <w:tcW w:type="dxa" w:w="12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{{doc.version}}</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{{revision.date}}</w:t>
            </w:r>
          </w:p>
        </w:tc>
        <w:tc>
          <w:tcPr>
            <w:tcW w:type="dxa" w:w="45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Initial approved issue / {{revision.summary}}</w:t>
            </w:r>
          </w:p>
        </w:tc>
        <w:tc>
          <w:tcPr>
            <w:tcW w:type="dxa" w:w="18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{{revision.author}}</w:t>
            </w:r>
          </w:p>
        </w:tc>
      </w:tr>
    </w:tbl>
    <w:p>
      <w:pPr>
        <w:pStyle w:val="Heading1"/>
        <w:keepNext/>
      </w:pPr>
      <w:r>
        <w:t>13. Approval</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3960"/>
        <w:gridCol w:w="3000"/>
        <w:gridCol w:w="2400"/>
      </w:tblGrid>
      <w:tr>
        <w:tc>
          <w:tcPr>
            <w:tcW w:type="dxa" w:w="396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Name and Title</w:t>
            </w:r>
          </w:p>
        </w:tc>
        <w:tc>
          <w:tcPr>
            <w:tcW w:type="dxa" w:w="30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Signature / Approval Record</w:t>
            </w:r>
          </w:p>
        </w:tc>
        <w:tc>
          <w:tcPr>
            <w:tcW w:type="dxa" w:w="2400"/>
            <w:vAlign w:val="center"/>
            <w:tcMar>
              <w:top w:w="80" w:type="dxa"/>
              <w:start w:w="120" w:type="dxa"/>
              <w:bottom w:w="80" w:type="dxa"/>
              <w:end w:w="120" w:type="dxa"/>
            </w:tcMar>
            <w:shd w:fill="E8EEF5" w:val="clear"/>
          </w:tcPr>
          <w:p>
            <w:pPr>
              <w:keepNext w:val="0"/>
              <w:keepLines w:val="0"/>
              <w:spacing w:before="0" w:after="0" w:line="240" w:lineRule="auto"/>
            </w:pPr>
            <w:r>
              <w:rPr>
                <w:rFonts w:ascii="Calibri" w:hAnsi="Calibri" w:eastAsia="Calibri"/>
                <w:b/>
                <w:color w:val="0B2545"/>
                <w:sz w:val="19"/>
              </w:rPr>
              <w:t>Date</w:t>
            </w:r>
          </w:p>
        </w:tc>
      </w:tr>
      <w:tr>
        <w:tc>
          <w:tcPr>
            <w:tcW w:type="dxa" w:w="39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{{doc.approver_name}}</w:t>
            </w:r>
          </w:p>
        </w:tc>
        <w:tc>
          <w:tcPr>
            <w:tcW w:type="dxa" w:w="30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{{approval.record_id}}</w:t>
            </w:r>
          </w:p>
        </w:tc>
        <w:tc>
          <w:tcPr>
            <w:tcW w:type="dxa" w:w="240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9"/>
              </w:rPr>
              <w:t>{{approval.date}}</w:t>
            </w:r>
          </w:p>
        </w:tc>
      </w:tr>
    </w:tbl>
    <w:p>
      <w:pPr>
        <w:pStyle w:val="Heading1"/>
        <w:keepNext/>
      </w:pPr>
      <w:r>
        <w:t>14. Publication Checklist</w:t>
      </w:r>
    </w:p>
    <w:tbl>
      <w:tblPr>
        <w:tblW w:type="dxa" w:w="9360"/>
        <w:jc w:val="left"/>
        <w:tblLayout w:type="fixed"/>
        <w:tblLook w:firstColumn="1" w:firstRow="1" w:lastColumn="0" w:lastRow="0" w:noHBand="0" w:noVBand="1" w:val="04A0"/>
        <w:tblInd w:w="120" w:type="dxa"/>
        <w:tblBorders>
          <w:top w:val="single" w:sz="4" w:space="0" w:color="AEB7C2"/>
          <w:left w:val="single" w:sz="4" w:space="0" w:color="AEB7C2"/>
          <w:bottom w:val="single" w:sz="4" w:space="0" w:color="AEB7C2"/>
          <w:right w:val="single" w:sz="4" w:space="0" w:color="AEB7C2"/>
          <w:insideH w:val="single" w:sz="4" w:space="0" w:color="AEB7C2"/>
          <w:insideV w:val="single" w:sz="4" w:space="0" w:color="AEB7C2"/>
        </w:tblBorders>
      </w:tblPr>
      <w:tblGrid>
        <w:gridCol w:w="9360"/>
      </w:tblGrid>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All organization-selected values have been completed and verified.</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The owner, approver, effective date, review date, classification, and version are correct.</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Scope and any Not Applicable decision match the current SSP and assessment boundary.</w:t>
            </w:r>
          </w:p>
        </w:tc>
      </w:tr>
      <w:tr>
        <w:tc>
          <w:tcPr>
            <w:tcW w:type="dxa" w:w="9360"/>
            <w:vAlign w:val="center"/>
            <w:tcMar>
              <w:top w:w="80" w:type="dxa"/>
              <w:start w:w="120" w:type="dxa"/>
              <w:bottom w:w="80" w:type="dxa"/>
              <w:end w:w="120" w:type="dxa"/>
            </w:tcMar>
          </w:tcPr>
          <w:p>
            <w:pPr>
              <w:keepNext w:val="0"/>
              <w:keepLines w:val="0"/>
              <w:spacing w:before="0" w:after="0" w:line="240" w:lineRule="auto"/>
            </w:pPr>
            <w:r>
              <w:rPr>
                <w:rFonts w:ascii="Calibri" w:hAnsi="Calibri" w:eastAsia="Calibri"/>
                <w:color w:val="000000"/>
                <w:sz w:val="18"/>
              </w:rPr>
              <w:t>☐  Required procedures, configurations, operational tests, and evidence locations have been validated.</w:t>
            </w:r>
          </w:p>
        </w:tc>
      </w:tr>
      <w:tr>
        <w:tc>
          <w:tcPr>
            <w:tcW w:type="dxa" w:w="9360"/>
            <w:vAlign w:val="center"/>
            <w:tcMar>
              <w:top w:w="80" w:type="dxa"/>
              <w:start w:w="120" w:type="dxa"/>
              <w:bottom w:w="80" w:type="dxa"/>
              <w:end w:w="120" w:type="dxa"/>
            </w:tcMar>
            <w:shd w:fill="F2F4F7" w:val="clear"/>
          </w:tcPr>
          <w:p>
            <w:pPr>
              <w:keepNext w:val="0"/>
              <w:keepLines w:val="0"/>
              <w:spacing w:before="0" w:after="0" w:line="240" w:lineRule="auto"/>
            </w:pPr>
            <w:r>
              <w:rPr>
                <w:rFonts w:ascii="Calibri" w:hAnsi="Calibri" w:eastAsia="Calibri"/>
                <w:color w:val="000000"/>
                <w:sz w:val="18"/>
              </w:rPr>
              <w:t>☐  Approval is recorded and the controlled version is ready for publication and workforce communication.</w:t>
            </w:r>
          </w:p>
        </w:tc>
      </w:tr>
    </w:tbl>
    <w:sectPr>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val="0"/>
      <w:spacing w:before="0" w:after="0" w:line="240" w:lineRule="auto"/>
      <w:jc w:val="center"/>
    </w:pPr>
    <w:r>
      <w:rPr>
        <w:rFonts w:ascii="Calibri" w:hAnsi="Calibri" w:eastAsia="Calibri"/>
        <w:color w:val="59636E"/>
        <w:sz w:val="17"/>
      </w:rPr>
      <w:t xml:space="preserve">{{org.legal_name}}  |  {{doc.document_id}}  |  Version {{doc.version}}  |  Page 1 of 1</w:t>
    </w:r>
    <w:r>
      <w:rPr>
        <w:rFonts w:ascii="Calibri" w:hAnsi="Calibri" w:eastAsia="Calibri"/>
        <w:color w:val="59636E"/>
        <w:sz w:val="17"/>
      </w:rPr>
      <w:fldChar w:fldCharType="begin"/>
      <w:instrText xml:space="preserve"> PAGE </w:instrText>
      <w:fldChar w:fldCharType="separate"/>
      <w:t xml:space="preserve"/>
      <w:fldChar w:fldCharType="end"/>
    </w:r>
    <w:r>
      <w:rPr>
        <w:rFonts w:ascii="Calibri" w:hAnsi="Calibri" w:eastAsia="Calibri"/>
        <w:color w:val="59636E"/>
        <w:sz w:val="17"/>
      </w:rPr>
      <w:t xml:space="preserve"/>
    </w:r>
    <w:r>
      <w:rPr>
        <w:rFonts w:ascii="Calibri" w:hAnsi="Calibri" w:eastAsia="Calibri"/>
        <w:color w:val="59636E"/>
        <w:sz w:val="17"/>
      </w:rPr>
      <w:fldChar w:fldCharType="begin"/>
      <w:instrText xml:space="preserve"> NUMPAGES </w:instrText>
      <w:fldChar w:fldCharType="separate"/>
      <w:t xml:space="preserv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val="0"/>
      <w:spacing w:before="0" w:after="0" w:line="240" w:lineRule="auto"/>
      <w:jc w:val="left"/>
    </w:pPr>
    <w:r>
      <w:rPr>
        <w:rFonts w:ascii="Calibri" w:hAnsi="Calibri" w:eastAsia="Calibri"/>
        <w:b/>
        <w:color w:val="59636E"/>
        <w:sz w:val="17"/>
      </w:rPr>
      <w:t>{{org.legal_name}}  |  Standard  |  {{doc.document_id}}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rPr>
        <w:rFonts w:ascii="Calibri" w:hAnsi="Calibri"/>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Access, Mobile Computing, and Portable Storage Standard</dc:title>
  <dc:subject> cybersecurity policy template</dc:subject>
  <dc:creator/>
  <cp:keywords> policy template</cp:keywords>
  <dc:description>generated by python-docx</dc:description>
  <cp:lastModifiedBy/>
  <cp:revision>1</cp:revision>
  <dcterms:created xsi:type="dcterms:W3CDTF">2013-12-23T23:15:00Z</dcterms:created>
  <dcterms:modified xsi:type="dcterms:W3CDTF">2013-12-23T23:15:00Z</dcterms:modified>
  <cp:category/>
</cp:coreProperties>
</file>