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jc w:val="left"/>
        <w:tblLayout w:type="fixed"/>
        <w:tblLook w:firstColumn="1" w:firstRow="1" w:lastColumn="0" w:lastRow="0" w:noHBand="0" w:noVBand="1" w:val="04A0"/>
        <w:tblInd w:w="0" w:type="dxa"/>
      </w:tblPr>
      <w:tblGrid>
        <w:gridCol w:w="6480"/>
        <w:gridCol w:w="2880"/>
      </w:tblGrid>
      <w:tr>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b/>
                <w:color w:val="0B2545"/>
                <w:sz w:val="24"/>
              </w:rPr>
              <w:t>{{org.legal_name}}</w:t>
            </w:r>
          </w:p>
        </w:tc>
        <w:tc>
          <w:tcPr>
            <w:tcW w:type="dxa" w:w="2880"/>
            <w:vAlign w:val="center"/>
            <w:tcMar>
              <w:top w:w="80" w:type="dxa"/>
              <w:start w:w="120" w:type="dxa"/>
              <w:bottom w:w="80" w:type="dxa"/>
              <w:end w:w="120" w:type="dxa"/>
            </w:tcMar>
            <w:shd w:fill="F2F4F7" w:val="clear"/>
          </w:tcPr>
          <w:p>
            <w:pPr>
              <w:keepNext w:val="0"/>
              <w:keepLines w:val="0"/>
              <w:spacing w:before="0" w:after="0" w:line="240" w:lineRule="auto"/>
              <w:jc w:val="center"/>
            </w:pPr>
            <w:r>
              <w:rPr>
                <w:rFonts w:ascii="Calibri" w:hAnsi="Calibri" w:eastAsia="Calibri"/>
                <w:b/>
                <w:color w:val="59636E"/>
                <w:sz w:val="18"/>
              </w:rPr>
              <w:t>{{org.logo}}</w:t>
            </w:r>
          </w:p>
        </w:tc>
      </w:tr>
    </w:tbl>
    <w:p>
      <w:pPr>
        <w:keepNext w:val="0"/>
        <w:keepLines w:val="0"/>
        <w:spacing w:before="240" w:after="60" w:line="240" w:lineRule="auto"/>
      </w:pPr>
      <w:r>
        <w:rPr>
          <w:rFonts w:ascii="Calibri" w:hAnsi="Calibri" w:eastAsia="Calibri"/>
          <w:b/>
          <w:color w:val="2E74B5"/>
          <w:sz w:val="18"/>
        </w:rPr>
        <w:t>POLICY</w:t>
      </w:r>
    </w:p>
    <w:p>
      <w:pPr>
        <w:keepNext/>
        <w:keepLines w:val="0"/>
        <w:spacing w:before="0" w:after="100" w:line="240" w:lineRule="auto"/>
      </w:pPr>
      <w:r>
        <w:rPr>
          <w:rFonts w:ascii="Calibri" w:hAnsi="Calibri" w:eastAsia="Calibri"/>
          <w:b/>
          <w:color w:val="0B2545"/>
          <w:sz w:val="46"/>
        </w:rPr>
        <w:t>Remote Access Security Policy</w:t>
      </w:r>
    </w:p>
    <w:p>
      <w:pPr>
        <w:keepNext w:val="0"/>
        <w:keepLines w:val="0"/>
        <w:spacing w:before="0" w:after="280" w:line="240" w:lineRule="auto"/>
      </w:pPr>
      <w:r>
        <w:rPr>
          <w:rFonts w:ascii="Calibri" w:hAnsi="Calibri" w:eastAsia="Calibri"/>
          <w:i/>
          <w:color w:val="59636E"/>
          <w:sz w:val="20"/>
        </w:rPr>
        <w:t>{{doc.title}} — {{doc.template_key}} v{{doc.version}}</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440"/>
        <w:gridCol w:w="3240"/>
        <w:gridCol w:w="1440"/>
        <w:gridCol w:w="3240"/>
      </w:tblGrid>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Document ID</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{{doc.document_id}}</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Version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Policy Owner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{{doc.owner_name}}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Approver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Effective Date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{{doc.effective_date}}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Next Review</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{{doc.next_review_date}}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Classification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{{doc.classification}}</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Cycle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{{doc.review_cycle}}</w:t>
            </w:r>
          </w:p>
        </w:tc>
      </w:tr>
    </w:tbl>
    <w:p>
      <w:pPr>
        <w:pStyle w:val="Heading1"/>
        <w:keepNext/>
      </w:pPr>
      <w:r>
        <w:t>1. Purpose</w:t>
      </w:r>
    </w:p>
    <w:p>
      <w:pPr>
        <w:keepNext w:val="0"/>
        <w:keepLines w:val="0"/>
        <w:spacing w:before="0" w:after="120" w:line="264" w:lineRule="auto"/>
      </w:pPr>
      <w:r>
        <w:rPr>
          <w:rFonts w:ascii="Calibri" w:hAnsi="Calibri" w:eastAsia="Calibri"/>
          <w:color w:val="000000"/>
          <w:sz w:val="22"/>
        </w:rPr>
        <w:t>Authorize, secure, monitor, and periodically review remote access to organizational systems and information.</w:t>
      </w:r>
    </w:p>
    <w:p>
      <w:pPr>
        <w:pStyle w:val="Heading1"/>
        <w:keepNext/>
      </w:pPr>
      <w:r>
        <w:t>2. Scope and Applicability</w:t>
      </w:r>
    </w:p>
    <w:p>
      <w:pPr>
        <w:keepNext w:val="0"/>
        <w:keepLines w:val="0"/>
        <w:spacing w:before="0" w:after="120" w:line="264" w:lineRule="auto"/>
      </w:pPr>
      <w:r>
        <w:rPr>
          <w:rFonts w:ascii="Calibri" w:hAnsi="Calibri" w:eastAsia="Calibri"/>
          <w:color w:val="000000"/>
          <w:sz w:val="22"/>
        </w:rPr>
        <w:t>Applies to employees, contractors, vendors, administrators, service accounts, support personnel, and systems using VPN, zero-trust access, remote desktop, virtual desktop, SSH, privileged gateways, or similar methods.</w:t>
      </w:r>
    </w:p>
    <w:p>
      <w:pPr>
        <w:pStyle w:val="Heading1"/>
        <w:keepNext/>
      </w:pPr>
      <w:r>
        <w:t>3. Policy Requirements</w:t>
      </w:r>
    </w:p>
    <w:p>
      <w:pPr>
        <w:keepNext w:val="0"/>
        <w:keepLines w:val="0"/>
        <w:numPr>
          <w:ilvl w:val="0"/>
          <w:numId w:val="10"/>
        </w:numPr>
        <w:spacing w:before="0" w:after="160" w:line="280" w:lineRule="auto"/>
      </w:pPr>
      <w:r>
        <w:rPr>
          <w:rFonts w:ascii="Calibri" w:hAnsi="Calibri" w:eastAsia="Calibri"/>
          <w:color w:val="000000"/>
          <w:sz w:val="22"/>
        </w:rPr>
        <w:t>Remote access requires documented authorization based on business need, least privilege, device eligibility, data sensitivity, and risk.</w:t>
      </w:r>
    </w:p>
    <w:p>
      <w:pPr>
        <w:keepNext w:val="0"/>
        <w:keepLines w:val="0"/>
        <w:numPr>
          <w:ilvl w:val="0"/>
          <w:numId w:val="10"/>
        </w:numPr>
        <w:spacing w:before="0" w:after="160" w:line="280" w:lineRule="auto"/>
      </w:pPr>
      <w:r>
        <w:rPr>
          <w:rFonts w:ascii="Calibri" w:hAnsi="Calibri" w:eastAsia="Calibri"/>
          <w:color w:val="000000"/>
          <w:sz w:val="22"/>
        </w:rPr>
        <w:t>Approved access shall use managed entry points, encrypted protocols, multifactor authentication, centrally enforced policy, and session logging.</w:t>
      </w:r>
    </w:p>
    <w:p>
      <w:pPr>
        <w:keepNext w:val="0"/>
        <w:keepLines w:val="0"/>
        <w:numPr>
          <w:ilvl w:val="0"/>
          <w:numId w:val="10"/>
        </w:numPr>
        <w:spacing w:before="0" w:after="160" w:line="280" w:lineRule="auto"/>
      </w:pPr>
      <w:r>
        <w:rPr>
          <w:rFonts w:ascii="Calibri" w:hAnsi="Calibri" w:eastAsia="Calibri"/>
          <w:color w:val="000000"/>
          <w:sz w:val="22"/>
        </w:rPr>
        <w:t>Privileged remote administration shall use separate administrative identities, approved hardened devices or jump services, and enhanced monitoring.</w:t>
      </w:r>
    </w:p>
    <w:p>
      <w:pPr>
        <w:keepNext w:val="0"/>
        <w:keepLines w:val="0"/>
        <w:numPr>
          <w:ilvl w:val="0"/>
          <w:numId w:val="10"/>
        </w:numPr>
        <w:spacing w:before="0" w:after="160" w:line="280" w:lineRule="auto"/>
      </w:pPr>
      <w:r>
        <w:rPr>
          <w:rFonts w:ascii="Calibri" w:hAnsi="Calibri" w:eastAsia="Calibri"/>
          <w:color w:val="000000"/>
          <w:sz w:val="22"/>
        </w:rPr>
        <w:t>Access from untrusted or public devices is prohibited unless an approved isolated service prevents local data exposure and meets the defined risk treatment.</w:t>
      </w:r>
    </w:p>
    <w:p>
      <w:pPr>
        <w:keepNext w:val="0"/>
        <w:keepLines w:val="0"/>
        <w:numPr>
          <w:ilvl w:val="0"/>
          <w:numId w:val="10"/>
        </w:numPr>
        <w:spacing w:before="0" w:after="160" w:line="280" w:lineRule="auto"/>
      </w:pPr>
      <w:r>
        <w:rPr>
          <w:rFonts w:ascii="Calibri" w:hAnsi="Calibri" w:eastAsia="Calibri"/>
          <w:color w:val="000000"/>
          <w:sz w:val="22"/>
        </w:rPr>
        <w:t>Vendor access shall be sponsor-approved, time-limited, restricted to named resources, monitored, and disabled when the service window ends.</w:t>
      </w:r>
    </w:p>
    <w:p>
      <w:pPr>
        <w:keepNext w:val="0"/>
        <w:keepLines w:val="0"/>
        <w:numPr>
          <w:ilvl w:val="0"/>
          <w:numId w:val="10"/>
        </w:numPr>
        <w:spacing w:before="0" w:after="160" w:line="280" w:lineRule="auto"/>
      </w:pPr>
      <w:r>
        <w:rPr>
          <w:rFonts w:ascii="Calibri" w:hAnsi="Calibri" w:eastAsia="Calibri"/>
          <w:color w:val="000000"/>
          <w:sz w:val="22"/>
        </w:rPr>
        <w:t>Security shall detect anomalous locations, impossible travel, repeated failure, unmanaged devices, suspicious tools, and policy bypass attempts.</w:t>
      </w:r>
    </w:p>
    <w:p>
      <w:pPr>
        <w:keepNext w:val="0"/>
        <w:keepLines w:val="0"/>
        <w:numPr>
          <w:ilvl w:val="0"/>
          <w:numId w:val="10"/>
        </w:numPr>
        <w:spacing w:before="0" w:after="160" w:line="280" w:lineRule="auto"/>
      </w:pPr>
      <w:r>
        <w:rPr>
          <w:rFonts w:ascii="Calibri" w:hAnsi="Calibri" w:eastAsia="Calibri"/>
          <w:color w:val="000000"/>
          <w:sz w:val="22"/>
        </w:rPr>
        <w:t>Remote access shall be reviewed periodically and revoked promptly after termination, role change, inactivity, contract end, or increased risk.</w:t>
      </w:r>
    </w:p>
    <w:p>
      <w:pPr>
        <w:pStyle w:val="Heading1"/>
        <w:keepNext/>
      </w:pPr>
      <w:r>
        <w:t>4. Roles and Responsibilities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Role</w:t>
            </w:r>
          </w:p>
        </w:tc>
        <w:tc>
          <w:tcPr>
            <w:tcW w:type="dxa" w:w="66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Responsibilities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Executive / Approving Authority</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Approve the document, allocate resources, and accept residual risk within delegated authority.</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Policy Owner</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Maintain requirements, coordinate implementation, review exceptions, and report performance.</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System and Service Owners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Implement requirements, maintain evidence, and correct deficiencies for assigned assets.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Security / Compliance</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Advise on safeguards, assess effectiveness, monitor risk, and support evidence review.</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Workforce Members and Third Parties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Follow approved procedures, protect access and information, and report suspected issues promptly.</w:t>
            </w:r>
          </w:p>
        </w:tc>
      </w:tr>
    </w:tbl>
    <w:p>
      <w:pPr>
        <w:pStyle w:val="Heading1"/>
        <w:keepNext/>
      </w:pPr>
      <w:r>
        <w:t>5. Required Procedures, Evidence, and Records</w:t>
      </w:r>
    </w:p>
    <w:p>
      <w:pPr>
        <w:keepNext w:val="0"/>
        <w:keepLines w:val="0"/>
        <w:spacing w:before="0" w:after="120" w:line="264" w:lineRule="auto"/>
      </w:pPr>
      <w:r>
        <w:rPr>
          <w:rFonts w:ascii="Calibri" w:hAnsi="Calibri" w:eastAsia="Calibri"/>
          <w:color w:val="000000"/>
          <w:sz w:val="22"/>
        </w:rPr>
        <w:t>The policy owner shall ensure the following artifacts are created, retained, protected, and made available to authorized reviewers for the period defined by {{implementation.retention_period}}:</w:t>
      </w:r>
    </w:p>
    <w:p>
      <w:pPr>
        <w:keepNext w:val="0"/>
        <w:keepLines w:val="0"/>
        <w:numPr>
          <w:ilvl w:val="0"/>
          <w:numId w:val="10"/>
        </w:numPr>
        <w:spacing w:before="0" w:after="160" w:line="280" w:lineRule="auto"/>
      </w:pPr>
      <w:r>
        <w:rPr>
          <w:rFonts w:ascii="Calibri" w:hAnsi="Calibri" w:eastAsia="Calibri"/>
          <w:color w:val="000000"/>
          <w:sz w:val="22"/>
        </w:rPr>
        <w:t>Remote-access authorization</w:t>
      </w:r>
    </w:p>
    <w:p>
      <w:pPr>
        <w:keepNext w:val="0"/>
        <w:keepLines w:val="0"/>
        <w:numPr>
          <w:ilvl w:val="0"/>
          <w:numId w:val="10"/>
        </w:numPr>
        <w:spacing w:before="0" w:after="160" w:line="280" w:lineRule="auto"/>
      </w:pPr>
      <w:r>
        <w:rPr>
          <w:rFonts w:ascii="Calibri" w:hAnsi="Calibri" w:eastAsia="Calibri"/>
          <w:color w:val="000000"/>
          <w:sz w:val="22"/>
        </w:rPr>
        <w:t>Architecture/data-flow diagram</w:t>
      </w:r>
    </w:p>
    <w:p>
      <w:pPr>
        <w:keepNext w:val="0"/>
        <w:keepLines w:val="0"/>
        <w:numPr>
          <w:ilvl w:val="0"/>
          <w:numId w:val="10"/>
        </w:numPr>
        <w:spacing w:before="0" w:after="160" w:line="280" w:lineRule="auto"/>
      </w:pPr>
      <w:r>
        <w:rPr>
          <w:rFonts w:ascii="Calibri" w:hAnsi="Calibri" w:eastAsia="Calibri"/>
          <w:color w:val="000000"/>
          <w:sz w:val="22"/>
        </w:rPr>
        <w:t>Gateway and MFA configuration</w:t>
      </w:r>
    </w:p>
    <w:p>
      <w:pPr>
        <w:keepNext w:val="0"/>
        <w:keepLines w:val="0"/>
        <w:numPr>
          <w:ilvl w:val="0"/>
          <w:numId w:val="10"/>
        </w:numPr>
        <w:spacing w:before="0" w:after="160" w:line="280" w:lineRule="auto"/>
      </w:pPr>
      <w:r>
        <w:rPr>
          <w:rFonts w:ascii="Calibri" w:hAnsi="Calibri" w:eastAsia="Calibri"/>
          <w:color w:val="000000"/>
          <w:sz w:val="22"/>
        </w:rPr>
        <w:t>User/device access review</w:t>
      </w:r>
    </w:p>
    <w:p>
      <w:pPr>
        <w:keepNext w:val="0"/>
        <w:keepLines w:val="0"/>
        <w:numPr>
          <w:ilvl w:val="0"/>
          <w:numId w:val="10"/>
        </w:numPr>
        <w:spacing w:before="0" w:after="160" w:line="280" w:lineRule="auto"/>
      </w:pPr>
      <w:r>
        <w:rPr>
          <w:rFonts w:ascii="Calibri" w:hAnsi="Calibri" w:eastAsia="Calibri"/>
          <w:color w:val="000000"/>
          <w:sz w:val="22"/>
        </w:rPr>
        <w:t>Session/alert logs</w:t>
      </w:r>
    </w:p>
    <w:p>
      <w:pPr>
        <w:keepNext w:val="0"/>
        <w:keepLines w:val="0"/>
        <w:numPr>
          <w:ilvl w:val="0"/>
          <w:numId w:val="10"/>
        </w:numPr>
        <w:spacing w:before="0" w:after="160" w:line="280" w:lineRule="auto"/>
      </w:pPr>
      <w:r>
        <w:rPr>
          <w:rFonts w:ascii="Calibri" w:hAnsi="Calibri" w:eastAsia="Calibri"/>
          <w:color w:val="000000"/>
          <w:sz w:val="22"/>
        </w:rPr>
        <w:t>Vendor access record</w:t>
      </w:r>
    </w:p>
    <w:p>
      <w:pPr>
        <w:keepNext w:val="0"/>
        <w:keepLines w:val="0"/>
        <w:numPr>
          <w:ilvl w:val="0"/>
          <w:numId w:val="10"/>
        </w:numPr>
        <w:spacing w:before="0" w:after="160" w:line="280" w:lineRule="auto"/>
      </w:pPr>
      <w:r>
        <w:rPr>
          <w:rFonts w:ascii="Calibri" w:hAnsi="Calibri" w:eastAsia="Calibri"/>
          <w:color w:val="000000"/>
          <w:sz w:val="22"/>
        </w:rPr>
        <w:t>Revocation evidence</w:t>
      </w:r>
    </w:p>
    <w:p>
      <w:pPr>
        <w:pStyle w:val="Heading1"/>
        <w:keepNext/>
      </w:pPr>
      <w:r>
        <w:t>6. Monitoring and Review</w:t>
      </w:r>
    </w:p>
    <w:p>
      <w:pPr>
        <w:keepNext w:val="0"/>
        <w:keepLines w:val="0"/>
        <w:spacing w:before="0" w:after="120" w:line="264" w:lineRule="auto"/>
      </w:pPr>
      <w:r>
        <w:rPr>
          <w:rFonts w:ascii="Calibri" w:hAnsi="Calibri" w:eastAsia="Calibri"/>
          <w:color w:val="000000"/>
          <w:sz w:val="22"/>
        </w:rPr>
        <w:t>At minimum, the policy owner shall review the following indicators at {{implementation.defined_frequency}} and escalate material deficiencies:</w:t>
      </w:r>
    </w:p>
    <w:p>
      <w:pPr>
        <w:keepNext w:val="0"/>
        <w:keepLines w:val="0"/>
        <w:numPr>
          <w:ilvl w:val="0"/>
          <w:numId w:val="10"/>
        </w:numPr>
        <w:spacing w:before="0" w:after="160" w:line="280" w:lineRule="auto"/>
      </w:pPr>
      <w:r>
        <w:rPr>
          <w:rFonts w:ascii="Calibri" w:hAnsi="Calibri" w:eastAsia="Calibri"/>
          <w:color w:val="000000"/>
          <w:sz w:val="22"/>
        </w:rPr>
        <w:t>Remote users with current authorization</w:t>
      </w:r>
    </w:p>
    <w:p>
      <w:pPr>
        <w:keepNext w:val="0"/>
        <w:keepLines w:val="0"/>
        <w:numPr>
          <w:ilvl w:val="0"/>
          <w:numId w:val="10"/>
        </w:numPr>
        <w:spacing w:before="0" w:after="160" w:line="280" w:lineRule="auto"/>
      </w:pPr>
      <w:r>
        <w:rPr>
          <w:rFonts w:ascii="Calibri" w:hAnsi="Calibri" w:eastAsia="Calibri"/>
          <w:color w:val="000000"/>
          <w:sz w:val="22"/>
        </w:rPr>
        <w:t>MFA and compliant-device enforcement</w:t>
      </w:r>
    </w:p>
    <w:p>
      <w:pPr>
        <w:keepNext w:val="0"/>
        <w:keepLines w:val="0"/>
        <w:numPr>
          <w:ilvl w:val="0"/>
          <w:numId w:val="10"/>
        </w:numPr>
        <w:spacing w:before="0" w:after="160" w:line="280" w:lineRule="auto"/>
      </w:pPr>
      <w:r>
        <w:rPr>
          <w:rFonts w:ascii="Calibri" w:hAnsi="Calibri" w:eastAsia="Calibri"/>
          <w:color w:val="000000"/>
          <w:sz w:val="22"/>
        </w:rPr>
        <w:t>Stale vendor access removed</w:t>
      </w:r>
    </w:p>
    <w:p>
      <w:pPr>
        <w:keepNext w:val="0"/>
        <w:keepLines w:val="0"/>
        <w:spacing w:before="0" w:after="120" w:line="264" w:lineRule="auto"/>
      </w:pPr>
      <w:r>
        <w:rPr>
          <w:rFonts w:ascii="Calibri" w:hAnsi="Calibri" w:eastAsia="Calibri"/>
          <w:color w:val="000000"/>
          <w:sz w:val="22"/>
        </w:rPr>
        <w:t>This document shall be reviewed at least annually and after a material incident, legal or contractual change, control failure, technology change, or significant change to the system boundary or operating model.</w:t>
      </w:r>
    </w:p>
    <w:p>
      <w:pPr>
        <w:pStyle w:val="Heading1"/>
        <w:keepNext/>
      </w:pPr>
      <w:r>
        <w:t>7. Exceptions</w:t>
      </w:r>
    </w:p>
    <w:p>
      <w:pPr>
        <w:keepNext w:val="0"/>
        <w:keepLines w:val="0"/>
        <w:spacing w:before="0" w:after="120" w:line="264" w:lineRule="auto"/>
      </w:pPr>
      <w:r>
        <w:rPr>
          <w:rFonts w:ascii="Calibri" w:hAnsi="Calibri" w:eastAsia="Calibri"/>
          <w:color w:val="000000"/>
          <w:sz w:val="22"/>
        </w:rPr>
        <w:t>Exceptions require a written request identifying the affected scope, business need, risk, compensating safeguards, accountable owner, approval authority, start date, expiration date, and review cadence. Exceptions shall be tracked to expiration and do not transfer responsibility for applicable legal, contractual, or CMMC requirements.</w:t>
      </w:r>
    </w:p>
    <w:p>
      <w:pPr>
        <w:pStyle w:val="Heading1"/>
        <w:keepNext/>
      </w:pPr>
      <w:r>
        <w:t>8. Compliance and Enforcement</w:t>
      </w:r>
    </w:p>
    <w:p>
      <w:pPr>
        <w:keepNext w:val="0"/>
        <w:keepLines w:val="0"/>
        <w:spacing w:before="0" w:after="120" w:line="264" w:lineRule="auto"/>
      </w:pPr>
      <w:r>
        <w:rPr>
          <w:rFonts w:ascii="Calibri" w:hAnsi="Calibri" w:eastAsia="Calibri"/>
          <w:color w:val="000000"/>
          <w:sz w:val="22"/>
        </w:rPr>
        <w:t>Failure to comply may result in access restriction, corrective action, contract remedies, or disciplinary action consistent with law and organizational policy. Suspected violations shall be reported through {{implementation.reporting_channel}}. Compliance does not by itself establish certification; effectiveness must be demonstrated through implementation and evidence.</w:t>
      </w:r>
    </w:p>
    <w:p>
      <w:pPr>
        <w:pStyle w:val="Heading1"/>
        <w:keepNext/>
      </w:pPr>
      <w:r>
        <w:t>9. Organization Implementation Parameters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880"/>
        <w:gridCol w:w="6480"/>
      </w:tblGrid>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In-Scope Systems / Processes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{{scope.summary}} Boundary: {{scope.boundary}}. Included locations: {{scope.included_locations}}. Excluded locations: {{scope.excluded_locations}}. Systems: {{scope.systems}}. Data flow: {{scope.data_flow}}.</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Responsible Team</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{{implementation.responsible_team}}</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Required Procedures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{{implementation.procedure_location}}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Technology / Control Location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{{implementation.control_location}}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Evidence Repository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{{implementation.repository}}</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and Test Frequency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{{implementation.review_trigger}}</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Reporting Channel</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{{implementation.reporting_channel}}</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Records Retention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{{implementation.retention_period}}</w:t>
            </w:r>
          </w:p>
        </w:tc>
      </w:tr>
    </w:tbl>
    <w:p>
      <w:r>
        <w:br w:type="page"/>
      </w:r>
    </w:p>
    <w:p>
      <w:pPr>
        <w:pStyle w:val="Heading1"/>
        <w:keepNext/>
      </w:pPr>
      <w:r>
        <w:t>10. Control Alignment and Tailoring</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Suggested control alignment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CMMC: AC.L2-3.1.12, AC.L2-3.1.13, AC.L2-3.1.14, AC.L2-3.1.15; IA.L2-3.5.3; SC.L2-3.13.8.</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Applicability decision</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Applicable unless the documented system scope and operating model support a formally approved Not Applicable determination.</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Tailoring requirement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The policy owner shall define organization-selected values, map system-specific procedures and evidence, and obtain approval before publication.</w:t>
            </w:r>
          </w:p>
        </w:tc>
      </w:tr>
    </w:tbl>
    <w:p>
      <w:pPr>
        <w:pStyle w:val="Heading1"/>
        <w:keepNext/>
      </w:pPr>
      <w:r>
        <w:t>11. References</w:t>
      </w:r>
    </w:p>
    <w:p>
      <w:pPr>
        <w:keepNext w:val="0"/>
        <w:keepLines w:val="0"/>
        <w:numPr>
          <w:ilvl w:val="0"/>
          <w:numId w:val="10"/>
        </w:numPr>
        <w:spacing w:before="0" w:after="160" w:line="280" w:lineRule="auto"/>
      </w:pPr>
      <w:r>
        <w:rPr>
          <w:rFonts w:ascii="Calibri" w:hAnsi="Calibri" w:eastAsia="Calibri"/>
          <w:color w:val="000000"/>
          <w:sz w:val="22"/>
        </w:rPr>
        <w:t>NIST SP 800-46 Rev. 2, Telework, Remote Access, and BYOD Security: https://doi.org/10.6028/NIST.SP.800-46r2</w:t>
      </w:r>
    </w:p>
    <w:p>
      <w:pPr>
        <w:keepNext w:val="0"/>
        <w:keepLines w:val="0"/>
        <w:numPr>
          <w:ilvl w:val="0"/>
          <w:numId w:val="10"/>
        </w:numPr>
        <w:spacing w:before="0" w:after="160" w:line="280" w:lineRule="auto"/>
      </w:pPr>
      <w:r>
        <w:rPr>
          <w:rFonts w:ascii="Calibri" w:hAnsi="Calibri" w:eastAsia="Calibri"/>
          <w:color w:val="000000"/>
          <w:sz w:val="22"/>
        </w:rPr>
        <w:t>NIST SP 800-171 Rev. 2, Protecting CUI in Nonfederal Systems: https://doi.org/10.6028/NIST.SP.800-171r2</w:t>
      </w:r>
    </w:p>
    <w:p>
      <w:pPr>
        <w:keepNext w:val="0"/>
        <w:keepLines w:val="0"/>
        <w:numPr>
          <w:ilvl w:val="0"/>
          <w:numId w:val="10"/>
        </w:numPr>
        <w:spacing w:before="0" w:after="160" w:line="280" w:lineRule="auto"/>
      </w:pPr>
      <w:r>
        <w:rPr>
          <w:rFonts w:ascii="Calibri" w:hAnsi="Calibri" w:eastAsia="Calibri"/>
          <w:color w:val="000000"/>
          <w:sz w:val="22"/>
        </w:rPr>
        <w:t>NIST SP 800-53 Rev. 5, Security and Privacy Controls: https://doi.org/10.6028/NIST.SP.800-53r5</w:t>
      </w:r>
    </w:p>
    <w:p>
      <w:pPr>
        <w:pStyle w:val="Heading1"/>
        <w:keepNext/>
      </w:pPr>
      <w:r>
        <w:t>12. Revision History</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260"/>
        <w:gridCol w:w="1800"/>
        <w:gridCol w:w="4500"/>
        <w:gridCol w:w="1800"/>
      </w:tblGrid>
      <w:tr>
        <w:tc>
          <w:tcPr>
            <w:tcW w:type="dxa" w:w="12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Version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c>
          <w:tcPr>
            <w:tcW w:type="dxa" w:w="45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Description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Author / Approver</w:t>
            </w:r>
          </w:p>
        </w:tc>
      </w:tr>
      <w:tr>
        <w:tc>
          <w:tcPr>
            <w:tcW w:type="dxa" w:w="12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{{revision.date}}</w:t>
            </w:r>
          </w:p>
        </w:tc>
        <w:tc>
          <w:tcPr>
            <w:tcW w:type="dxa" w:w="45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Initial approved issue / {{revision.summary}}</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{{revision.author}}</w:t>
            </w:r>
          </w:p>
        </w:tc>
      </w:tr>
    </w:tbl>
    <w:p>
      <w:pPr>
        <w:pStyle w:val="Heading1"/>
        <w:keepNext/>
      </w:pPr>
      <w:r>
        <w:t>13. Approval</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3960"/>
        <w:gridCol w:w="3000"/>
        <w:gridCol w:w="2400"/>
      </w:tblGrid>
      <w:tr>
        <w:tc>
          <w:tcPr>
            <w:tcW w:type="dxa" w:w="39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Name and Title</w:t>
            </w:r>
          </w:p>
        </w:tc>
        <w:tc>
          <w:tcPr>
            <w:tcW w:type="dxa" w:w="30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Signature / Approval Record</w:t>
            </w:r>
          </w:p>
        </w:tc>
        <w:tc>
          <w:tcPr>
            <w:tcW w:type="dxa" w:w="24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r>
      <w:tr>
        <w:tc>
          <w:tcPr>
            <w:tcW w:type="dxa" w:w="39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c>
          <w:tcPr>
            <w:tcW w:type="dxa" w:w="30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{{approval.record_id}}</w:t>
            </w:r>
          </w:p>
        </w:tc>
        <w:tc>
          <w:tcPr>
            <w:tcW w:type="dxa" w:w="24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{{approval.date}}</w:t>
            </w:r>
          </w:p>
        </w:tc>
      </w:tr>
    </w:tbl>
    <w:p>
      <w:pPr>
        <w:pStyle w:val="Heading1"/>
        <w:keepNext/>
      </w:pPr>
      <w:r>
        <w:t>14. Publication Checklist</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9360"/>
      </w:tblGrid>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All organization-selected values have been completed and verified.</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The owner, approver, effective date, review date, classification, and version are correct.</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Scope and any Not Applicable decision match the current SSP and assessment boundary.</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Required procedures, configurations, operational tests, and evidence locations have been validated.</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Approval is recorded and the controlled version is ready for publication and workforce communication.</w:t>
            </w:r>
          </w:p>
        </w:tc>
      </w:tr>
    </w:tbl>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spacing w:before="0" w:after="0" w:line="240" w:lineRule="auto"/>
      <w:jc w:val="center"/>
    </w:pPr>
    <w:r>
      <w:rPr>
        <w:rFonts w:ascii="Calibri" w:hAnsi="Calibri" w:eastAsia="Calibri"/>
        <w:color w:val="59636E"/>
        <w:sz w:val="17"/>
      </w:rPr>
      <w:t xml:space="preserve">{{org.legal_name}}  |  {{doc.document_id}}  |  Version {{doc.version}}  |  Page 1 of 1</w:t>
    </w:r>
    <w:r>
      <w:rPr>
        <w:rFonts w:ascii="Calibri" w:hAnsi="Calibri" w:eastAsia="Calibri"/>
        <w:color w:val="59636E"/>
        <w:sz w:val="17"/>
      </w:rPr>
      <w:fldChar w:fldCharType="begin"/>
      <w:instrText xml:space="preserve"> PAGE </w:instrText>
      <w:fldChar w:fldCharType="separate"/>
      <w:t xml:space="preserve"/>
      <w:fldChar w:fldCharType="end"/>
    </w:r>
    <w:r>
      <w:rPr>
        <w:rFonts w:ascii="Calibri" w:hAnsi="Calibri" w:eastAsia="Calibri"/>
        <w:color w:val="59636E"/>
        <w:sz w:val="17"/>
      </w:rPr>
      <w:t xml:space="preserve"/>
    </w:r>
    <w:r>
      <w:rPr>
        <w:rFonts w:ascii="Calibri" w:hAnsi="Calibri" w:eastAsia="Calibri"/>
        <w:color w:val="59636E"/>
        <w:sz w:val="17"/>
      </w:rPr>
      <w:fldChar w:fldCharType="begin"/>
      <w:instrText xml:space="preserve"> NUMPAGES </w:instrText>
      <w:fldChar w:fldCharType="separate"/>
      <w:t xml:space="preserv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spacing w:before="0" w:after="0" w:line="240" w:lineRule="auto"/>
      <w:jc w:val="left"/>
    </w:pPr>
    <w:r>
      <w:rPr>
        <w:rFonts w:ascii="Calibri" w:hAnsi="Calibri" w:eastAsia="Calibri"/>
        <w:b/>
        <w:color w:val="59636E"/>
        <w:sz w:val="17"/>
      </w:rPr>
      <w:t>{{org.legal_name}}  |  Policy  |  {{doc.document_id}}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Remote Access Security Policy</dc:title>
  <dc:subject> cybersecurity policy template</dc:subject>
  <dc:creator/>
  <cp:keywords> policy template</cp:keywords>
  <dc:description>generated by python-docx</dc:description>
  <cp:lastModifiedBy/>
  <cp:revision>1</cp:revision>
  <dcterms:created xsi:type="dcterms:W3CDTF">2013-12-23T23:15:00Z</dcterms:created>
  <dcterms:modified xsi:type="dcterms:W3CDTF">2013-12-23T23:15:00Z</dcterms:modified>
  <cp:category/>
</cp:coreProperties>
</file>