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Remote Support and Administration Tools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Control software and services capable of remote viewing, control, command execution, file transfer, tunneling, or unattended administration.</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remote monitoring and management (RMM), help-desk tools, screen sharing, remote shell, tunneling, vendor support agents, browser extensions, and portable remote-control utilities.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Only tools on the approved remote-access tool register may be installed, executed, or used for organizational systems.</w:t>
      </w:r>
    </w:p>
    <w:p>
      <w:pPr>
        <w:keepNext w:val="0"/>
        <w:keepLines w:val="0"/>
        <w:numPr>
          <w:ilvl w:val="0"/>
          <w:numId w:val="10"/>
        </w:numPr>
        <w:spacing w:before="0" w:after="160" w:line="280" w:lineRule="auto"/>
      </w:pPr>
      <w:r>
        <w:rPr>
          <w:rFonts w:ascii="Calibri" w:hAnsi="Calibri" w:eastAsia="Calibri"/>
          <w:color w:val="000000"/>
          <w:sz w:val="22"/>
        </w:rPr>
        <w:t>Each approved tool shall have an owner, supported use cases, security assessment, configuration baseline, authorized operators, logging plan, and vendor-risk record.</w:t>
      </w:r>
    </w:p>
    <w:p>
      <w:pPr>
        <w:keepNext w:val="0"/>
        <w:keepLines w:val="0"/>
        <w:numPr>
          <w:ilvl w:val="0"/>
          <w:numId w:val="10"/>
        </w:numPr>
        <w:spacing w:before="0" w:after="160" w:line="280" w:lineRule="auto"/>
      </w:pPr>
      <w:r>
        <w:rPr>
          <w:rFonts w:ascii="Calibri" w:hAnsi="Calibri" w:eastAsia="Calibri"/>
          <w:color w:val="000000"/>
          <w:sz w:val="22"/>
        </w:rPr>
        <w:t>Operator access shall use unique identities, multifactor authentication, least privilege, device restrictions, and separate privileged roles where supported.</w:t>
      </w:r>
    </w:p>
    <w:p>
      <w:pPr>
        <w:keepNext w:val="0"/>
        <w:keepLines w:val="0"/>
        <w:numPr>
          <w:ilvl w:val="0"/>
          <w:numId w:val="10"/>
        </w:numPr>
        <w:spacing w:before="0" w:after="160" w:line="280" w:lineRule="auto"/>
      </w:pPr>
      <w:r>
        <w:rPr>
          <w:rFonts w:ascii="Calibri" w:hAnsi="Calibri" w:eastAsia="Calibri"/>
          <w:color w:val="000000"/>
          <w:sz w:val="22"/>
        </w:rPr>
        <w:t>Unattended access shall be limited to approved assets and business needs; ad hoc sessions shall require user notice or consent unless incident or legal authority permits otherwise.</w:t>
      </w:r>
    </w:p>
    <w:p>
      <w:pPr>
        <w:keepNext w:val="0"/>
        <w:keepLines w:val="0"/>
        <w:numPr>
          <w:ilvl w:val="0"/>
          <w:numId w:val="10"/>
        </w:numPr>
        <w:spacing w:before="0" w:after="160" w:line="280" w:lineRule="auto"/>
      </w:pPr>
      <w:r>
        <w:rPr>
          <w:rFonts w:ascii="Calibri" w:hAnsi="Calibri" w:eastAsia="Calibri"/>
          <w:color w:val="000000"/>
          <w:sz w:val="22"/>
        </w:rPr>
        <w:t>File transfer, clipboard, scripting, credential injection, and persistent agent capabilities shall be restricted and logged according to risk.</w:t>
      </w:r>
    </w:p>
    <w:p>
      <w:pPr>
        <w:keepNext w:val="0"/>
        <w:keepLines w:val="0"/>
        <w:numPr>
          <w:ilvl w:val="0"/>
          <w:numId w:val="10"/>
        </w:numPr>
        <w:spacing w:before="0" w:after="160" w:line="280" w:lineRule="auto"/>
      </w:pPr>
      <w:r>
        <w:rPr>
          <w:rFonts w:ascii="Calibri" w:hAnsi="Calibri" w:eastAsia="Calibri"/>
          <w:color w:val="000000"/>
          <w:sz w:val="22"/>
        </w:rPr>
        <w:t>Security shall detect unapproved remote tools, suspicious installs, relay abuse, unauthorized agents, and use outside approved time or scope.</w:t>
      </w:r>
    </w:p>
    <w:p>
      <w:pPr>
        <w:keepNext w:val="0"/>
        <w:keepLines w:val="0"/>
        <w:numPr>
          <w:ilvl w:val="0"/>
          <w:numId w:val="10"/>
        </w:numPr>
        <w:spacing w:before="0" w:after="160" w:line="280" w:lineRule="auto"/>
      </w:pPr>
      <w:r>
        <w:rPr>
          <w:rFonts w:ascii="Calibri" w:hAnsi="Calibri" w:eastAsia="Calibri"/>
          <w:color w:val="000000"/>
          <w:sz w:val="22"/>
        </w:rPr>
        <w:t>Access, agents, API keys, integrations, and tenant relationships shall be removed promptly when personnel or vendors separate or the tool is retired.</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Approved tool register</w:t>
      </w:r>
    </w:p>
    <w:p>
      <w:pPr>
        <w:keepNext w:val="0"/>
        <w:keepLines w:val="0"/>
        <w:numPr>
          <w:ilvl w:val="0"/>
          <w:numId w:val="10"/>
        </w:numPr>
        <w:spacing w:before="0" w:after="160" w:line="280" w:lineRule="auto"/>
      </w:pPr>
      <w:r>
        <w:rPr>
          <w:rFonts w:ascii="Calibri" w:hAnsi="Calibri" w:eastAsia="Calibri"/>
          <w:color w:val="000000"/>
          <w:sz w:val="22"/>
        </w:rPr>
        <w:t>Security/vendor assessment</w:t>
      </w:r>
    </w:p>
    <w:p>
      <w:pPr>
        <w:keepNext w:val="0"/>
        <w:keepLines w:val="0"/>
        <w:numPr>
          <w:ilvl w:val="0"/>
          <w:numId w:val="10"/>
        </w:numPr>
        <w:spacing w:before="0" w:after="160" w:line="280" w:lineRule="auto"/>
      </w:pPr>
      <w:r>
        <w:rPr>
          <w:rFonts w:ascii="Calibri" w:hAnsi="Calibri" w:eastAsia="Calibri"/>
          <w:color w:val="000000"/>
          <w:sz w:val="22"/>
        </w:rPr>
        <w:t>Configuration baseline</w:t>
      </w:r>
    </w:p>
    <w:p>
      <w:pPr>
        <w:keepNext w:val="0"/>
        <w:keepLines w:val="0"/>
        <w:numPr>
          <w:ilvl w:val="0"/>
          <w:numId w:val="10"/>
        </w:numPr>
        <w:spacing w:before="0" w:after="160" w:line="280" w:lineRule="auto"/>
      </w:pPr>
      <w:r>
        <w:rPr>
          <w:rFonts w:ascii="Calibri" w:hAnsi="Calibri" w:eastAsia="Calibri"/>
          <w:color w:val="000000"/>
          <w:sz w:val="22"/>
        </w:rPr>
        <w:t>Operator and unattended-access review</w:t>
      </w:r>
    </w:p>
    <w:p>
      <w:pPr>
        <w:keepNext w:val="0"/>
        <w:keepLines w:val="0"/>
        <w:numPr>
          <w:ilvl w:val="0"/>
          <w:numId w:val="10"/>
        </w:numPr>
        <w:spacing w:before="0" w:after="160" w:line="280" w:lineRule="auto"/>
      </w:pPr>
      <w:r>
        <w:rPr>
          <w:rFonts w:ascii="Calibri" w:hAnsi="Calibri" w:eastAsia="Calibri"/>
          <w:color w:val="000000"/>
          <w:sz w:val="22"/>
        </w:rPr>
        <w:t>Session/activity logs</w:t>
      </w:r>
    </w:p>
    <w:p>
      <w:pPr>
        <w:keepNext w:val="0"/>
        <w:keepLines w:val="0"/>
        <w:numPr>
          <w:ilvl w:val="0"/>
          <w:numId w:val="10"/>
        </w:numPr>
        <w:spacing w:before="0" w:after="160" w:line="280" w:lineRule="auto"/>
      </w:pPr>
      <w:r>
        <w:rPr>
          <w:rFonts w:ascii="Calibri" w:hAnsi="Calibri" w:eastAsia="Calibri"/>
          <w:color w:val="000000"/>
          <w:sz w:val="22"/>
        </w:rPr>
        <w:t>Unauthorized-tool detections</w:t>
      </w:r>
    </w:p>
    <w:p>
      <w:pPr>
        <w:keepNext w:val="0"/>
        <w:keepLines w:val="0"/>
        <w:numPr>
          <w:ilvl w:val="0"/>
          <w:numId w:val="10"/>
        </w:numPr>
        <w:spacing w:before="0" w:after="160" w:line="280" w:lineRule="auto"/>
      </w:pPr>
      <w:r>
        <w:rPr>
          <w:rFonts w:ascii="Calibri" w:hAnsi="Calibri" w:eastAsia="Calibri"/>
          <w:color w:val="000000"/>
          <w:sz w:val="22"/>
        </w:rPr>
        <w:t>Offboarding evidence</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Approved tools with current owner and assessment</w:t>
      </w:r>
    </w:p>
    <w:p>
      <w:pPr>
        <w:keepNext w:val="0"/>
        <w:keepLines w:val="0"/>
        <w:numPr>
          <w:ilvl w:val="0"/>
          <w:numId w:val="10"/>
        </w:numPr>
        <w:spacing w:before="0" w:after="160" w:line="280" w:lineRule="auto"/>
      </w:pPr>
      <w:r>
        <w:rPr>
          <w:rFonts w:ascii="Calibri" w:hAnsi="Calibri" w:eastAsia="Calibri"/>
          <w:color w:val="000000"/>
          <w:sz w:val="22"/>
        </w:rPr>
        <w:t>Operator access reviewed</w:t>
      </w:r>
    </w:p>
    <w:p>
      <w:pPr>
        <w:keepNext w:val="0"/>
        <w:keepLines w:val="0"/>
        <w:numPr>
          <w:ilvl w:val="0"/>
          <w:numId w:val="10"/>
        </w:numPr>
        <w:spacing w:before="0" w:after="160" w:line="280" w:lineRule="auto"/>
      </w:pPr>
      <w:r>
        <w:rPr>
          <w:rFonts w:ascii="Calibri" w:hAnsi="Calibri" w:eastAsia="Calibri"/>
          <w:color w:val="000000"/>
          <w:sz w:val="22"/>
        </w:rPr>
        <w:t>Unauthorized remote tools detected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AC.L2-3.1.12 through AC.L2-3.1.15; CM.L2-3.4.8 and CM.L2-3.4.9; AU practices for tool activity.</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800-46 Rev. 2, Telework, Remote Access, and BYOD Security: https://doi.org/10.6028/NIST.SP.800-46r2</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Support and Administration Tools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