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Removable Media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Control use, transport, storage, sanitization, and accountability of removable media to prevent malware, data loss, and unauthorized disclosure.</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USB drives, external storage, memory cards, optical media, portable backup media, mobile devices used as storage, and other removable or transportable media.</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Use of removable media is prohibited by default for restricted information unless authorized for a documented business need.</w:t>
      </w:r>
    </w:p>
    <w:p>
      <w:pPr>
        <w:keepNext w:val="0"/>
        <w:keepLines w:val="0"/>
        <w:numPr>
          <w:ilvl w:val="0"/>
          <w:numId w:val="10"/>
        </w:numPr>
        <w:spacing w:before="0" w:after="160" w:line="280" w:lineRule="auto"/>
      </w:pPr>
      <w:r>
        <w:rPr>
          <w:rFonts w:ascii="Calibri" w:hAnsi="Calibri" w:eastAsia="Calibri"/>
          <w:color w:val="000000"/>
          <w:sz w:val="22"/>
        </w:rPr>
        <w:t>Authorized media shall be organization-owned or approved, uniquely inventoried, encrypted with an approved method, assigned to a custodian, and limited to the minimum necessary data.</w:t>
      </w:r>
    </w:p>
    <w:p>
      <w:pPr>
        <w:keepNext w:val="0"/>
        <w:keepLines w:val="0"/>
        <w:numPr>
          <w:ilvl w:val="0"/>
          <w:numId w:val="10"/>
        </w:numPr>
        <w:spacing w:before="0" w:after="160" w:line="280" w:lineRule="auto"/>
      </w:pPr>
      <w:r>
        <w:rPr>
          <w:rFonts w:ascii="Calibri" w:hAnsi="Calibri" w:eastAsia="Calibri"/>
          <w:color w:val="000000"/>
          <w:sz w:val="22"/>
        </w:rPr>
        <w:t>Media shall be scanned before use and after exposure to external systems; unknown or found media shall not be connected and shall be reported.</w:t>
      </w:r>
    </w:p>
    <w:p>
      <w:pPr>
        <w:keepNext w:val="0"/>
        <w:keepLines w:val="0"/>
        <w:numPr>
          <w:ilvl w:val="0"/>
          <w:numId w:val="10"/>
        </w:numPr>
        <w:spacing w:before="0" w:after="160" w:line="280" w:lineRule="auto"/>
      </w:pPr>
      <w:r>
        <w:rPr>
          <w:rFonts w:ascii="Calibri" w:hAnsi="Calibri" w:eastAsia="Calibri"/>
          <w:color w:val="000000"/>
          <w:sz w:val="22"/>
        </w:rPr>
        <w:t>Transfer shall be documented, protected against loss and unauthorized access, and use trusted couriers or hand-carry procedures when risk requires.</w:t>
      </w:r>
    </w:p>
    <w:p>
      <w:pPr>
        <w:keepNext w:val="0"/>
        <w:keepLines w:val="0"/>
        <w:numPr>
          <w:ilvl w:val="0"/>
          <w:numId w:val="10"/>
        </w:numPr>
        <w:spacing w:before="0" w:after="160" w:line="280" w:lineRule="auto"/>
      </w:pPr>
      <w:r>
        <w:rPr>
          <w:rFonts w:ascii="Calibri" w:hAnsi="Calibri" w:eastAsia="Calibri"/>
          <w:color w:val="000000"/>
          <w:sz w:val="22"/>
        </w:rPr>
        <w:t>Personally owned media and media without identifiable ownership are prohibited on organizational systems unless a specific exception authorizes controlled analysis.</w:t>
      </w:r>
    </w:p>
    <w:p>
      <w:pPr>
        <w:keepNext w:val="0"/>
        <w:keepLines w:val="0"/>
        <w:numPr>
          <w:ilvl w:val="0"/>
          <w:numId w:val="10"/>
        </w:numPr>
        <w:spacing w:before="0" w:after="160" w:line="280" w:lineRule="auto"/>
      </w:pPr>
      <w:r>
        <w:rPr>
          <w:rFonts w:ascii="Calibri" w:hAnsi="Calibri" w:eastAsia="Calibri"/>
          <w:color w:val="000000"/>
          <w:sz w:val="22"/>
        </w:rPr>
        <w:t>Media containing CUI or other restricted information shall be marked, stored, transported, and logged according to applicable handling rules.</w:t>
      </w:r>
    </w:p>
    <w:p>
      <w:pPr>
        <w:keepNext w:val="0"/>
        <w:keepLines w:val="0"/>
        <w:numPr>
          <w:ilvl w:val="0"/>
          <w:numId w:val="10"/>
        </w:numPr>
        <w:spacing w:before="0" w:after="160" w:line="280" w:lineRule="auto"/>
      </w:pPr>
      <w:r>
        <w:rPr>
          <w:rFonts w:ascii="Calibri" w:hAnsi="Calibri" w:eastAsia="Calibri"/>
          <w:color w:val="000000"/>
          <w:sz w:val="22"/>
        </w:rPr>
        <w:t>When no longer required, media shall be returned and sanitized or destroyed using an approved method appropriate to the data and media type.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Media inventory and custodian</w:t>
      </w:r>
    </w:p>
    <w:p>
      <w:pPr>
        <w:keepNext w:val="0"/>
        <w:keepLines w:val="0"/>
        <w:numPr>
          <w:ilvl w:val="0"/>
          <w:numId w:val="10"/>
        </w:numPr>
        <w:spacing w:before="0" w:after="160" w:line="280" w:lineRule="auto"/>
      </w:pPr>
      <w:r>
        <w:rPr>
          <w:rFonts w:ascii="Calibri" w:hAnsi="Calibri" w:eastAsia="Calibri"/>
          <w:color w:val="000000"/>
          <w:sz w:val="22"/>
        </w:rPr>
        <w:t>Use/transfer authorization</w:t>
      </w:r>
    </w:p>
    <w:p>
      <w:pPr>
        <w:keepNext w:val="0"/>
        <w:keepLines w:val="0"/>
        <w:numPr>
          <w:ilvl w:val="0"/>
          <w:numId w:val="10"/>
        </w:numPr>
        <w:spacing w:before="0" w:after="160" w:line="280" w:lineRule="auto"/>
      </w:pPr>
      <w:r>
        <w:rPr>
          <w:rFonts w:ascii="Calibri" w:hAnsi="Calibri" w:eastAsia="Calibri"/>
          <w:color w:val="000000"/>
          <w:sz w:val="22"/>
        </w:rPr>
        <w:t>Encryption and scan evidence</w:t>
      </w:r>
    </w:p>
    <w:p>
      <w:pPr>
        <w:keepNext w:val="0"/>
        <w:keepLines w:val="0"/>
        <w:numPr>
          <w:ilvl w:val="0"/>
          <w:numId w:val="10"/>
        </w:numPr>
        <w:spacing w:before="0" w:after="160" w:line="280" w:lineRule="auto"/>
      </w:pPr>
      <w:r>
        <w:rPr>
          <w:rFonts w:ascii="Calibri" w:hAnsi="Calibri" w:eastAsia="Calibri"/>
          <w:color w:val="000000"/>
          <w:sz w:val="22"/>
        </w:rPr>
        <w:t>Chain-of-custody or hand-receipt</w:t>
      </w:r>
    </w:p>
    <w:p>
      <w:pPr>
        <w:keepNext w:val="0"/>
        <w:keepLines w:val="0"/>
        <w:numPr>
          <w:ilvl w:val="0"/>
          <w:numId w:val="10"/>
        </w:numPr>
        <w:spacing w:before="0" w:after="160" w:line="280" w:lineRule="auto"/>
      </w:pPr>
      <w:r>
        <w:rPr>
          <w:rFonts w:ascii="Calibri" w:hAnsi="Calibri" w:eastAsia="Calibri"/>
          <w:color w:val="000000"/>
          <w:sz w:val="22"/>
        </w:rPr>
        <w:t>Return record</w:t>
      </w:r>
    </w:p>
    <w:p>
      <w:pPr>
        <w:keepNext w:val="0"/>
        <w:keepLines w:val="0"/>
        <w:numPr>
          <w:ilvl w:val="0"/>
          <w:numId w:val="10"/>
        </w:numPr>
        <w:spacing w:before="0" w:after="160" w:line="280" w:lineRule="auto"/>
      </w:pPr>
      <w:r>
        <w:rPr>
          <w:rFonts w:ascii="Calibri" w:hAnsi="Calibri" w:eastAsia="Calibri"/>
          <w:color w:val="000000"/>
          <w:sz w:val="22"/>
        </w:rPr>
        <w:t>Sanitization/destruction certificate</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Authorized media reconciled</w:t>
      </w:r>
    </w:p>
    <w:p>
      <w:pPr>
        <w:keepNext w:val="0"/>
        <w:keepLines w:val="0"/>
        <w:numPr>
          <w:ilvl w:val="0"/>
          <w:numId w:val="10"/>
        </w:numPr>
        <w:spacing w:before="0" w:after="160" w:line="280" w:lineRule="auto"/>
      </w:pPr>
      <w:r>
        <w:rPr>
          <w:rFonts w:ascii="Calibri" w:hAnsi="Calibri" w:eastAsia="Calibri"/>
          <w:color w:val="000000"/>
          <w:sz w:val="22"/>
        </w:rPr>
        <w:t>Encrypted media compliance</w:t>
      </w:r>
    </w:p>
    <w:p>
      <w:pPr>
        <w:keepNext w:val="0"/>
        <w:keepLines w:val="0"/>
        <w:numPr>
          <w:ilvl w:val="0"/>
          <w:numId w:val="10"/>
        </w:numPr>
        <w:spacing w:before="0" w:after="160" w:line="280" w:lineRule="auto"/>
      </w:pPr>
      <w:r>
        <w:rPr>
          <w:rFonts w:ascii="Calibri" w:hAnsi="Calibri" w:eastAsia="Calibri"/>
          <w:color w:val="000000"/>
          <w:sz w:val="22"/>
        </w:rPr>
        <w:t>Overdue media returns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MP.L2-3.8.1, MP.L2-3.8.2, MP.L2-3.8.5, MP.L2-3.8.7, MP.L2-3.8.8, MP.L2-3.8.9.</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800-88 Rev. 2, Guidelines for Media Sanitization: https://doi.org/10.6028/NIST.SP.800-88r2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Removable Media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