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360"/>
        <w:jc w:val="left"/>
        <w:tblLayout w:type="fixed"/>
        <w:tblLook w:firstColumn="1" w:firstRow="1" w:lastColumn="0" w:lastRow="0" w:noHBand="0" w:noVBand="1" w:val="04A0"/>
        <w:tblInd w:w="0" w:type="dxa"/>
      </w:tblPr>
      <w:tblGrid>
        <w:gridCol w:w="6480"/>
        <w:gridCol w:w="2880"/>
      </w:tblGrid>
      <w:tr>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b/>
                <w:color w:val="0B2545"/>
                <w:sz w:val="24"/>
              </w:rPr>
              <w:t>{{org.legal_name}}</w:t>
            </w:r>
          </w:p>
        </w:tc>
        <w:tc>
          <w:tcPr>
            <w:tcW w:type="dxa" w:w="2880"/>
            <w:vAlign w:val="center"/>
            <w:tcMar>
              <w:top w:w="80" w:type="dxa"/>
              <w:start w:w="120" w:type="dxa"/>
              <w:bottom w:w="80" w:type="dxa"/>
              <w:end w:w="120" w:type="dxa"/>
            </w:tcMar>
            <w:shd w:fill="F2F4F7" w:val="clear"/>
          </w:tcPr>
          <w:p>
            <w:pPr>
              <w:keepNext w:val="0"/>
              <w:keepLines w:val="0"/>
              <w:spacing w:before="0" w:after="0" w:line="240" w:lineRule="auto"/>
              <w:jc w:val="center"/>
            </w:pPr>
            <w:r>
              <w:rPr>
                <w:rFonts w:ascii="Calibri" w:hAnsi="Calibri" w:eastAsia="Calibri"/>
                <w:b/>
                <w:color w:val="59636E"/>
                <w:sz w:val="18"/>
              </w:rPr>
              <w:t>{{org.logo}}</w:t>
            </w:r>
          </w:p>
        </w:tc>
      </w:tr>
    </w:tbl>
    <w:p>
      <w:pPr>
        <w:keepNext w:val="0"/>
        <w:keepLines w:val="0"/>
        <w:spacing w:before="240" w:after="60" w:line="240" w:lineRule="auto"/>
      </w:pPr>
      <w:r>
        <w:rPr>
          <w:rFonts w:ascii="Calibri" w:hAnsi="Calibri" w:eastAsia="Calibri"/>
          <w:b/>
          <w:color w:val="2E74B5"/>
          <w:sz w:val="18"/>
        </w:rPr>
        <w:t>POLICY</w:t>
      </w:r>
    </w:p>
    <w:p>
      <w:pPr>
        <w:keepNext/>
        <w:keepLines w:val="0"/>
        <w:spacing w:before="0" w:after="100" w:line="240" w:lineRule="auto"/>
      </w:pPr>
      <w:r>
        <w:rPr>
          <w:rFonts w:ascii="Calibri" w:hAnsi="Calibri" w:eastAsia="Calibri"/>
          <w:b/>
          <w:color w:val="0B2545"/>
          <w:sz w:val="46"/>
        </w:rPr>
        <w:t>Cybersecurity Risk Assessment Policy</w:t>
      </w:r>
    </w:p>
    <w:p>
      <w:pPr>
        <w:keepNext w:val="0"/>
        <w:keepLines w:val="0"/>
        <w:spacing w:before="0" w:after="280" w:line="240" w:lineRule="auto"/>
      </w:pPr>
      <w:r>
        <w:rPr>
          <w:rFonts w:ascii="Calibri" w:hAnsi="Calibri" w:eastAsia="Calibri"/>
          <w:i/>
          <w:color w:val="59636E"/>
          <w:sz w:val="20"/>
        </w:rPr>
        <w:t>{{doc.title}} — {{doc.template_key}} v{{doc.version}}</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1440"/>
        <w:gridCol w:w="3240"/>
        <w:gridCol w:w="1440"/>
        <w:gridCol w:w="3240"/>
      </w:tblGrid>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Document ID</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{{doc.document_id}}</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Version</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{{doc.version}}</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Policy Owner</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{{doc.owner_name}}</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Approver</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{{doc.approver_name}}</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Effective Date</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{{doc.effective_date}}</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Next Review</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{{doc.next_review_date}}</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Classification</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{{doc.classification}}</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Review Cycle</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{{doc.review_cycle}}</w:t>
            </w:r>
          </w:p>
        </w:tc>
      </w:tr>
    </w:tbl>
    <w:p>
      <w:pPr>
        <w:pStyle w:val="Heading1"/>
        <w:keepNext/>
      </w:pPr>
      <w:r>
        <w:t>1. Purpose</w:t>
      </w:r>
    </w:p>
    <w:p>
      <w:pPr>
        <w:keepNext w:val="0"/>
        <w:keepLines w:val="0"/>
        <w:spacing w:before="0" w:after="120" w:line="264" w:lineRule="auto"/>
      </w:pPr>
      <w:r>
        <w:rPr>
          <w:rFonts w:ascii="Calibri" w:hAnsi="Calibri" w:eastAsia="Calibri"/>
          <w:color w:val="000000"/>
          <w:sz w:val="22"/>
        </w:rPr>
        <w:t>Establish a repeatable process to identify, analyze, communicate, treat, and monitor cybersecurity risk.</w:t>
      </w:r>
    </w:p>
    <w:p>
      <w:pPr>
        <w:pStyle w:val="Heading1"/>
        <w:keepNext/>
      </w:pPr>
      <w:r>
        <w:t>2. Scope and Applicability</w:t>
      </w:r>
    </w:p>
    <w:p>
      <w:pPr>
        <w:keepNext w:val="0"/>
        <w:keepLines w:val="0"/>
        <w:spacing w:before="0" w:after="120" w:line="264" w:lineRule="auto"/>
      </w:pPr>
      <w:r>
        <w:rPr>
          <w:rFonts w:ascii="Calibri" w:hAnsi="Calibri" w:eastAsia="Calibri"/>
          <w:color w:val="000000"/>
          <w:sz w:val="22"/>
        </w:rPr>
        <w:t>Applies to organizational systems, information, business processes, facilities, suppliers, projects, material changes, and threats within the defined enterprise and CMMC assessment scopes.</w:t>
      </w:r>
    </w:p>
    <w:p>
      <w:pPr>
        <w:pStyle w:val="Heading1"/>
        <w:keepNext/>
      </w:pPr>
      <w:r>
        <w:t>3. Policy Requirements</w:t>
      </w:r>
    </w:p>
    <w:p>
      <w:pPr>
        <w:keepNext w:val="0"/>
        <w:keepLines w:val="0"/>
        <w:numPr>
          <w:ilvl w:val="0"/>
          <w:numId w:val="10"/>
        </w:numPr>
        <w:spacing w:before="0" w:after="160" w:line="280" w:lineRule="auto"/>
      </w:pPr>
      <w:r>
        <w:rPr>
          <w:rFonts w:ascii="Calibri" w:hAnsi="Calibri" w:eastAsia="Calibri"/>
          <w:color w:val="000000"/>
          <w:sz w:val="22"/>
        </w:rPr>
        <w:t>The risk program shall define approved likelihood, impact, inherent risk, residual risk, risk appetite, acceptance authority, review frequency, and escalation criteria.</w:t>
      </w:r>
    </w:p>
    <w:p>
      <w:pPr>
        <w:keepNext w:val="0"/>
        <w:keepLines w:val="0"/>
        <w:numPr>
          <w:ilvl w:val="0"/>
          <w:numId w:val="10"/>
        </w:numPr>
        <w:spacing w:before="0" w:after="160" w:line="280" w:lineRule="auto"/>
      </w:pPr>
      <w:r>
        <w:rPr>
          <w:rFonts w:ascii="Calibri" w:hAnsi="Calibri" w:eastAsia="Calibri"/>
          <w:color w:val="000000"/>
          <w:sz w:val="22"/>
        </w:rPr>
        <w:t>Assessments shall consider assets, data, mission or business impact, threats, vulnerabilities, existing safeguards, dependencies, suppliers, legal obligations, and credible loss scenarios.</w:t>
      </w:r>
    </w:p>
    <w:p>
      <w:pPr>
        <w:keepNext w:val="0"/>
        <w:keepLines w:val="0"/>
        <w:numPr>
          <w:ilvl w:val="0"/>
          <w:numId w:val="10"/>
        </w:numPr>
        <w:spacing w:before="0" w:after="160" w:line="280" w:lineRule="auto"/>
      </w:pPr>
      <w:r>
        <w:rPr>
          <w:rFonts w:ascii="Calibri" w:hAnsi="Calibri" w:eastAsia="Calibri"/>
          <w:color w:val="000000"/>
          <w:sz w:val="22"/>
        </w:rPr>
        <w:t>Risk shall be recorded with clear cause, event, impact, affected scope, owner, treatment, target date, evidence, and residual-risk decision.</w:t>
      </w:r>
    </w:p>
    <w:p>
      <w:pPr>
        <w:keepNext w:val="0"/>
        <w:keepLines w:val="0"/>
        <w:numPr>
          <w:ilvl w:val="0"/>
          <w:numId w:val="10"/>
        </w:numPr>
        <w:spacing w:before="0" w:after="160" w:line="280" w:lineRule="auto"/>
      </w:pPr>
      <w:r>
        <w:rPr>
          <w:rFonts w:ascii="Calibri" w:hAnsi="Calibri" w:eastAsia="Calibri"/>
          <w:color w:val="000000"/>
          <w:sz w:val="22"/>
        </w:rPr>
        <w:t>Assessments shall occur at a defined cadence and before material architecture, supplier, data, facility, or business changes.</w:t>
      </w:r>
    </w:p>
    <w:p>
      <w:pPr>
        <w:keepNext w:val="0"/>
        <w:keepLines w:val="0"/>
        <w:numPr>
          <w:ilvl w:val="0"/>
          <w:numId w:val="10"/>
        </w:numPr>
        <w:spacing w:before="0" w:after="160" w:line="280" w:lineRule="auto"/>
      </w:pPr>
      <w:r>
        <w:rPr>
          <w:rFonts w:ascii="Calibri" w:hAnsi="Calibri" w:eastAsia="Calibri"/>
          <w:color w:val="000000"/>
          <w:sz w:val="22"/>
        </w:rPr>
        <w:t>Vulnerability scan results, incidents, threat advisories, audit findings, exceptions, and control-assessment results shall inform risk updates.</w:t>
      </w:r>
    </w:p>
    <w:p>
      <w:pPr>
        <w:keepNext w:val="0"/>
        <w:keepLines w:val="0"/>
        <w:numPr>
          <w:ilvl w:val="0"/>
          <w:numId w:val="10"/>
        </w:numPr>
        <w:spacing w:before="0" w:after="160" w:line="280" w:lineRule="auto"/>
      </w:pPr>
      <w:r>
        <w:rPr>
          <w:rFonts w:ascii="Calibri" w:hAnsi="Calibri" w:eastAsia="Calibri"/>
          <w:color w:val="000000"/>
          <w:sz w:val="22"/>
        </w:rPr>
        <w:t>Risk owners shall choose avoidance, mitigation, transfer, acceptance, or a documented combination within delegated authority.</w:t>
      </w:r>
    </w:p>
    <w:p>
      <w:pPr>
        <w:keepNext w:val="0"/>
        <w:keepLines w:val="0"/>
        <w:numPr>
          <w:ilvl w:val="0"/>
          <w:numId w:val="10"/>
        </w:numPr>
        <w:spacing w:before="0" w:after="160" w:line="280" w:lineRule="auto"/>
      </w:pPr>
      <w:r>
        <w:rPr>
          <w:rFonts w:ascii="Calibri" w:hAnsi="Calibri" w:eastAsia="Calibri"/>
          <w:color w:val="000000"/>
          <w:sz w:val="22"/>
        </w:rPr>
        <w:t>High and overdue risk shall be reported to governance bodies, and treatment effectiveness shall be validated before closure.</w:t>
      </w:r>
    </w:p>
    <w:p>
      <w:pPr>
        <w:pStyle w:val="Heading1"/>
        <w:keepNext/>
      </w:pPr>
      <w:r>
        <w:t>4. Roles and Responsibilities</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700"/>
        <w:gridCol w:w="6660"/>
      </w:tblGrid>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Role</w:t>
            </w:r>
          </w:p>
        </w:tc>
        <w:tc>
          <w:tcPr>
            <w:tcW w:type="dxa" w:w="66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Responsibilities</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Executive / Approving Authority</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Approve the document, allocate resources, and accept residual risk within delegated authority.</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Policy Owner</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Maintain requirements, coordinate implementation, review exceptions, and report performance.</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System and Service Owners</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Implement requirements, maintain evidence, and correct deficiencies for assigned assets.</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Security / Compliance</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Advise on safeguards, assess effectiveness, monitor risk, and support evidence review.</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Workforce Members and Third Parties</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Follow approved procedures, protect access and information, and report suspected issues promptly.</w:t>
            </w:r>
          </w:p>
        </w:tc>
      </w:tr>
    </w:tbl>
    <w:p>
      <w:pPr>
        <w:pStyle w:val="Heading1"/>
        <w:keepNext/>
      </w:pPr>
      <w:r>
        <w:t>5. Required Procedures, Evidence, and Records</w:t>
      </w:r>
    </w:p>
    <w:p>
      <w:pPr>
        <w:keepNext w:val="0"/>
        <w:keepLines w:val="0"/>
        <w:spacing w:before="0" w:after="120" w:line="264" w:lineRule="auto"/>
      </w:pPr>
      <w:r>
        <w:rPr>
          <w:rFonts w:ascii="Calibri" w:hAnsi="Calibri" w:eastAsia="Calibri"/>
          <w:color w:val="000000"/>
          <w:sz w:val="22"/>
        </w:rPr>
        <w:t>The policy owner shall ensure the following artifacts are created, retained, protected, and made available to authorized reviewers for the period defined by {{implementation.retention_period}}:</w:t>
      </w:r>
    </w:p>
    <w:p>
      <w:pPr>
        <w:keepNext w:val="0"/>
        <w:keepLines w:val="0"/>
        <w:numPr>
          <w:ilvl w:val="0"/>
          <w:numId w:val="10"/>
        </w:numPr>
        <w:spacing w:before="0" w:after="160" w:line="280" w:lineRule="auto"/>
      </w:pPr>
      <w:r>
        <w:rPr>
          <w:rFonts w:ascii="Calibri" w:hAnsi="Calibri" w:eastAsia="Calibri"/>
          <w:color w:val="000000"/>
          <w:sz w:val="22"/>
        </w:rPr>
        <w:t>Risk methodology</w:t>
      </w:r>
    </w:p>
    <w:p>
      <w:pPr>
        <w:keepNext w:val="0"/>
        <w:keepLines w:val="0"/>
        <w:numPr>
          <w:ilvl w:val="0"/>
          <w:numId w:val="10"/>
        </w:numPr>
        <w:spacing w:before="0" w:after="160" w:line="280" w:lineRule="auto"/>
      </w:pPr>
      <w:r>
        <w:rPr>
          <w:rFonts w:ascii="Calibri" w:hAnsi="Calibri" w:eastAsia="Calibri"/>
          <w:color w:val="000000"/>
          <w:sz w:val="22"/>
        </w:rPr>
        <w:t>Asset/system risk assessments</w:t>
      </w:r>
    </w:p>
    <w:p>
      <w:pPr>
        <w:keepNext w:val="0"/>
        <w:keepLines w:val="0"/>
        <w:numPr>
          <w:ilvl w:val="0"/>
          <w:numId w:val="10"/>
        </w:numPr>
        <w:spacing w:before="0" w:after="160" w:line="280" w:lineRule="auto"/>
      </w:pPr>
      <w:r>
        <w:rPr>
          <w:rFonts w:ascii="Calibri" w:hAnsi="Calibri" w:eastAsia="Calibri"/>
          <w:color w:val="000000"/>
          <w:sz w:val="22"/>
        </w:rPr>
        <w:t>Risk register</w:t>
      </w:r>
    </w:p>
    <w:p>
      <w:pPr>
        <w:keepNext w:val="0"/>
        <w:keepLines w:val="0"/>
        <w:numPr>
          <w:ilvl w:val="0"/>
          <w:numId w:val="10"/>
        </w:numPr>
        <w:spacing w:before="0" w:after="160" w:line="280" w:lineRule="auto"/>
      </w:pPr>
      <w:r>
        <w:rPr>
          <w:rFonts w:ascii="Calibri" w:hAnsi="Calibri" w:eastAsia="Calibri"/>
          <w:color w:val="000000"/>
          <w:sz w:val="22"/>
        </w:rPr>
        <w:t>Treatment plans</w:t>
      </w:r>
    </w:p>
    <w:p>
      <w:pPr>
        <w:keepNext w:val="0"/>
        <w:keepLines w:val="0"/>
        <w:numPr>
          <w:ilvl w:val="0"/>
          <w:numId w:val="10"/>
        </w:numPr>
        <w:spacing w:before="0" w:after="160" w:line="280" w:lineRule="auto"/>
      </w:pPr>
      <w:r>
        <w:rPr>
          <w:rFonts w:ascii="Calibri" w:hAnsi="Calibri" w:eastAsia="Calibri"/>
          <w:color w:val="000000"/>
          <w:sz w:val="22"/>
        </w:rPr>
        <w:t>Risk acceptance approvals</w:t>
      </w:r>
    </w:p>
    <w:p>
      <w:pPr>
        <w:keepNext w:val="0"/>
        <w:keepLines w:val="0"/>
        <w:numPr>
          <w:ilvl w:val="0"/>
          <w:numId w:val="10"/>
        </w:numPr>
        <w:spacing w:before="0" w:after="160" w:line="280" w:lineRule="auto"/>
      </w:pPr>
      <w:r>
        <w:rPr>
          <w:rFonts w:ascii="Calibri" w:hAnsi="Calibri" w:eastAsia="Calibri"/>
          <w:color w:val="000000"/>
          <w:sz w:val="22"/>
        </w:rPr>
        <w:t>Governance reports</w:t>
      </w:r>
    </w:p>
    <w:p>
      <w:pPr>
        <w:keepNext w:val="0"/>
        <w:keepLines w:val="0"/>
        <w:numPr>
          <w:ilvl w:val="0"/>
          <w:numId w:val="10"/>
        </w:numPr>
        <w:spacing w:before="0" w:after="160" w:line="280" w:lineRule="auto"/>
      </w:pPr>
      <w:r>
        <w:rPr>
          <w:rFonts w:ascii="Calibri" w:hAnsi="Calibri" w:eastAsia="Calibri"/>
          <w:color w:val="000000"/>
          <w:sz w:val="22"/>
        </w:rPr>
        <w:t>Closure validation</w:t>
      </w:r>
    </w:p>
    <w:p>
      <w:pPr>
        <w:pStyle w:val="Heading1"/>
        <w:keepNext/>
      </w:pPr>
      <w:r>
        <w:t>6. Monitoring and Review</w:t>
      </w:r>
    </w:p>
    <w:p>
      <w:pPr>
        <w:keepNext w:val="0"/>
        <w:keepLines w:val="0"/>
        <w:spacing w:before="0" w:after="120" w:line="264" w:lineRule="auto"/>
      </w:pPr>
      <w:r>
        <w:rPr>
          <w:rFonts w:ascii="Calibri" w:hAnsi="Calibri" w:eastAsia="Calibri"/>
          <w:color w:val="000000"/>
          <w:sz w:val="22"/>
        </w:rPr>
        <w:t>At minimum, the policy owner shall review the following indicators at {{implementation.defined_frequency}} and escalate material deficiencies:</w:t>
      </w:r>
    </w:p>
    <w:p>
      <w:pPr>
        <w:keepNext w:val="0"/>
        <w:keepLines w:val="0"/>
        <w:numPr>
          <w:ilvl w:val="0"/>
          <w:numId w:val="10"/>
        </w:numPr>
        <w:spacing w:before="0" w:after="160" w:line="280" w:lineRule="auto"/>
      </w:pPr>
      <w:r>
        <w:rPr>
          <w:rFonts w:ascii="Calibri" w:hAnsi="Calibri" w:eastAsia="Calibri"/>
          <w:color w:val="000000"/>
          <w:sz w:val="22"/>
        </w:rPr>
        <w:t>Assessments completed on time</w:t>
      </w:r>
    </w:p>
    <w:p>
      <w:pPr>
        <w:keepNext w:val="0"/>
        <w:keepLines w:val="0"/>
        <w:numPr>
          <w:ilvl w:val="0"/>
          <w:numId w:val="10"/>
        </w:numPr>
        <w:spacing w:before="0" w:after="160" w:line="280" w:lineRule="auto"/>
      </w:pPr>
      <w:r>
        <w:rPr>
          <w:rFonts w:ascii="Calibri" w:hAnsi="Calibri" w:eastAsia="Calibri"/>
          <w:color w:val="000000"/>
          <w:sz w:val="22"/>
        </w:rPr>
        <w:t>High risks without approved treatment</w:t>
      </w:r>
    </w:p>
    <w:p>
      <w:pPr>
        <w:keepNext w:val="0"/>
        <w:keepLines w:val="0"/>
        <w:numPr>
          <w:ilvl w:val="0"/>
          <w:numId w:val="10"/>
        </w:numPr>
        <w:spacing w:before="0" w:after="160" w:line="280" w:lineRule="auto"/>
      </w:pPr>
      <w:r>
        <w:rPr>
          <w:rFonts w:ascii="Calibri" w:hAnsi="Calibri" w:eastAsia="Calibri"/>
          <w:color w:val="000000"/>
          <w:sz w:val="22"/>
        </w:rPr>
        <w:t>Overdue treatments</w:t>
      </w:r>
    </w:p>
    <w:p>
      <w:pPr>
        <w:keepNext w:val="0"/>
        <w:keepLines w:val="0"/>
        <w:numPr>
          <w:ilvl w:val="0"/>
          <w:numId w:val="10"/>
        </w:numPr>
        <w:spacing w:before="0" w:after="160" w:line="280" w:lineRule="auto"/>
      </w:pPr>
      <w:r>
        <w:rPr>
          <w:rFonts w:ascii="Calibri" w:hAnsi="Calibri" w:eastAsia="Calibri"/>
          <w:color w:val="000000"/>
          <w:sz w:val="22"/>
        </w:rPr>
        <w:t>Risk closures independently validated</w:t>
      </w:r>
    </w:p>
    <w:p>
      <w:pPr>
        <w:keepNext w:val="0"/>
        <w:keepLines w:val="0"/>
        <w:spacing w:before="0" w:after="120" w:line="264" w:lineRule="auto"/>
      </w:pPr>
      <w:r>
        <w:rPr>
          <w:rFonts w:ascii="Calibri" w:hAnsi="Calibri" w:eastAsia="Calibri"/>
          <w:color w:val="000000"/>
          <w:sz w:val="22"/>
        </w:rPr>
        <w:t>This document shall be reviewed at least annually and after a material incident, legal or contractual change, control failure, technology change, or significant change to the system boundary or operating model.</w:t>
      </w:r>
    </w:p>
    <w:p>
      <w:pPr>
        <w:pStyle w:val="Heading1"/>
        <w:keepNext/>
      </w:pPr>
      <w:r>
        <w:t>7. Exceptions</w:t>
      </w:r>
    </w:p>
    <w:p>
      <w:pPr>
        <w:keepNext w:val="0"/>
        <w:keepLines w:val="0"/>
        <w:spacing w:before="0" w:after="120" w:line="264" w:lineRule="auto"/>
      </w:pPr>
      <w:r>
        <w:rPr>
          <w:rFonts w:ascii="Calibri" w:hAnsi="Calibri" w:eastAsia="Calibri"/>
          <w:color w:val="000000"/>
          <w:sz w:val="22"/>
        </w:rPr>
        <w:t>Exceptions require a written request identifying the affected scope, business need, risk, compensating safeguards, accountable owner, approval authority, start date, expiration date, and review cadence. Exceptions shall be tracked to expiration and do not transfer responsibility for applicable legal, contractual, or CMMC requirements.</w:t>
      </w:r>
    </w:p>
    <w:p>
      <w:pPr>
        <w:pStyle w:val="Heading1"/>
        <w:keepNext/>
      </w:pPr>
      <w:r>
        <w:t>8. Compliance and Enforcement</w:t>
      </w:r>
    </w:p>
    <w:p>
      <w:pPr>
        <w:keepNext w:val="0"/>
        <w:keepLines w:val="0"/>
        <w:spacing w:before="0" w:after="120" w:line="264" w:lineRule="auto"/>
      </w:pPr>
      <w:r>
        <w:rPr>
          <w:rFonts w:ascii="Calibri" w:hAnsi="Calibri" w:eastAsia="Calibri"/>
          <w:color w:val="000000"/>
          <w:sz w:val="22"/>
        </w:rPr>
        <w:t>Failure to comply may result in access restriction, corrective action, contract remedies, or disciplinary action consistent with law and organizational policy. Suspected violations shall be reported through {{implementation.reporting_channel}}. Compliance does not by itself establish certification; effectiveness must be demonstrated through implementation and evidence.</w:t>
      </w:r>
    </w:p>
    <w:p>
      <w:pPr>
        <w:pStyle w:val="Heading1"/>
        <w:keepNext/>
      </w:pPr>
      <w:r>
        <w:t>9. Organization Implementation Parameters</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880"/>
        <w:gridCol w:w="6480"/>
      </w:tblGrid>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In-Scope Systems / Processes</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{{scope.summary}} Boundary: {{scope.boundary}}. Included locations: {{scope.included_locations}}. Excluded locations: {{scope.excluded_locations}}. Systems: {{scope.systems}}. Data flow: {{scope.data_flow}}.</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Responsible Team</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{{implementation.responsible_team}}</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Required Procedures</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{{implementation.procedure_location}}</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Technology / Control Location</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{{implementation.control_location}}</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Evidence Repository</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{{implementation.repository}}</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Review and Test Frequency</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{{implementation.review_trigger}}</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Reporting Channel</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{{implementation.reporting_channel}}</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Records Retention</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{{implementation.retention_period}}</w:t>
            </w:r>
          </w:p>
        </w:tc>
      </w:tr>
    </w:tbl>
    <w:p>
      <w:r>
        <w:br w:type="page"/>
      </w:r>
    </w:p>
    <w:p>
      <w:pPr>
        <w:pStyle w:val="Heading1"/>
        <w:keepNext/>
      </w:pPr>
      <w:r>
        <w:t>10. Control Alignment and Tailoring</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700"/>
        <w:gridCol w:w="6660"/>
      </w:tblGrid>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Suggested control alignment</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CMMC: RA.L2-3.11.1, RA.L2-3.11.2, RA.L2-3.11.3; CA.L2-3.12.1 through CA.L2-3.12.4.</w:t>
            </w:r>
          </w:p>
        </w:tc>
      </w:tr>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Applicability decision</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Applicable unless the documented system scope and operating model support a formally approved Not Applicable determination.</w:t>
            </w:r>
          </w:p>
        </w:tc>
      </w:tr>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Tailoring requirement</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The policy owner shall define organization-selected values, map system-specific procedures and evidence, and obtain approval before publication.</w:t>
            </w:r>
          </w:p>
        </w:tc>
      </w:tr>
    </w:tbl>
    <w:p>
      <w:pPr>
        <w:pStyle w:val="Heading1"/>
        <w:keepNext/>
      </w:pPr>
      <w:r>
        <w:t>11. References</w:t>
      </w:r>
    </w:p>
    <w:p>
      <w:pPr>
        <w:keepNext w:val="0"/>
        <w:keepLines w:val="0"/>
        <w:numPr>
          <w:ilvl w:val="0"/>
          <w:numId w:val="10"/>
        </w:numPr>
        <w:spacing w:before="0" w:after="160" w:line="280" w:lineRule="auto"/>
      </w:pPr>
      <w:r>
        <w:rPr>
          <w:rFonts w:ascii="Calibri" w:hAnsi="Calibri" w:eastAsia="Calibri"/>
          <w:color w:val="000000"/>
          <w:sz w:val="22"/>
        </w:rPr>
        <w:t>NIST SP 800-30 Rev. 1, Guide for Conducting Risk Assessments: https://doi.org/10.6028/NIST.SP.800-30r1</w:t>
      </w:r>
    </w:p>
    <w:p>
      <w:pPr>
        <w:keepNext w:val="0"/>
        <w:keepLines w:val="0"/>
        <w:numPr>
          <w:ilvl w:val="0"/>
          <w:numId w:val="10"/>
        </w:numPr>
        <w:spacing w:before="0" w:after="160" w:line="280" w:lineRule="auto"/>
      </w:pPr>
      <w:r>
        <w:rPr>
          <w:rFonts w:ascii="Calibri" w:hAnsi="Calibri" w:eastAsia="Calibri"/>
          <w:color w:val="000000"/>
          <w:sz w:val="22"/>
        </w:rPr>
        <w:t>NIST SP 800-171 Rev. 2, Protecting CUI in Nonfederal Systems: https://doi.org/10.6028/NIST.SP.800-171r2</w:t>
      </w:r>
    </w:p>
    <w:p>
      <w:pPr>
        <w:keepNext w:val="0"/>
        <w:keepLines w:val="0"/>
        <w:numPr>
          <w:ilvl w:val="0"/>
          <w:numId w:val="10"/>
        </w:numPr>
        <w:spacing w:before="0" w:after="160" w:line="280" w:lineRule="auto"/>
      </w:pPr>
      <w:r>
        <w:rPr>
          <w:rFonts w:ascii="Calibri" w:hAnsi="Calibri" w:eastAsia="Calibri"/>
          <w:color w:val="000000"/>
          <w:sz w:val="22"/>
        </w:rPr>
        <w:t>NIST Cybersecurity Framework (CSF) 2.0: https://doi.org/10.6028/NIST.CSWP.29</w:t>
      </w:r>
    </w:p>
    <w:p>
      <w:pPr>
        <w:keepNext w:val="0"/>
        <w:keepLines w:val="0"/>
        <w:numPr>
          <w:ilvl w:val="0"/>
          <w:numId w:val="10"/>
        </w:numPr>
        <w:spacing w:before="0" w:after="160" w:line="280" w:lineRule="auto"/>
      </w:pPr>
      <w:r>
        <w:rPr>
          <w:rFonts w:ascii="Calibri" w:hAnsi="Calibri" w:eastAsia="Calibri"/>
          <w:color w:val="000000"/>
          <w:sz w:val="22"/>
        </w:rPr>
        <w:t>NIST SP 800-53 Rev. 5, Security and Privacy Controls: https://doi.org/10.6028/NIST.SP.800-53r5</w:t>
      </w:r>
    </w:p>
    <w:p>
      <w:pPr>
        <w:pStyle w:val="Heading1"/>
        <w:keepNext/>
      </w:pPr>
      <w:r>
        <w:t>12. Revision History</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1260"/>
        <w:gridCol w:w="1800"/>
        <w:gridCol w:w="4500"/>
        <w:gridCol w:w="1800"/>
      </w:tblGrid>
      <w:tr>
        <w:tc>
          <w:tcPr>
            <w:tcW w:type="dxa" w:w="12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Version</w:t>
            </w:r>
          </w:p>
        </w:tc>
        <w:tc>
          <w:tcPr>
            <w:tcW w:type="dxa" w:w="18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Date</w:t>
            </w:r>
          </w:p>
        </w:tc>
        <w:tc>
          <w:tcPr>
            <w:tcW w:type="dxa" w:w="45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Description</w:t>
            </w:r>
          </w:p>
        </w:tc>
        <w:tc>
          <w:tcPr>
            <w:tcW w:type="dxa" w:w="18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Author / Approver</w:t>
            </w:r>
          </w:p>
        </w:tc>
      </w:tr>
      <w:tr>
        <w:tc>
          <w:tcPr>
            <w:tcW w:type="dxa" w:w="12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{{doc.version}}</w:t>
            </w:r>
          </w:p>
        </w:tc>
        <w:tc>
          <w:tcPr>
            <w:tcW w:type="dxa" w:w="18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{{revision.date}}</w:t>
            </w:r>
          </w:p>
        </w:tc>
        <w:tc>
          <w:tcPr>
            <w:tcW w:type="dxa" w:w="45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Initial approved issue / {{revision.summary}}</w:t>
            </w:r>
          </w:p>
        </w:tc>
        <w:tc>
          <w:tcPr>
            <w:tcW w:type="dxa" w:w="18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{{revision.author}}</w:t>
            </w:r>
          </w:p>
        </w:tc>
      </w:tr>
    </w:tbl>
    <w:p>
      <w:pPr>
        <w:pStyle w:val="Heading1"/>
        <w:keepNext/>
      </w:pPr>
      <w:r>
        <w:t>13. Approval</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3960"/>
        <w:gridCol w:w="3000"/>
        <w:gridCol w:w="2400"/>
      </w:tblGrid>
      <w:tr>
        <w:tc>
          <w:tcPr>
            <w:tcW w:type="dxa" w:w="39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Name and Title</w:t>
            </w:r>
          </w:p>
        </w:tc>
        <w:tc>
          <w:tcPr>
            <w:tcW w:type="dxa" w:w="30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Signature / Approval Record</w:t>
            </w:r>
          </w:p>
        </w:tc>
        <w:tc>
          <w:tcPr>
            <w:tcW w:type="dxa" w:w="24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Date</w:t>
            </w:r>
          </w:p>
        </w:tc>
      </w:tr>
      <w:tr>
        <w:tc>
          <w:tcPr>
            <w:tcW w:type="dxa" w:w="39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{{doc.approver_name}}</w:t>
            </w:r>
          </w:p>
        </w:tc>
        <w:tc>
          <w:tcPr>
            <w:tcW w:type="dxa" w:w="30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{{approval.record_id}}</w:t>
            </w:r>
          </w:p>
        </w:tc>
        <w:tc>
          <w:tcPr>
            <w:tcW w:type="dxa" w:w="24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{{approval.date}}</w:t>
            </w:r>
          </w:p>
        </w:tc>
      </w:tr>
    </w:tbl>
    <w:p>
      <w:pPr>
        <w:pStyle w:val="Heading1"/>
        <w:keepNext/>
      </w:pPr>
      <w:r>
        <w:t>14. Publication Checklist</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9360"/>
      </w:tblGrid>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All organization-selected values have been completed and verified.</w:t>
            </w:r>
          </w:p>
        </w:tc>
      </w:tr>
      <w:tr>
        <w:tc>
          <w:tcPr>
            <w:tcW w:type="dxa" w:w="93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  The owner, approver, effective date, review date, classification, and version are correct.</w:t>
            </w:r>
          </w:p>
        </w:tc>
      </w:tr>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Scope and any Not Applicable decision match the current SSP and assessment boundary.</w:t>
            </w:r>
          </w:p>
        </w:tc>
      </w:tr>
      <w:tr>
        <w:tc>
          <w:tcPr>
            <w:tcW w:type="dxa" w:w="93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  Required procedures, configurations, operational tests, and evidence locations have been validated.</w:t>
            </w:r>
          </w:p>
        </w:tc>
      </w:tr>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Approval is recorded and the controlled version is ready for publication and workforce communication.</w:t>
            </w:r>
          </w:p>
        </w:tc>
      </w:tr>
    </w:tbl>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spacing w:before="0" w:after="0" w:line="240" w:lineRule="auto"/>
      <w:jc w:val="center"/>
    </w:pPr>
    <w:r>
      <w:rPr>
        <w:rFonts w:ascii="Calibri" w:hAnsi="Calibri" w:eastAsia="Calibri"/>
        <w:color w:val="59636E"/>
        <w:sz w:val="17"/>
      </w:rPr>
      <w:t xml:space="preserve">{{org.legal_name}}  |  {{doc.document_id}}  |  Version {{doc.version}}  |  Page 1 of 1</w:t>
    </w:r>
    <w:r>
      <w:rPr>
        <w:rFonts w:ascii="Calibri" w:hAnsi="Calibri" w:eastAsia="Calibri"/>
        <w:color w:val="59636E"/>
        <w:sz w:val="17"/>
      </w:rPr>
      <w:fldChar w:fldCharType="begin"/>
      <w:instrText xml:space="preserve"> PAGE </w:instrText>
      <w:fldChar w:fldCharType="separate"/>
      <w:t xml:space="preserve"/>
      <w:fldChar w:fldCharType="end"/>
    </w:r>
    <w:r>
      <w:rPr>
        <w:rFonts w:ascii="Calibri" w:hAnsi="Calibri" w:eastAsia="Calibri"/>
        <w:color w:val="59636E"/>
        <w:sz w:val="17"/>
      </w:rPr>
      <w:t xml:space="preserve"/>
    </w:r>
    <w:r>
      <w:rPr>
        <w:rFonts w:ascii="Calibri" w:hAnsi="Calibri" w:eastAsia="Calibri"/>
        <w:color w:val="59636E"/>
        <w:sz w:val="17"/>
      </w:rPr>
      <w:fldChar w:fldCharType="begin"/>
      <w:instrText xml:space="preserve"> NUMPAGES </w:instrText>
      <w:fldChar w:fldCharType="separate"/>
      <w:t xml:space="preserv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spacing w:before="0" w:after="0" w:line="240" w:lineRule="auto"/>
      <w:jc w:val="left"/>
    </w:pPr>
    <w:r>
      <w:rPr>
        <w:rFonts w:ascii="Calibri" w:hAnsi="Calibri" w:eastAsia="Calibri"/>
        <w:b/>
        <w:color w:val="59636E"/>
        <w:sz w:val="17"/>
      </w:rPr>
      <w:t>{{org.legal_name}}  |  Policy  |  {{doc.document_id}}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Cybersecurity Risk Assessment Policy</dc:title>
  <dc:subject> cybersecurity policy template</dc:subject>
  <dc:creator/>
  <cp:keywords> policy template</cp:keywords>
  <dc:description>generated by python-docx</dc:description>
  <cp:lastModifiedBy/>
  <cp:revision>1</cp:revision>
  <dcterms:created xsi:type="dcterms:W3CDTF">2013-12-23T23:15:00Z</dcterms:created>
  <dcterms:modified xsi:type="dcterms:W3CDTF">2013-12-23T23:15:00Z</dcterms:modified>
  <cp:category/>
</cp:coreProperties>
</file>