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STANDARD</w:t>
      </w:r>
    </w:p>
    <w:p>
      <w:pPr>
        <w:keepNext/>
        <w:keepLines w:val="0"/>
        <w:spacing w:before="0" w:after="100" w:line="240" w:lineRule="auto"/>
      </w:pPr>
      <w:r>
        <w:rPr>
          <w:rFonts w:ascii="Calibri" w:hAnsi="Calibri" w:eastAsia="Calibri"/>
          <w:b/>
          <w:color w:val="0B2545"/>
          <w:sz w:val="46"/>
        </w:rPr>
        <w:t>Router, Switch, and Network Infrastructure Security Standard</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Define minimum configuration and management requirements for routers, switches, firewalls, controllers, and related network infrastructure.</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physical, virtual, cloud, branch, campus, data-center, lab, and managed-service network infrastructure operated for {{org.legal_name}}.</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Devices shall be inventoried, supported, assigned an owner, synchronized to approved time sources, and configured from an approved hardened baseline.</w:t>
      </w:r>
    </w:p>
    <w:p>
      <w:pPr>
        <w:keepNext w:val="0"/>
        <w:keepLines w:val="0"/>
        <w:numPr>
          <w:ilvl w:val="0"/>
          <w:numId w:val="10"/>
        </w:numPr>
        <w:spacing w:before="0" w:after="160" w:line="280" w:lineRule="auto"/>
      </w:pPr>
      <w:r>
        <w:rPr>
          <w:rFonts w:ascii="Calibri" w:hAnsi="Calibri" w:eastAsia="Calibri"/>
          <w:color w:val="000000"/>
          <w:sz w:val="22"/>
        </w:rPr>
        <w:t>Management shall use encrypted protocols, named administrative identities, multifactor authentication where supported, restricted management networks, and centralized authorization.</w:t>
      </w:r>
    </w:p>
    <w:p>
      <w:pPr>
        <w:keepNext w:val="0"/>
        <w:keepLines w:val="0"/>
        <w:numPr>
          <w:ilvl w:val="0"/>
          <w:numId w:val="10"/>
        </w:numPr>
        <w:spacing w:before="0" w:after="160" w:line="280" w:lineRule="auto"/>
      </w:pPr>
      <w:r>
        <w:rPr>
          <w:rFonts w:ascii="Calibri" w:hAnsi="Calibri" w:eastAsia="Calibri"/>
          <w:color w:val="000000"/>
          <w:sz w:val="22"/>
        </w:rPr>
        <w:t>Default credentials, unnecessary services, unused interfaces, insecure discovery or management protocols, and legacy cryptography shall be disabled.</w:t>
      </w:r>
    </w:p>
    <w:p>
      <w:pPr>
        <w:keepNext w:val="0"/>
        <w:keepLines w:val="0"/>
        <w:numPr>
          <w:ilvl w:val="0"/>
          <w:numId w:val="10"/>
        </w:numPr>
        <w:spacing w:before="0" w:after="160" w:line="280" w:lineRule="auto"/>
      </w:pPr>
      <w:r>
        <w:rPr>
          <w:rFonts w:ascii="Calibri" w:hAnsi="Calibri" w:eastAsia="Calibri"/>
          <w:color w:val="000000"/>
          <w:sz w:val="22"/>
        </w:rPr>
        <w:t>Routing, switching, VLAN, access-control, and boundary configurations shall follow default-deny and least-functionality principles and shall be change-controlled.</w:t>
      </w:r>
    </w:p>
    <w:p>
      <w:pPr>
        <w:keepNext w:val="0"/>
        <w:keepLines w:val="0"/>
        <w:numPr>
          <w:ilvl w:val="0"/>
          <w:numId w:val="10"/>
        </w:numPr>
        <w:spacing w:before="0" w:after="160" w:line="280" w:lineRule="auto"/>
      </w:pPr>
      <w:r>
        <w:rPr>
          <w:rFonts w:ascii="Calibri" w:hAnsi="Calibri" w:eastAsia="Calibri"/>
          <w:color w:val="000000"/>
          <w:sz w:val="22"/>
        </w:rPr>
        <w:t>Configuration backups shall be encrypted or access-controlled, monitored, tested for restoration, and protected from simultaneous compromise with production devices.</w:t>
      </w:r>
    </w:p>
    <w:p>
      <w:pPr>
        <w:keepNext w:val="0"/>
        <w:keepLines w:val="0"/>
        <w:numPr>
          <w:ilvl w:val="0"/>
          <w:numId w:val="10"/>
        </w:numPr>
        <w:spacing w:before="0" w:after="160" w:line="280" w:lineRule="auto"/>
      </w:pPr>
      <w:r>
        <w:rPr>
          <w:rFonts w:ascii="Calibri" w:hAnsi="Calibri" w:eastAsia="Calibri"/>
          <w:color w:val="000000"/>
          <w:sz w:val="22"/>
        </w:rPr>
        <w:t>Security logs, configuration changes, authentication, and availability events shall be sent to approved monitoring and protected from alteration.</w:t>
      </w:r>
    </w:p>
    <w:p>
      <w:pPr>
        <w:keepNext w:val="0"/>
        <w:keepLines w:val="0"/>
        <w:numPr>
          <w:ilvl w:val="0"/>
          <w:numId w:val="10"/>
        </w:numPr>
        <w:spacing w:before="0" w:after="160" w:line="280" w:lineRule="auto"/>
      </w:pPr>
      <w:r>
        <w:rPr>
          <w:rFonts w:ascii="Calibri" w:hAnsi="Calibri" w:eastAsia="Calibri"/>
          <w:color w:val="000000"/>
          <w:sz w:val="22"/>
        </w:rPr>
        <w:t>Vulnerabilities and vendor advisories shall be tracked and remediated by risk-defined deadlines; unsupported devices require isolation, exception, and replacement plan.</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Network asset inventory</w:t>
      </w:r>
    </w:p>
    <w:p>
      <w:pPr>
        <w:keepNext w:val="0"/>
        <w:keepLines w:val="0"/>
        <w:numPr>
          <w:ilvl w:val="0"/>
          <w:numId w:val="10"/>
        </w:numPr>
        <w:spacing w:before="0" w:after="160" w:line="280" w:lineRule="auto"/>
      </w:pPr>
      <w:r>
        <w:rPr>
          <w:rFonts w:ascii="Calibri" w:hAnsi="Calibri" w:eastAsia="Calibri"/>
          <w:color w:val="000000"/>
          <w:sz w:val="22"/>
        </w:rPr>
        <w:t>Approved baseline and configuration audit</w:t>
      </w:r>
    </w:p>
    <w:p>
      <w:pPr>
        <w:keepNext w:val="0"/>
        <w:keepLines w:val="0"/>
        <w:numPr>
          <w:ilvl w:val="0"/>
          <w:numId w:val="10"/>
        </w:numPr>
        <w:spacing w:before="0" w:after="160" w:line="280" w:lineRule="auto"/>
      </w:pPr>
      <w:r>
        <w:rPr>
          <w:rFonts w:ascii="Calibri" w:hAnsi="Calibri" w:eastAsia="Calibri"/>
          <w:color w:val="000000"/>
          <w:sz w:val="22"/>
        </w:rPr>
        <w:t>Administrative access review</w:t>
      </w:r>
    </w:p>
    <w:p>
      <w:pPr>
        <w:keepNext w:val="0"/>
        <w:keepLines w:val="0"/>
        <w:numPr>
          <w:ilvl w:val="0"/>
          <w:numId w:val="10"/>
        </w:numPr>
        <w:spacing w:before="0" w:after="160" w:line="280" w:lineRule="auto"/>
      </w:pPr>
      <w:r>
        <w:rPr>
          <w:rFonts w:ascii="Calibri" w:hAnsi="Calibri" w:eastAsia="Calibri"/>
          <w:color w:val="000000"/>
          <w:sz w:val="22"/>
        </w:rPr>
        <w:t>Network diagram and rule set</w:t>
      </w:r>
    </w:p>
    <w:p>
      <w:pPr>
        <w:keepNext w:val="0"/>
        <w:keepLines w:val="0"/>
        <w:numPr>
          <w:ilvl w:val="0"/>
          <w:numId w:val="10"/>
        </w:numPr>
        <w:spacing w:before="0" w:after="160" w:line="280" w:lineRule="auto"/>
      </w:pPr>
      <w:r>
        <w:rPr>
          <w:rFonts w:ascii="Calibri" w:hAnsi="Calibri" w:eastAsia="Calibri"/>
          <w:color w:val="000000"/>
          <w:sz w:val="22"/>
        </w:rPr>
        <w:t>Configuration backup/restore test</w:t>
      </w:r>
    </w:p>
    <w:p>
      <w:pPr>
        <w:keepNext w:val="0"/>
        <w:keepLines w:val="0"/>
        <w:numPr>
          <w:ilvl w:val="0"/>
          <w:numId w:val="10"/>
        </w:numPr>
        <w:spacing w:before="0" w:after="160" w:line="280" w:lineRule="auto"/>
      </w:pPr>
      <w:r>
        <w:rPr>
          <w:rFonts w:ascii="Calibri" w:hAnsi="Calibri" w:eastAsia="Calibri"/>
          <w:color w:val="000000"/>
          <w:sz w:val="22"/>
        </w:rPr>
        <w:t>Patch and advisory report</w:t>
      </w:r>
    </w:p>
    <w:p>
      <w:pPr>
        <w:keepNext w:val="0"/>
        <w:keepLines w:val="0"/>
        <w:numPr>
          <w:ilvl w:val="0"/>
          <w:numId w:val="10"/>
        </w:numPr>
        <w:spacing w:before="0" w:after="160" w:line="280" w:lineRule="auto"/>
      </w:pPr>
      <w:r>
        <w:rPr>
          <w:rFonts w:ascii="Calibri" w:hAnsi="Calibri" w:eastAsia="Calibri"/>
          <w:color w:val="000000"/>
          <w:sz w:val="22"/>
        </w:rPr>
        <w:t>Change records</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Infrastructure compliant with baseline</w:t>
      </w:r>
    </w:p>
    <w:p>
      <w:pPr>
        <w:keepNext w:val="0"/>
        <w:keepLines w:val="0"/>
        <w:numPr>
          <w:ilvl w:val="0"/>
          <w:numId w:val="10"/>
        </w:numPr>
        <w:spacing w:before="0" w:after="160" w:line="280" w:lineRule="auto"/>
      </w:pPr>
      <w:r>
        <w:rPr>
          <w:rFonts w:ascii="Calibri" w:hAnsi="Calibri" w:eastAsia="Calibri"/>
          <w:color w:val="000000"/>
          <w:sz w:val="22"/>
        </w:rPr>
        <w:t>Configuration backups current</w:t>
      </w:r>
    </w:p>
    <w:p>
      <w:pPr>
        <w:keepNext w:val="0"/>
        <w:keepLines w:val="0"/>
        <w:numPr>
          <w:ilvl w:val="0"/>
          <w:numId w:val="10"/>
        </w:numPr>
        <w:spacing w:before="0" w:after="160" w:line="280" w:lineRule="auto"/>
      </w:pPr>
      <w:r>
        <w:rPr>
          <w:rFonts w:ascii="Calibri" w:hAnsi="Calibri" w:eastAsia="Calibri"/>
          <w:color w:val="000000"/>
          <w:sz w:val="22"/>
        </w:rPr>
        <w:t>Critical advisories past due</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CM.L2-3.4.1 through CM.L2-3.4.9; AC.L2-3.1.5; SC.L2-3.13.1 and SC.L2-3.13.5.</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800-41 Rev. 1, Guidelines on Firewalls and Firewall Policy: https://doi.org/10.6028/NIST.SP.800-41r1</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Standard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Router, Switch, and Network Infrastructure Security Standard</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