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PLAN</w:t>
      </w:r>
    </w:p>
    <w:p>
      <w:pPr>
        <w:keepNext/>
        <w:keepLines w:val="0"/>
        <w:spacing w:before="0" w:after="100" w:line="240" w:lineRule="auto"/>
      </w:pPr>
      <w:r>
        <w:rPr>
          <w:rFonts w:ascii="Calibri" w:hAnsi="Calibri" w:eastAsia="Calibri"/>
          <w:b/>
          <w:color w:val="0B2545"/>
          <w:sz w:val="46"/>
        </w:rPr>
        <w:t>Cybersecurity Incident Response Plan</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Define the organization-wide process for preparing for, detecting, analyzing, containing, eradicating, recovering from, and learning from cybersecurity incidents.</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suspected or confirmed events affecting organizational systems, information, operations, personnel, suppliers, clients, or regulated environments.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All personnel shall report suspected incidents immediately through the designated 24x7-capable channel and shall not destroy or alter potential evidence.</w:t>
      </w:r>
    </w:p>
    <w:p>
      <w:pPr>
        <w:keepNext w:val="0"/>
        <w:keepLines w:val="0"/>
        <w:numPr>
          <w:ilvl w:val="0"/>
          <w:numId w:val="10"/>
        </w:numPr>
        <w:spacing w:before="0" w:after="160" w:line="280" w:lineRule="auto"/>
      </w:pPr>
      <w:r>
        <w:rPr>
          <w:rFonts w:ascii="Calibri" w:hAnsi="Calibri" w:eastAsia="Calibri"/>
          <w:color w:val="000000"/>
          <w:sz w:val="22"/>
        </w:rPr>
        <w:t>The response program shall maintain severity criteria, roles, contact methods, escalation paths, playbooks, evidence procedures, communications controls, and external reporting requirements.</w:t>
      </w:r>
    </w:p>
    <w:p>
      <w:pPr>
        <w:keepNext w:val="0"/>
        <w:keepLines w:val="0"/>
        <w:numPr>
          <w:ilvl w:val="0"/>
          <w:numId w:val="10"/>
        </w:numPr>
        <w:spacing w:before="0" w:after="160" w:line="280" w:lineRule="auto"/>
      </w:pPr>
      <w:r>
        <w:rPr>
          <w:rFonts w:ascii="Calibri" w:hAnsi="Calibri" w:eastAsia="Calibri"/>
          <w:color w:val="000000"/>
          <w:sz w:val="22"/>
        </w:rPr>
        <w:t>Responders shall create a case record, preserve relevant evidence, establish a timeline, document hypotheses and confidence, and record decisions and approvals.</w:t>
      </w:r>
    </w:p>
    <w:p>
      <w:pPr>
        <w:keepNext w:val="0"/>
        <w:keepLines w:val="0"/>
        <w:numPr>
          <w:ilvl w:val="0"/>
          <w:numId w:val="10"/>
        </w:numPr>
        <w:spacing w:before="0" w:after="160" w:line="280" w:lineRule="auto"/>
      </w:pPr>
      <w:r>
        <w:rPr>
          <w:rFonts w:ascii="Calibri" w:hAnsi="Calibri" w:eastAsia="Calibri"/>
          <w:color w:val="000000"/>
          <w:sz w:val="22"/>
        </w:rPr>
        <w:t>Containment shall balance business impact with prevention of further harm; emergency actions shall be documented and reviewed.</w:t>
      </w:r>
    </w:p>
    <w:p>
      <w:pPr>
        <w:keepNext w:val="0"/>
        <w:keepLines w:val="0"/>
        <w:numPr>
          <w:ilvl w:val="0"/>
          <w:numId w:val="10"/>
        </w:numPr>
        <w:spacing w:before="0" w:after="160" w:line="280" w:lineRule="auto"/>
      </w:pPr>
      <w:r>
        <w:rPr>
          <w:rFonts w:ascii="Calibri" w:hAnsi="Calibri" w:eastAsia="Calibri"/>
          <w:color w:val="000000"/>
          <w:sz w:val="22"/>
        </w:rPr>
        <w:t>Recovery shall use trusted sources, address root cause, rotate affected credentials or keys, validate security and business function, and obtain return-to-service approval.</w:t>
      </w:r>
    </w:p>
    <w:p>
      <w:pPr>
        <w:keepNext w:val="0"/>
        <w:keepLines w:val="0"/>
        <w:numPr>
          <w:ilvl w:val="0"/>
          <w:numId w:val="10"/>
        </w:numPr>
        <w:spacing w:before="0" w:after="160" w:line="280" w:lineRule="auto"/>
      </w:pPr>
      <w:r>
        <w:rPr>
          <w:rFonts w:ascii="Calibri" w:hAnsi="Calibri" w:eastAsia="Calibri"/>
          <w:color w:val="000000"/>
          <w:sz w:val="22"/>
        </w:rPr>
        <w:t>Contractual and CMMC incident reporting obligations shall be evaluated promptly by authorized Legal, Compliance, or program personnel.</w:t>
      </w:r>
    </w:p>
    <w:p>
      <w:pPr>
        <w:keepNext w:val="0"/>
        <w:keepLines w:val="0"/>
        <w:numPr>
          <w:ilvl w:val="0"/>
          <w:numId w:val="10"/>
        </w:numPr>
        <w:spacing w:before="0" w:after="160" w:line="280" w:lineRule="auto"/>
      </w:pPr>
      <w:r>
        <w:rPr>
          <w:rFonts w:ascii="Calibri" w:hAnsi="Calibri" w:eastAsia="Calibri"/>
          <w:color w:val="000000"/>
          <w:sz w:val="22"/>
        </w:rPr>
        <w:t>Exercises and after-action reviews shall produce assigned corrective actions, tracked to validated closure.</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Incident Commander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Set objectives, severity, resources, cadence, and executive decisions.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Operations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Detect, analyze, contain, eradicate, preserve evidence, and monitor recovery.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IT/Service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Execute technical changes and validate service restoration.</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Legal/Compliance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Assess privilege, law, contract, insurer, customer, and regulator duties.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Communications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Control approved internal and external messages.</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Incident response plan and contact roster</w:t>
      </w:r>
    </w:p>
    <w:p>
      <w:pPr>
        <w:keepNext w:val="0"/>
        <w:keepLines w:val="0"/>
        <w:numPr>
          <w:ilvl w:val="0"/>
          <w:numId w:val="10"/>
        </w:numPr>
        <w:spacing w:before="0" w:after="160" w:line="280" w:lineRule="auto"/>
      </w:pPr>
      <w:r>
        <w:rPr>
          <w:rFonts w:ascii="Calibri" w:hAnsi="Calibri" w:eastAsia="Calibri"/>
          <w:color w:val="000000"/>
          <w:sz w:val="22"/>
        </w:rPr>
        <w:t>Incident tickets and timelines</w:t>
      </w:r>
    </w:p>
    <w:p>
      <w:pPr>
        <w:keepNext w:val="0"/>
        <w:keepLines w:val="0"/>
        <w:numPr>
          <w:ilvl w:val="0"/>
          <w:numId w:val="10"/>
        </w:numPr>
        <w:spacing w:before="0" w:after="160" w:line="280" w:lineRule="auto"/>
      </w:pPr>
      <w:r>
        <w:rPr>
          <w:rFonts w:ascii="Calibri" w:hAnsi="Calibri" w:eastAsia="Calibri"/>
          <w:color w:val="000000"/>
          <w:sz w:val="22"/>
        </w:rPr>
        <w:t>Evidence and chain-of-custody records</w:t>
      </w:r>
    </w:p>
    <w:p>
      <w:pPr>
        <w:keepNext w:val="0"/>
        <w:keepLines w:val="0"/>
        <w:numPr>
          <w:ilvl w:val="0"/>
          <w:numId w:val="10"/>
        </w:numPr>
        <w:spacing w:before="0" w:after="160" w:line="280" w:lineRule="auto"/>
      </w:pPr>
      <w:r>
        <w:rPr>
          <w:rFonts w:ascii="Calibri" w:hAnsi="Calibri" w:eastAsia="Calibri"/>
          <w:color w:val="000000"/>
          <w:sz w:val="22"/>
        </w:rPr>
        <w:t>External reporting analysis/submissions</w:t>
      </w:r>
    </w:p>
    <w:p>
      <w:pPr>
        <w:keepNext w:val="0"/>
        <w:keepLines w:val="0"/>
        <w:numPr>
          <w:ilvl w:val="0"/>
          <w:numId w:val="10"/>
        </w:numPr>
        <w:spacing w:before="0" w:after="160" w:line="280" w:lineRule="auto"/>
      </w:pPr>
      <w:r>
        <w:rPr>
          <w:rFonts w:ascii="Calibri" w:hAnsi="Calibri" w:eastAsia="Calibri"/>
          <w:color w:val="000000"/>
          <w:sz w:val="22"/>
        </w:rPr>
        <w:t>Recovery validation</w:t>
      </w:r>
    </w:p>
    <w:p>
      <w:pPr>
        <w:keepNext w:val="0"/>
        <w:keepLines w:val="0"/>
        <w:numPr>
          <w:ilvl w:val="0"/>
          <w:numId w:val="10"/>
        </w:numPr>
        <w:spacing w:before="0" w:after="160" w:line="280" w:lineRule="auto"/>
      </w:pPr>
      <w:r>
        <w:rPr>
          <w:rFonts w:ascii="Calibri" w:hAnsi="Calibri" w:eastAsia="Calibri"/>
          <w:color w:val="000000"/>
          <w:sz w:val="22"/>
        </w:rPr>
        <w:t>Exercise and after-action reports</w:t>
      </w:r>
    </w:p>
    <w:p>
      <w:pPr>
        <w:keepNext w:val="0"/>
        <w:keepLines w:val="0"/>
        <w:numPr>
          <w:ilvl w:val="0"/>
          <w:numId w:val="10"/>
        </w:numPr>
        <w:spacing w:before="0" w:after="160" w:line="280" w:lineRule="auto"/>
      </w:pPr>
      <w:r>
        <w:rPr>
          <w:rFonts w:ascii="Calibri" w:hAnsi="Calibri" w:eastAsia="Calibri"/>
          <w:color w:val="000000"/>
          <w:sz w:val="22"/>
        </w:rPr>
        <w:t>Corrective actions</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Mean time to acknowledge and contain</w:t>
      </w:r>
    </w:p>
    <w:p>
      <w:pPr>
        <w:keepNext w:val="0"/>
        <w:keepLines w:val="0"/>
        <w:numPr>
          <w:ilvl w:val="0"/>
          <w:numId w:val="10"/>
        </w:numPr>
        <w:spacing w:before="0" w:after="160" w:line="280" w:lineRule="auto"/>
      </w:pPr>
      <w:r>
        <w:rPr>
          <w:rFonts w:ascii="Calibri" w:hAnsi="Calibri" w:eastAsia="Calibri"/>
          <w:color w:val="000000"/>
          <w:sz w:val="22"/>
        </w:rPr>
        <w:t>Incidents reported within obligation</w:t>
      </w:r>
    </w:p>
    <w:p>
      <w:pPr>
        <w:keepNext w:val="0"/>
        <w:keepLines w:val="0"/>
        <w:numPr>
          <w:ilvl w:val="0"/>
          <w:numId w:val="10"/>
        </w:numPr>
        <w:spacing w:before="0" w:after="160" w:line="280" w:lineRule="auto"/>
      </w:pPr>
      <w:r>
        <w:rPr>
          <w:rFonts w:ascii="Calibri" w:hAnsi="Calibri" w:eastAsia="Calibri"/>
          <w:color w:val="000000"/>
          <w:sz w:val="22"/>
        </w:rPr>
        <w:t>Exercises completed</w:t>
      </w:r>
    </w:p>
    <w:p>
      <w:pPr>
        <w:keepNext w:val="0"/>
        <w:keepLines w:val="0"/>
        <w:numPr>
          <w:ilvl w:val="0"/>
          <w:numId w:val="10"/>
        </w:numPr>
        <w:spacing w:before="0" w:after="160" w:line="280" w:lineRule="auto"/>
      </w:pPr>
      <w:r>
        <w:rPr>
          <w:rFonts w:ascii="Calibri" w:hAnsi="Calibri" w:eastAsia="Calibri"/>
          <w:color w:val="000000"/>
          <w:sz w:val="22"/>
        </w:rPr>
        <w:t>Corrective actions closed on time</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IR.L2-3.6.1, IR.L2-3.6.2, IR.L2-3.6.3; DFARS reporting may apply contractually.</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800-61 Rev. 3, Incident Response Recommendations: https://doi.org/10.6028/NIST.SP.800-61r3</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32 CFR Part 170, Cybersecurity Maturity Model Certification Program: https://www.ecfr.gov/current/title-32/subtitle-A/chapter-I/subchapter-G/part-170</w:t>
      </w:r>
    </w:p>
    <w:p>
      <w:pPr>
        <w:keepNext w:val="0"/>
        <w:keepLines w:val="0"/>
        <w:numPr>
          <w:ilvl w:val="0"/>
          <w:numId w:val="10"/>
        </w:numPr>
        <w:spacing w:before="0" w:after="160" w:line="280" w:lineRule="auto"/>
      </w:pPr>
      <w:r>
        <w:rPr>
          <w:rFonts w:ascii="Calibri" w:hAnsi="Calibri" w:eastAsia="Calibri"/>
          <w:color w:val="000000"/>
          <w:sz w:val="22"/>
        </w:rPr>
        <w:t>NIST Cybersecurity Framework (CSF) 2.0: https://doi.org/10.6028/NIST.CSWP.29</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Plan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Incident Response Plan</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