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Server Logging and Audit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audit-event generation, collection, protection, review, correlation, and retention requirements for servers and server-hosted services.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physical and virtual servers, cloud compute, containers, directory services, databases, applications, infrastructure services, and administrative platforms.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System owners shall define required events based on risk, including authentication, privilege use, account and policy changes, process/service changes, security events, data access where appropriate, and audit-system changes.</w:t>
      </w:r>
    </w:p>
    <w:p>
      <w:pPr>
        <w:keepNext w:val="0"/>
        <w:keepLines w:val="0"/>
        <w:numPr>
          <w:ilvl w:val="0"/>
          <w:numId w:val="10"/>
        </w:numPr>
        <w:spacing w:before="0" w:after="160" w:line="280" w:lineRule="auto"/>
      </w:pPr>
      <w:r>
        <w:rPr>
          <w:rFonts w:ascii="Calibri" w:hAnsi="Calibri" w:eastAsia="Calibri"/>
          <w:color w:val="000000"/>
          <w:sz w:val="22"/>
        </w:rPr>
        <w:t>Records shall include synchronized time, attributable identity, device or service, event type, action, result, and relevant source/destination context.</w:t>
      </w:r>
    </w:p>
    <w:p>
      <w:pPr>
        <w:keepNext w:val="0"/>
        <w:keepLines w:val="0"/>
        <w:numPr>
          <w:ilvl w:val="0"/>
          <w:numId w:val="10"/>
        </w:numPr>
        <w:spacing w:before="0" w:after="160" w:line="280" w:lineRule="auto"/>
      </w:pPr>
      <w:r>
        <w:rPr>
          <w:rFonts w:ascii="Calibri" w:hAnsi="Calibri" w:eastAsia="Calibri"/>
          <w:color w:val="000000"/>
          <w:sz w:val="22"/>
        </w:rPr>
        <w:t>Logs shall be forwarded to approved centralized storage or monitoring where feasible and protected from unauthorized access, modification, deletion, and capacity exhaustion.</w:t>
      </w:r>
    </w:p>
    <w:p>
      <w:pPr>
        <w:keepNext w:val="0"/>
        <w:keepLines w:val="0"/>
        <w:numPr>
          <w:ilvl w:val="0"/>
          <w:numId w:val="10"/>
        </w:numPr>
        <w:spacing w:before="0" w:after="160" w:line="280" w:lineRule="auto"/>
      </w:pPr>
      <w:r>
        <w:rPr>
          <w:rFonts w:ascii="Calibri" w:hAnsi="Calibri" w:eastAsia="Calibri"/>
          <w:color w:val="000000"/>
          <w:sz w:val="22"/>
        </w:rPr>
        <w:t>Retention periods shall satisfy investigation, legal, contractual, CMMC, and operational needs and shall be documented by log source.</w:t>
      </w:r>
    </w:p>
    <w:p>
      <w:pPr>
        <w:keepNext w:val="0"/>
        <w:keepLines w:val="0"/>
        <w:numPr>
          <w:ilvl w:val="0"/>
          <w:numId w:val="10"/>
        </w:numPr>
        <w:spacing w:before="0" w:after="160" w:line="280" w:lineRule="auto"/>
      </w:pPr>
      <w:r>
        <w:rPr>
          <w:rFonts w:ascii="Calibri" w:hAnsi="Calibri" w:eastAsia="Calibri"/>
          <w:color w:val="000000"/>
          <w:sz w:val="22"/>
        </w:rPr>
        <w:t>Monitoring shall alert on high-risk events, logging failures, time drift, unexpected volume changes, and gaps in expected sources.</w:t>
      </w:r>
    </w:p>
    <w:p>
      <w:pPr>
        <w:keepNext w:val="0"/>
        <w:keepLines w:val="0"/>
        <w:numPr>
          <w:ilvl w:val="0"/>
          <w:numId w:val="10"/>
        </w:numPr>
        <w:spacing w:before="0" w:after="160" w:line="280" w:lineRule="auto"/>
      </w:pPr>
      <w:r>
        <w:rPr>
          <w:rFonts w:ascii="Calibri" w:hAnsi="Calibri" w:eastAsia="Calibri"/>
          <w:color w:val="000000"/>
          <w:sz w:val="22"/>
        </w:rPr>
        <w:t>Authorized personnel shall review alerts and designated audit reports at the defined frequency and document investigation and disposition.</w:t>
      </w:r>
    </w:p>
    <w:p>
      <w:pPr>
        <w:keepNext w:val="0"/>
        <w:keepLines w:val="0"/>
        <w:numPr>
          <w:ilvl w:val="0"/>
          <w:numId w:val="10"/>
        </w:numPr>
        <w:spacing w:before="0" w:after="160" w:line="280" w:lineRule="auto"/>
      </w:pPr>
      <w:r>
        <w:rPr>
          <w:rFonts w:ascii="Calibri" w:hAnsi="Calibri" w:eastAsia="Calibri"/>
          <w:color w:val="000000"/>
          <w:sz w:val="22"/>
        </w:rPr>
        <w:t>Logging shall be tested through generated events and end-to-end validation after onboarding and material change.</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Audit-event standard</w:t>
      </w:r>
    </w:p>
    <w:p>
      <w:pPr>
        <w:keepNext w:val="0"/>
        <w:keepLines w:val="0"/>
        <w:numPr>
          <w:ilvl w:val="0"/>
          <w:numId w:val="10"/>
        </w:numPr>
        <w:spacing w:before="0" w:after="160" w:line="280" w:lineRule="auto"/>
      </w:pPr>
      <w:r>
        <w:rPr>
          <w:rFonts w:ascii="Calibri" w:hAnsi="Calibri" w:eastAsia="Calibri"/>
          <w:color w:val="000000"/>
          <w:sz w:val="22"/>
        </w:rPr>
        <w:t>Log-source inventory</w:t>
      </w:r>
    </w:p>
    <w:p>
      <w:pPr>
        <w:keepNext w:val="0"/>
        <w:keepLines w:val="0"/>
        <w:numPr>
          <w:ilvl w:val="0"/>
          <w:numId w:val="10"/>
        </w:numPr>
        <w:spacing w:before="0" w:after="160" w:line="280" w:lineRule="auto"/>
      </w:pPr>
      <w:r>
        <w:rPr>
          <w:rFonts w:ascii="Calibri" w:hAnsi="Calibri" w:eastAsia="Calibri"/>
          <w:color w:val="000000"/>
          <w:sz w:val="22"/>
        </w:rPr>
        <w:t>Server audit configuration</w:t>
      </w:r>
    </w:p>
    <w:p>
      <w:pPr>
        <w:keepNext w:val="0"/>
        <w:keepLines w:val="0"/>
        <w:numPr>
          <w:ilvl w:val="0"/>
          <w:numId w:val="10"/>
        </w:numPr>
        <w:spacing w:before="0" w:after="160" w:line="280" w:lineRule="auto"/>
      </w:pPr>
      <w:r>
        <w:rPr>
          <w:rFonts w:ascii="Calibri" w:hAnsi="Calibri" w:eastAsia="Calibri"/>
          <w:color w:val="000000"/>
          <w:sz w:val="22"/>
        </w:rPr>
        <w:t>Central collection/retention evidence</w:t>
      </w:r>
    </w:p>
    <w:p>
      <w:pPr>
        <w:keepNext w:val="0"/>
        <w:keepLines w:val="0"/>
        <w:numPr>
          <w:ilvl w:val="0"/>
          <w:numId w:val="10"/>
        </w:numPr>
        <w:spacing w:before="0" w:after="160" w:line="280" w:lineRule="auto"/>
      </w:pPr>
      <w:r>
        <w:rPr>
          <w:rFonts w:ascii="Calibri" w:hAnsi="Calibri" w:eastAsia="Calibri"/>
          <w:color w:val="000000"/>
          <w:sz w:val="22"/>
        </w:rPr>
        <w:t>Alert and review tickets</w:t>
      </w:r>
    </w:p>
    <w:p>
      <w:pPr>
        <w:keepNext w:val="0"/>
        <w:keepLines w:val="0"/>
        <w:numPr>
          <w:ilvl w:val="0"/>
          <w:numId w:val="10"/>
        </w:numPr>
        <w:spacing w:before="0" w:after="160" w:line="280" w:lineRule="auto"/>
      </w:pPr>
      <w:r>
        <w:rPr>
          <w:rFonts w:ascii="Calibri" w:hAnsi="Calibri" w:eastAsia="Calibri"/>
          <w:color w:val="000000"/>
          <w:sz w:val="22"/>
        </w:rPr>
        <w:t>Generated-event test</w:t>
      </w:r>
    </w:p>
    <w:p>
      <w:pPr>
        <w:keepNext w:val="0"/>
        <w:keepLines w:val="0"/>
        <w:numPr>
          <w:ilvl w:val="0"/>
          <w:numId w:val="10"/>
        </w:numPr>
        <w:spacing w:before="0" w:after="160" w:line="280" w:lineRule="auto"/>
      </w:pPr>
      <w:r>
        <w:rPr>
          <w:rFonts w:ascii="Calibri" w:hAnsi="Calibri" w:eastAsia="Calibri"/>
          <w:color w:val="000000"/>
          <w:sz w:val="22"/>
        </w:rPr>
        <w:t>Access review for audit systems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Expected log sources reporting</w:t>
      </w:r>
    </w:p>
    <w:p>
      <w:pPr>
        <w:keepNext w:val="0"/>
        <w:keepLines w:val="0"/>
        <w:numPr>
          <w:ilvl w:val="0"/>
          <w:numId w:val="10"/>
        </w:numPr>
        <w:spacing w:before="0" w:after="160" w:line="280" w:lineRule="auto"/>
      </w:pPr>
      <w:r>
        <w:rPr>
          <w:rFonts w:ascii="Calibri" w:hAnsi="Calibri" w:eastAsia="Calibri"/>
          <w:color w:val="000000"/>
          <w:sz w:val="22"/>
        </w:rPr>
        <w:t>Logging gaps detected within target</w:t>
      </w:r>
    </w:p>
    <w:p>
      <w:pPr>
        <w:keepNext w:val="0"/>
        <w:keepLines w:val="0"/>
        <w:numPr>
          <w:ilvl w:val="0"/>
          <w:numId w:val="10"/>
        </w:numPr>
        <w:spacing w:before="0" w:after="160" w:line="280" w:lineRule="auto"/>
      </w:pPr>
      <w:r>
        <w:rPr>
          <w:rFonts w:ascii="Calibri" w:hAnsi="Calibri" w:eastAsia="Calibri"/>
          <w:color w:val="000000"/>
          <w:sz w:val="22"/>
        </w:rPr>
        <w:t>High-risk alerts reviewed</w:t>
      </w:r>
    </w:p>
    <w:p>
      <w:pPr>
        <w:keepNext w:val="0"/>
        <w:keepLines w:val="0"/>
        <w:numPr>
          <w:ilvl w:val="0"/>
          <w:numId w:val="10"/>
        </w:numPr>
        <w:spacing w:before="0" w:after="160" w:line="280" w:lineRule="auto"/>
      </w:pPr>
      <w:r>
        <w:rPr>
          <w:rFonts w:ascii="Calibri" w:hAnsi="Calibri" w:eastAsia="Calibri"/>
          <w:color w:val="000000"/>
          <w:sz w:val="22"/>
        </w:rPr>
        <w:t>Retention compliance</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AU.L2-3.3.1 through AU.L2-3.3.9; IA and AC practices rely on attributable records.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800-92, Guide to Computer Security Log Management: https://doi.org/10.6028/NIST.SP.800-92</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 Logging and Audit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