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9360"/>
        <w:jc w:val="left"/>
        <w:tblLayout w:type="fixed"/>
        <w:tblLook w:firstColumn="1" w:firstRow="1" w:lastColumn="0" w:lastRow="0" w:noHBand="0" w:noVBand="1" w:val="04A0"/>
        <w:tblInd w:w="0" w:type="dxa"/>
      </w:tblPr>
      <w:tblGrid>
        <w:gridCol w:w="6480"/>
        <w:gridCol w:w="2880"/>
      </w:tblGrid>
      <w:tr>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b/>
                <w:color w:val="0B2545"/>
                <w:sz w:val="24"/>
              </w:rPr>
              <w:t>{{org.legal_name}}</w:t>
            </w:r>
          </w:p>
        </w:tc>
        <w:tc>
          <w:tcPr>
            <w:tcW w:type="dxa" w:w="2880"/>
            <w:vAlign w:val="center"/>
            <w:tcMar>
              <w:top w:w="80" w:type="dxa"/>
              <w:start w:w="120" w:type="dxa"/>
              <w:bottom w:w="80" w:type="dxa"/>
              <w:end w:w="120" w:type="dxa"/>
            </w:tcMar>
            <w:shd w:fill="F2F4F7" w:val="clear"/>
          </w:tcPr>
          <w:p>
            <w:pPr>
              <w:keepNext w:val="0"/>
              <w:keepLines w:val="0"/>
              <w:spacing w:before="0" w:after="0" w:line="240" w:lineRule="auto"/>
              <w:jc w:val="center"/>
            </w:pPr>
            <w:r>
              <w:rPr>
                <w:rFonts w:ascii="Calibri" w:hAnsi="Calibri" w:eastAsia="Calibri"/>
                <w:b/>
                <w:color w:val="59636E"/>
                <w:sz w:val="18"/>
              </w:rPr>
              <w:t>{{org.logo}}</w:t>
            </w:r>
          </w:p>
        </w:tc>
      </w:tr>
    </w:tbl>
    <w:p>
      <w:pPr>
        <w:keepNext w:val="0"/>
        <w:keepLines w:val="0"/>
        <w:spacing w:before="240" w:after="60" w:line="240" w:lineRule="auto"/>
      </w:pPr>
      <w:r>
        <w:rPr>
          <w:rFonts w:ascii="Calibri" w:hAnsi="Calibri" w:eastAsia="Calibri"/>
          <w:b/>
          <w:color w:val="2E74B5"/>
          <w:sz w:val="18"/>
        </w:rPr>
        <w:t>POLICY</w:t>
      </w:r>
    </w:p>
    <w:p>
      <w:pPr>
        <w:keepNext/>
        <w:keepLines w:val="0"/>
        <w:spacing w:before="0" w:after="100" w:line="240" w:lineRule="auto"/>
      </w:pPr>
      <w:r>
        <w:rPr>
          <w:rFonts w:ascii="Calibri" w:hAnsi="Calibri" w:eastAsia="Calibri"/>
          <w:b/>
          <w:color w:val="0B2545"/>
          <w:sz w:val="46"/>
        </w:rPr>
        <w:t>Server Malware Protection Policy</w:t>
      </w:r>
    </w:p>
    <w:p>
      <w:pPr>
        <w:keepNext w:val="0"/>
        <w:keepLines w:val="0"/>
        <w:spacing w:before="0" w:after="280" w:line="240" w:lineRule="auto"/>
      </w:pPr>
      <w:r>
        <w:rPr>
          <w:rFonts w:ascii="Calibri" w:hAnsi="Calibri" w:eastAsia="Calibri"/>
          <w:i/>
          <w:color w:val="59636E"/>
          <w:sz w:val="20"/>
        </w:rPr>
        <w:t>{{doc.title}} — {{doc.template_key}} v{{doc.version}}</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1440"/>
        <w:gridCol w:w="3240"/>
        <w:gridCol w:w="1440"/>
        <w:gridCol w:w="3240"/>
      </w:tblGrid>
      <w:tr>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Document ID</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{{doc.document_id}}</w:t>
            </w:r>
          </w:p>
        </w:tc>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Version</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{{doc.version}}</w:t>
            </w:r>
          </w:p>
        </w:tc>
      </w:tr>
      <w:tr>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Policy Owner</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{{doc.owner_name}}</w:t>
            </w:r>
          </w:p>
        </w:tc>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Approver</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{{doc.approver_name}}</w:t>
            </w:r>
          </w:p>
        </w:tc>
      </w:tr>
      <w:tr>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Effective Date</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{{doc.effective_date}}</w:t>
            </w:r>
          </w:p>
        </w:tc>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Next Review</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{{doc.next_review_date}}</w:t>
            </w:r>
          </w:p>
        </w:tc>
      </w:tr>
      <w:tr>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Classification</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{{doc.classification}}</w:t>
            </w:r>
          </w:p>
        </w:tc>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Review Cycle</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{{doc.review_cycle}}</w:t>
            </w:r>
          </w:p>
        </w:tc>
      </w:tr>
    </w:tbl>
    <w:p>
      <w:pPr>
        <w:pStyle w:val="Heading1"/>
        <w:keepNext/>
      </w:pPr>
      <w:r>
        <w:t>1. Purpose</w:t>
      </w:r>
    </w:p>
    <w:p>
      <w:pPr>
        <w:keepNext w:val="0"/>
        <w:keepLines w:val="0"/>
        <w:spacing w:before="0" w:after="120" w:line="264" w:lineRule="auto"/>
      </w:pPr>
      <w:r>
        <w:rPr>
          <w:rFonts w:ascii="Calibri" w:hAnsi="Calibri" w:eastAsia="Calibri"/>
          <w:color w:val="000000"/>
          <w:sz w:val="22"/>
        </w:rPr>
        <w:t>Prevent, detect, contain, and respond to malware on server and server-hosted workloads without creating unassessed availability risks.</w:t>
      </w:r>
    </w:p>
    <w:p>
      <w:pPr>
        <w:pStyle w:val="Heading1"/>
        <w:keepNext/>
      </w:pPr>
      <w:r>
        <w:t>2. Scope and Applicability</w:t>
      </w:r>
    </w:p>
    <w:p>
      <w:pPr>
        <w:keepNext w:val="0"/>
        <w:keepLines w:val="0"/>
        <w:spacing w:before="0" w:after="120" w:line="264" w:lineRule="auto"/>
      </w:pPr>
      <w:r>
        <w:rPr>
          <w:rFonts w:ascii="Calibri" w:hAnsi="Calibri" w:eastAsia="Calibri"/>
          <w:color w:val="000000"/>
          <w:sz w:val="22"/>
        </w:rPr>
        <w:t>Applies to physical servers, virtual machines, cloud compute, supported container hosts, file servers, application servers, and other server workloads.</w:t>
      </w:r>
    </w:p>
    <w:p>
      <w:pPr>
        <w:pStyle w:val="Heading1"/>
        <w:keepNext/>
      </w:pPr>
      <w:r>
        <w:t>3. Policy Requirements</w:t>
      </w:r>
    </w:p>
    <w:p>
      <w:pPr>
        <w:keepNext w:val="0"/>
        <w:keepLines w:val="0"/>
        <w:numPr>
          <w:ilvl w:val="0"/>
          <w:numId w:val="10"/>
        </w:numPr>
        <w:spacing w:before="0" w:after="160" w:line="280" w:lineRule="auto"/>
      </w:pPr>
      <w:r>
        <w:rPr>
          <w:rFonts w:ascii="Calibri" w:hAnsi="Calibri" w:eastAsia="Calibri"/>
          <w:color w:val="000000"/>
          <w:sz w:val="22"/>
        </w:rPr>
        <w:t>Supported servers shall run approved centrally managed anti-malware or endpoint detection protection unless a documented technical exception is approved.</w:t>
      </w:r>
    </w:p>
    <w:p>
      <w:pPr>
        <w:keepNext w:val="0"/>
        <w:keepLines w:val="0"/>
        <w:numPr>
          <w:ilvl w:val="0"/>
          <w:numId w:val="10"/>
        </w:numPr>
        <w:spacing w:before="0" w:after="160" w:line="280" w:lineRule="auto"/>
      </w:pPr>
      <w:r>
        <w:rPr>
          <w:rFonts w:ascii="Calibri" w:hAnsi="Calibri" w:eastAsia="Calibri"/>
          <w:color w:val="000000"/>
          <w:sz w:val="22"/>
        </w:rPr>
        <w:t>Real-time protection, behavior monitoring, security-intelligence updates, tamper protection, and appropriate scanning shall be enabled based on platform capability.</w:t>
      </w:r>
    </w:p>
    <w:p>
      <w:pPr>
        <w:keepNext w:val="0"/>
        <w:keepLines w:val="0"/>
        <w:numPr>
          <w:ilvl w:val="0"/>
          <w:numId w:val="10"/>
        </w:numPr>
        <w:spacing w:before="0" w:after="160" w:line="280" w:lineRule="auto"/>
      </w:pPr>
      <w:r>
        <w:rPr>
          <w:rFonts w:ascii="Calibri" w:hAnsi="Calibri" w:eastAsia="Calibri"/>
          <w:color w:val="000000"/>
          <w:sz w:val="22"/>
        </w:rPr>
        <w:t>Exclusions shall be narrow, vendor- and risk-justified, owner-approved, monitored, time-limited where feasible, and reviewed at least quarterly.</w:t>
      </w:r>
    </w:p>
    <w:p>
      <w:pPr>
        <w:keepNext w:val="0"/>
        <w:keepLines w:val="0"/>
        <w:numPr>
          <w:ilvl w:val="0"/>
          <w:numId w:val="10"/>
        </w:numPr>
        <w:spacing w:before="0" w:after="160" w:line="280" w:lineRule="auto"/>
      </w:pPr>
      <w:r>
        <w:rPr>
          <w:rFonts w:ascii="Calibri" w:hAnsi="Calibri" w:eastAsia="Calibri"/>
          <w:color w:val="000000"/>
          <w:sz w:val="22"/>
        </w:rPr>
        <w:t>High-severity detections shall generate monitored alerts and follow documented isolation, investigation, evidence, eradication, and recovery procedures.</w:t>
      </w:r>
    </w:p>
    <w:p>
      <w:pPr>
        <w:keepNext w:val="0"/>
        <w:keepLines w:val="0"/>
        <w:numPr>
          <w:ilvl w:val="0"/>
          <w:numId w:val="10"/>
        </w:numPr>
        <w:spacing w:before="0" w:after="160" w:line="280" w:lineRule="auto"/>
      </w:pPr>
      <w:r>
        <w:rPr>
          <w:rFonts w:ascii="Calibri" w:hAnsi="Calibri" w:eastAsia="Calibri"/>
          <w:color w:val="000000"/>
          <w:sz w:val="22"/>
        </w:rPr>
        <w:t>Protection changes and agent health shall be centrally visible; standard administrators shall not disable protection without approved emergency authority.</w:t>
      </w:r>
    </w:p>
    <w:p>
      <w:pPr>
        <w:keepNext w:val="0"/>
        <w:keepLines w:val="0"/>
        <w:numPr>
          <w:ilvl w:val="0"/>
          <w:numId w:val="10"/>
        </w:numPr>
        <w:spacing w:before="0" w:after="160" w:line="280" w:lineRule="auto"/>
      </w:pPr>
      <w:r>
        <w:rPr>
          <w:rFonts w:ascii="Calibri" w:hAnsi="Calibri" w:eastAsia="Calibri"/>
          <w:color w:val="000000"/>
          <w:sz w:val="22"/>
        </w:rPr>
        <w:t>Scanning and containment settings for high-availability or safety-critical services shall be tested to avoid unplanned outages while maintaining equivalent detection.</w:t>
      </w:r>
    </w:p>
    <w:p>
      <w:pPr>
        <w:keepNext w:val="0"/>
        <w:keepLines w:val="0"/>
        <w:numPr>
          <w:ilvl w:val="0"/>
          <w:numId w:val="10"/>
        </w:numPr>
        <w:spacing w:before="0" w:after="160" w:line="280" w:lineRule="auto"/>
      </w:pPr>
      <w:r>
        <w:rPr>
          <w:rFonts w:ascii="Calibri" w:hAnsi="Calibri" w:eastAsia="Calibri"/>
          <w:color w:val="000000"/>
          <w:sz w:val="22"/>
        </w:rPr>
        <w:t>Coverage and alert delivery shall be verified after deployment, restoration, or major change using an approved harmless test method.</w:t>
      </w:r>
    </w:p>
    <w:p>
      <w:pPr>
        <w:pStyle w:val="Heading1"/>
        <w:keepNext/>
      </w:pPr>
      <w:r>
        <w:t>4. Roles and Responsibilities</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2700"/>
        <w:gridCol w:w="6660"/>
      </w:tblGrid>
      <w:tr>
        <w:tc>
          <w:tcPr>
            <w:tcW w:type="dxa" w:w="27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Role</w:t>
            </w:r>
          </w:p>
        </w:tc>
        <w:tc>
          <w:tcPr>
            <w:tcW w:type="dxa" w:w="666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Responsibilities</w:t>
            </w:r>
          </w:p>
        </w:tc>
      </w:tr>
      <w:tr>
        <w:tc>
          <w:tcPr>
            <w:tcW w:type="dxa" w:w="270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color w:val="000000"/>
                <w:sz w:val="19"/>
              </w:rPr>
              <w:t>Executive / Approving Authority</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val="0"/>
                <w:color w:val="000000"/>
                <w:sz w:val="19"/>
              </w:rPr>
              <w:t>Approve the document, allocate resources, and accept residual risk within delegated authority.</w:t>
            </w:r>
          </w:p>
        </w:tc>
      </w:tr>
      <w:tr>
        <w:tc>
          <w:tcPr>
            <w:tcW w:type="dxa" w:w="270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color w:val="000000"/>
                <w:sz w:val="19"/>
              </w:rPr>
              <w:t>Policy Owner</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val="0"/>
                <w:color w:val="000000"/>
                <w:sz w:val="19"/>
              </w:rPr>
              <w:t>Maintain requirements, coordinate implementation, review exceptions, and report performance.</w:t>
            </w:r>
          </w:p>
        </w:tc>
      </w:tr>
      <w:tr>
        <w:tc>
          <w:tcPr>
            <w:tcW w:type="dxa" w:w="270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color w:val="000000"/>
                <w:sz w:val="19"/>
              </w:rPr>
              <w:t>System and Service Owners</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val="0"/>
                <w:color w:val="000000"/>
                <w:sz w:val="19"/>
              </w:rPr>
              <w:t>Implement requirements, maintain evidence, and correct deficiencies for assigned assets.</w:t>
            </w:r>
          </w:p>
        </w:tc>
      </w:tr>
      <w:tr>
        <w:tc>
          <w:tcPr>
            <w:tcW w:type="dxa" w:w="270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color w:val="000000"/>
                <w:sz w:val="19"/>
              </w:rPr>
              <w:t>Security / Compliance</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val="0"/>
                <w:color w:val="000000"/>
                <w:sz w:val="19"/>
              </w:rPr>
              <w:t>Advise on safeguards, assess effectiveness, monitor risk, and support evidence review.</w:t>
            </w:r>
          </w:p>
        </w:tc>
      </w:tr>
      <w:tr>
        <w:tc>
          <w:tcPr>
            <w:tcW w:type="dxa" w:w="270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color w:val="000000"/>
                <w:sz w:val="19"/>
              </w:rPr>
              <w:t>Workforce Members and Third Parties</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val="0"/>
                <w:color w:val="000000"/>
                <w:sz w:val="19"/>
              </w:rPr>
              <w:t>Follow approved procedures, protect access and information, and report suspected issues promptly.</w:t>
            </w:r>
          </w:p>
        </w:tc>
      </w:tr>
    </w:tbl>
    <w:p>
      <w:pPr>
        <w:pStyle w:val="Heading1"/>
        <w:keepNext/>
      </w:pPr>
      <w:r>
        <w:t>5. Required Procedures, Evidence, and Records</w:t>
      </w:r>
    </w:p>
    <w:p>
      <w:pPr>
        <w:keepNext w:val="0"/>
        <w:keepLines w:val="0"/>
        <w:spacing w:before="0" w:after="120" w:line="264" w:lineRule="auto"/>
      </w:pPr>
      <w:r>
        <w:rPr>
          <w:rFonts w:ascii="Calibri" w:hAnsi="Calibri" w:eastAsia="Calibri"/>
          <w:color w:val="000000"/>
          <w:sz w:val="22"/>
        </w:rPr>
        <w:t>The policy owner shall ensure the following artifacts are created, retained, protected, and made available to authorized reviewers for the period defined by {{implementation.retention_period}}:</w:t>
      </w:r>
    </w:p>
    <w:p>
      <w:pPr>
        <w:keepNext w:val="0"/>
        <w:keepLines w:val="0"/>
        <w:numPr>
          <w:ilvl w:val="0"/>
          <w:numId w:val="10"/>
        </w:numPr>
        <w:spacing w:before="0" w:after="160" w:line="280" w:lineRule="auto"/>
      </w:pPr>
      <w:r>
        <w:rPr>
          <w:rFonts w:ascii="Calibri" w:hAnsi="Calibri" w:eastAsia="Calibri"/>
          <w:color w:val="000000"/>
          <w:sz w:val="22"/>
        </w:rPr>
        <w:t>Server coverage/health report</w:t>
      </w:r>
    </w:p>
    <w:p>
      <w:pPr>
        <w:keepNext w:val="0"/>
        <w:keepLines w:val="0"/>
        <w:numPr>
          <w:ilvl w:val="0"/>
          <w:numId w:val="10"/>
        </w:numPr>
        <w:spacing w:before="0" w:after="160" w:line="280" w:lineRule="auto"/>
      </w:pPr>
      <w:r>
        <w:rPr>
          <w:rFonts w:ascii="Calibri" w:hAnsi="Calibri" w:eastAsia="Calibri"/>
          <w:color w:val="000000"/>
          <w:sz w:val="22"/>
        </w:rPr>
        <w:t>Protection baseline</w:t>
      </w:r>
    </w:p>
    <w:p>
      <w:pPr>
        <w:keepNext w:val="0"/>
        <w:keepLines w:val="0"/>
        <w:numPr>
          <w:ilvl w:val="0"/>
          <w:numId w:val="10"/>
        </w:numPr>
        <w:spacing w:before="0" w:after="160" w:line="280" w:lineRule="auto"/>
      </w:pPr>
      <w:r>
        <w:rPr>
          <w:rFonts w:ascii="Calibri" w:hAnsi="Calibri" w:eastAsia="Calibri"/>
          <w:color w:val="000000"/>
          <w:sz w:val="22"/>
        </w:rPr>
        <w:t>Exclusion register</w:t>
      </w:r>
    </w:p>
    <w:p>
      <w:pPr>
        <w:keepNext w:val="0"/>
        <w:keepLines w:val="0"/>
        <w:numPr>
          <w:ilvl w:val="0"/>
          <w:numId w:val="10"/>
        </w:numPr>
        <w:spacing w:before="0" w:after="160" w:line="280" w:lineRule="auto"/>
      </w:pPr>
      <w:r>
        <w:rPr>
          <w:rFonts w:ascii="Calibri" w:hAnsi="Calibri" w:eastAsia="Calibri"/>
          <w:color w:val="000000"/>
          <w:sz w:val="22"/>
        </w:rPr>
        <w:t>Update status</w:t>
      </w:r>
    </w:p>
    <w:p>
      <w:pPr>
        <w:keepNext w:val="0"/>
        <w:keepLines w:val="0"/>
        <w:numPr>
          <w:ilvl w:val="0"/>
          <w:numId w:val="10"/>
        </w:numPr>
        <w:spacing w:before="0" w:after="160" w:line="280" w:lineRule="auto"/>
      </w:pPr>
      <w:r>
        <w:rPr>
          <w:rFonts w:ascii="Calibri" w:hAnsi="Calibri" w:eastAsia="Calibri"/>
          <w:color w:val="000000"/>
          <w:sz w:val="22"/>
        </w:rPr>
        <w:t>Detection and response tickets</w:t>
      </w:r>
    </w:p>
    <w:p>
      <w:pPr>
        <w:keepNext w:val="0"/>
        <w:keepLines w:val="0"/>
        <w:numPr>
          <w:ilvl w:val="0"/>
          <w:numId w:val="10"/>
        </w:numPr>
        <w:spacing w:before="0" w:after="160" w:line="280" w:lineRule="auto"/>
      </w:pPr>
      <w:r>
        <w:rPr>
          <w:rFonts w:ascii="Calibri" w:hAnsi="Calibri" w:eastAsia="Calibri"/>
          <w:color w:val="000000"/>
          <w:sz w:val="22"/>
        </w:rPr>
        <w:t>Harmless test evidence</w:t>
      </w:r>
    </w:p>
    <w:p>
      <w:pPr>
        <w:keepNext w:val="0"/>
        <w:keepLines w:val="0"/>
        <w:numPr>
          <w:ilvl w:val="0"/>
          <w:numId w:val="10"/>
        </w:numPr>
        <w:spacing w:before="0" w:after="160" w:line="280" w:lineRule="auto"/>
      </w:pPr>
      <w:r>
        <w:rPr>
          <w:rFonts w:ascii="Calibri" w:hAnsi="Calibri" w:eastAsia="Calibri"/>
          <w:color w:val="000000"/>
          <w:sz w:val="22"/>
        </w:rPr>
        <w:t>Approved exceptions</w:t>
      </w:r>
    </w:p>
    <w:p>
      <w:pPr>
        <w:pStyle w:val="Heading1"/>
        <w:keepNext/>
      </w:pPr>
      <w:r>
        <w:t>6. Monitoring and Review</w:t>
      </w:r>
    </w:p>
    <w:p>
      <w:pPr>
        <w:keepNext w:val="0"/>
        <w:keepLines w:val="0"/>
        <w:spacing w:before="0" w:after="120" w:line="264" w:lineRule="auto"/>
      </w:pPr>
      <w:r>
        <w:rPr>
          <w:rFonts w:ascii="Calibri" w:hAnsi="Calibri" w:eastAsia="Calibri"/>
          <w:color w:val="000000"/>
          <w:sz w:val="22"/>
        </w:rPr>
        <w:t>At minimum, the policy owner shall review the following indicators at {{implementation.defined_frequency}} and escalate material deficiencies:</w:t>
      </w:r>
    </w:p>
    <w:p>
      <w:pPr>
        <w:keepNext w:val="0"/>
        <w:keepLines w:val="0"/>
        <w:numPr>
          <w:ilvl w:val="0"/>
          <w:numId w:val="10"/>
        </w:numPr>
        <w:spacing w:before="0" w:after="160" w:line="280" w:lineRule="auto"/>
      </w:pPr>
      <w:r>
        <w:rPr>
          <w:rFonts w:ascii="Calibri" w:hAnsi="Calibri" w:eastAsia="Calibri"/>
          <w:color w:val="000000"/>
          <w:sz w:val="22"/>
        </w:rPr>
        <w:t>Protected servers healthy</w:t>
      </w:r>
    </w:p>
    <w:p>
      <w:pPr>
        <w:keepNext w:val="0"/>
        <w:keepLines w:val="0"/>
        <w:numPr>
          <w:ilvl w:val="0"/>
          <w:numId w:val="10"/>
        </w:numPr>
        <w:spacing w:before="0" w:after="160" w:line="280" w:lineRule="auto"/>
      </w:pPr>
      <w:r>
        <w:rPr>
          <w:rFonts w:ascii="Calibri" w:hAnsi="Calibri" w:eastAsia="Calibri"/>
          <w:color w:val="000000"/>
          <w:sz w:val="22"/>
        </w:rPr>
        <w:t>Exclusions reviewed</w:t>
      </w:r>
    </w:p>
    <w:p>
      <w:pPr>
        <w:keepNext w:val="0"/>
        <w:keepLines w:val="0"/>
        <w:numPr>
          <w:ilvl w:val="0"/>
          <w:numId w:val="10"/>
        </w:numPr>
        <w:spacing w:before="0" w:after="160" w:line="280" w:lineRule="auto"/>
      </w:pPr>
      <w:r>
        <w:rPr>
          <w:rFonts w:ascii="Calibri" w:hAnsi="Calibri" w:eastAsia="Calibri"/>
          <w:color w:val="000000"/>
          <w:sz w:val="22"/>
        </w:rPr>
        <w:t>High-severity detections contained within target</w:t>
      </w:r>
    </w:p>
    <w:p>
      <w:pPr>
        <w:keepNext w:val="0"/>
        <w:keepLines w:val="0"/>
        <w:spacing w:before="0" w:after="120" w:line="264" w:lineRule="auto"/>
      </w:pPr>
      <w:r>
        <w:rPr>
          <w:rFonts w:ascii="Calibri" w:hAnsi="Calibri" w:eastAsia="Calibri"/>
          <w:color w:val="000000"/>
          <w:sz w:val="22"/>
        </w:rPr>
        <w:t>This document shall be reviewed at least annually and after a material incident, legal or contractual change, control failure, technology change, or significant change to the system boundary or operating model.</w:t>
      </w:r>
    </w:p>
    <w:p>
      <w:pPr>
        <w:pStyle w:val="Heading1"/>
        <w:keepNext/>
      </w:pPr>
      <w:r>
        <w:t>7. Exceptions</w:t>
      </w:r>
    </w:p>
    <w:p>
      <w:pPr>
        <w:keepNext w:val="0"/>
        <w:keepLines w:val="0"/>
        <w:spacing w:before="0" w:after="120" w:line="264" w:lineRule="auto"/>
      </w:pPr>
      <w:r>
        <w:rPr>
          <w:rFonts w:ascii="Calibri" w:hAnsi="Calibri" w:eastAsia="Calibri"/>
          <w:color w:val="000000"/>
          <w:sz w:val="22"/>
        </w:rPr>
        <w:t>Exceptions require a written request identifying the affected scope, business need, risk, compensating safeguards, accountable owner, approval authority, start date, expiration date, and review cadence. Exceptions shall be tracked to expiration and do not transfer responsibility for applicable legal, contractual, or CMMC requirements.</w:t>
      </w:r>
    </w:p>
    <w:p>
      <w:pPr>
        <w:pStyle w:val="Heading1"/>
        <w:keepNext/>
      </w:pPr>
      <w:r>
        <w:t>8. Compliance and Enforcement</w:t>
      </w:r>
    </w:p>
    <w:p>
      <w:pPr>
        <w:keepNext w:val="0"/>
        <w:keepLines w:val="0"/>
        <w:spacing w:before="0" w:after="120" w:line="264" w:lineRule="auto"/>
      </w:pPr>
      <w:r>
        <w:rPr>
          <w:rFonts w:ascii="Calibri" w:hAnsi="Calibri" w:eastAsia="Calibri"/>
          <w:color w:val="000000"/>
          <w:sz w:val="22"/>
        </w:rPr>
        <w:t>Failure to comply may result in access restriction, corrective action, contract remedies, or disciplinary action consistent with law and organizational policy. Suspected violations shall be reported through {{implementation.reporting_channel}}. Compliance does not by itself establish certification; effectiveness must be demonstrated through implementation and evidence.</w:t>
      </w:r>
    </w:p>
    <w:p>
      <w:pPr>
        <w:pStyle w:val="Heading1"/>
        <w:keepNext/>
      </w:pPr>
      <w:r>
        <w:t>9. Organization Implementation Parameters</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2880"/>
        <w:gridCol w:w="6480"/>
      </w:tblGrid>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In-Scope Systems / Processes</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{{scope.summary}} Boundary: {{scope.boundary}}. Included locations: {{scope.included_locations}}. Excluded locations: {{scope.excluded_locations}}. Systems: {{scope.systems}}. Data flow: {{scope.data_flow}}.</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Responsible Team</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{{implementation.responsible_team}}</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Required Procedures</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{{implementation.procedure_location}}</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Technology / Control Location</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{{implementation.control_location}}</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Evidence Repository</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{{implementation.repository}}</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Review and Test Frequency</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{{implementation.review_trigger}}</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Reporting Channel</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{{implementation.reporting_channel}}</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Records Retention</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{{implementation.retention_period}}</w:t>
            </w:r>
          </w:p>
        </w:tc>
      </w:tr>
    </w:tbl>
    <w:p>
      <w:r>
        <w:br w:type="page"/>
      </w:r>
    </w:p>
    <w:p>
      <w:pPr>
        <w:pStyle w:val="Heading1"/>
        <w:keepNext/>
      </w:pPr>
      <w:r>
        <w:t>10. Control Alignment and Tailoring</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2700"/>
        <w:gridCol w:w="6660"/>
      </w:tblGrid>
      <w:tr>
        <w:tc>
          <w:tcPr>
            <w:tcW w:type="dxa" w:w="27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Suggested control alignment</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color w:val="000000"/>
                <w:sz w:val="19"/>
              </w:rPr>
              <w:t>CMMC: SI.L1-3.14.2, SI.L1-3.14.4, SI.L1-3.14.5; SI.L2-3.14.6 and SI.L2-3.14.7.</w:t>
            </w:r>
          </w:p>
        </w:tc>
      </w:tr>
      <w:tr>
        <w:tc>
          <w:tcPr>
            <w:tcW w:type="dxa" w:w="27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Applicability decision</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color w:val="000000"/>
                <w:sz w:val="19"/>
              </w:rPr>
              <w:t>Applicable unless the documented system scope and operating model support a formally approved Not Applicable determination.</w:t>
            </w:r>
          </w:p>
        </w:tc>
      </w:tr>
      <w:tr>
        <w:tc>
          <w:tcPr>
            <w:tcW w:type="dxa" w:w="27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Tailoring requirement</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color w:val="000000"/>
                <w:sz w:val="19"/>
              </w:rPr>
              <w:t>The policy owner shall define organization-selected values, map system-specific procedures and evidence, and obtain approval before publication.</w:t>
            </w:r>
          </w:p>
        </w:tc>
      </w:tr>
    </w:tbl>
    <w:p>
      <w:pPr>
        <w:pStyle w:val="Heading1"/>
        <w:keepNext/>
      </w:pPr>
      <w:r>
        <w:t>11. References</w:t>
      </w:r>
    </w:p>
    <w:p>
      <w:pPr>
        <w:keepNext w:val="0"/>
        <w:keepLines w:val="0"/>
        <w:numPr>
          <w:ilvl w:val="0"/>
          <w:numId w:val="10"/>
        </w:numPr>
        <w:spacing w:before="0" w:after="160" w:line="280" w:lineRule="auto"/>
      </w:pPr>
      <w:r>
        <w:rPr>
          <w:rFonts w:ascii="Calibri" w:hAnsi="Calibri" w:eastAsia="Calibri"/>
          <w:color w:val="000000"/>
          <w:sz w:val="22"/>
        </w:rPr>
        <w:t>NIST SP 800-83 Rev. 1, Guide to Malware Incident Prevention and Handling: https://doi.org/10.6028/NIST.SP.800-83r1</w:t>
      </w:r>
    </w:p>
    <w:p>
      <w:pPr>
        <w:keepNext w:val="0"/>
        <w:keepLines w:val="0"/>
        <w:numPr>
          <w:ilvl w:val="0"/>
          <w:numId w:val="10"/>
        </w:numPr>
        <w:spacing w:before="0" w:after="160" w:line="280" w:lineRule="auto"/>
      </w:pPr>
      <w:r>
        <w:rPr>
          <w:rFonts w:ascii="Calibri" w:hAnsi="Calibri" w:eastAsia="Calibri"/>
          <w:color w:val="000000"/>
          <w:sz w:val="22"/>
        </w:rPr>
        <w:t>NIST SP 800-123, Guide to General Server Security: https://doi.org/10.6028/NIST.SP.800-123</w:t>
      </w:r>
    </w:p>
    <w:p>
      <w:pPr>
        <w:keepNext w:val="0"/>
        <w:keepLines w:val="0"/>
        <w:numPr>
          <w:ilvl w:val="0"/>
          <w:numId w:val="10"/>
        </w:numPr>
        <w:spacing w:before="0" w:after="160" w:line="280" w:lineRule="auto"/>
      </w:pPr>
      <w:r>
        <w:rPr>
          <w:rFonts w:ascii="Calibri" w:hAnsi="Calibri" w:eastAsia="Calibri"/>
          <w:color w:val="000000"/>
          <w:sz w:val="22"/>
        </w:rPr>
        <w:t>NIST SP 800-171 Rev. 2, Protecting CUI in Nonfederal Systems: https://doi.org/10.6028/NIST.SP.800-171r2</w:t>
      </w:r>
    </w:p>
    <w:p>
      <w:pPr>
        <w:pStyle w:val="Heading1"/>
        <w:keepNext/>
      </w:pPr>
      <w:r>
        <w:t>12. Revision History</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1260"/>
        <w:gridCol w:w="1800"/>
        <w:gridCol w:w="4500"/>
        <w:gridCol w:w="1800"/>
      </w:tblGrid>
      <w:tr>
        <w:tc>
          <w:tcPr>
            <w:tcW w:type="dxa" w:w="126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Version</w:t>
            </w:r>
          </w:p>
        </w:tc>
        <w:tc>
          <w:tcPr>
            <w:tcW w:type="dxa" w:w="18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Date</w:t>
            </w:r>
          </w:p>
        </w:tc>
        <w:tc>
          <w:tcPr>
            <w:tcW w:type="dxa" w:w="45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Description</w:t>
            </w:r>
          </w:p>
        </w:tc>
        <w:tc>
          <w:tcPr>
            <w:tcW w:type="dxa" w:w="18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Author / Approver</w:t>
            </w:r>
          </w:p>
        </w:tc>
      </w:tr>
      <w:tr>
        <w:tc>
          <w:tcPr>
            <w:tcW w:type="dxa" w:w="126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{{doc.version}}</w:t>
            </w:r>
          </w:p>
        </w:tc>
        <w:tc>
          <w:tcPr>
            <w:tcW w:type="dxa" w:w="180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{{revision.date}}</w:t>
            </w:r>
          </w:p>
        </w:tc>
        <w:tc>
          <w:tcPr>
            <w:tcW w:type="dxa" w:w="450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Initial approved issue / {{revision.summary}}</w:t>
            </w:r>
          </w:p>
        </w:tc>
        <w:tc>
          <w:tcPr>
            <w:tcW w:type="dxa" w:w="180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{{revision.author}}</w:t>
            </w:r>
          </w:p>
        </w:tc>
      </w:tr>
    </w:tbl>
    <w:p>
      <w:pPr>
        <w:pStyle w:val="Heading1"/>
        <w:keepNext/>
      </w:pPr>
      <w:r>
        <w:t>13. Approval</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3960"/>
        <w:gridCol w:w="3000"/>
        <w:gridCol w:w="2400"/>
      </w:tblGrid>
      <w:tr>
        <w:tc>
          <w:tcPr>
            <w:tcW w:type="dxa" w:w="396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Name and Title</w:t>
            </w:r>
          </w:p>
        </w:tc>
        <w:tc>
          <w:tcPr>
            <w:tcW w:type="dxa" w:w="30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Signature / Approval Record</w:t>
            </w:r>
          </w:p>
        </w:tc>
        <w:tc>
          <w:tcPr>
            <w:tcW w:type="dxa" w:w="24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Date</w:t>
            </w:r>
          </w:p>
        </w:tc>
      </w:tr>
      <w:tr>
        <w:tc>
          <w:tcPr>
            <w:tcW w:type="dxa" w:w="396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{{doc.approver_name}}</w:t>
            </w:r>
          </w:p>
        </w:tc>
        <w:tc>
          <w:tcPr>
            <w:tcW w:type="dxa" w:w="300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{{approval.record_id}}</w:t>
            </w:r>
          </w:p>
        </w:tc>
        <w:tc>
          <w:tcPr>
            <w:tcW w:type="dxa" w:w="240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{{approval.date}}</w:t>
            </w:r>
          </w:p>
        </w:tc>
      </w:tr>
    </w:tbl>
    <w:p>
      <w:pPr>
        <w:pStyle w:val="Heading1"/>
        <w:keepNext/>
      </w:pPr>
      <w:r>
        <w:t>14. Publication Checklist</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9360"/>
      </w:tblGrid>
      <w:tr>
        <w:tc>
          <w:tcPr>
            <w:tcW w:type="dxa" w:w="9360"/>
            <w:vAlign w:val="center"/>
            <w:tcMar>
              <w:top w:w="80" w:type="dxa"/>
              <w:start w:w="120" w:type="dxa"/>
              <w:bottom w:w="80" w:type="dxa"/>
              <w:end w:w="120" w:type="dxa"/>
            </w:tcMar>
            <w:shd w:fill="F2F4F7" w:val="clear"/>
          </w:tcPr>
          <w:p>
            <w:pPr>
              <w:keepNext w:val="0"/>
              <w:keepLines w:val="0"/>
              <w:spacing w:before="0" w:after="0" w:line="240" w:lineRule="auto"/>
            </w:pPr>
            <w:r>
              <w:rPr>
                <w:rFonts w:ascii="Calibri" w:hAnsi="Calibri" w:eastAsia="Calibri"/>
                <w:color w:val="000000"/>
                <w:sz w:val="18"/>
              </w:rPr>
              <w:t>☐  All organization-selected values have been completed and verified.</w:t>
            </w:r>
          </w:p>
        </w:tc>
      </w:tr>
      <w:tr>
        <w:tc>
          <w:tcPr>
            <w:tcW w:type="dxa" w:w="936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  The owner, approver, effective date, review date, classification, and version are correct.</w:t>
            </w:r>
          </w:p>
        </w:tc>
      </w:tr>
      <w:tr>
        <w:tc>
          <w:tcPr>
            <w:tcW w:type="dxa" w:w="9360"/>
            <w:vAlign w:val="center"/>
            <w:tcMar>
              <w:top w:w="80" w:type="dxa"/>
              <w:start w:w="120" w:type="dxa"/>
              <w:bottom w:w="80" w:type="dxa"/>
              <w:end w:w="120" w:type="dxa"/>
            </w:tcMar>
            <w:shd w:fill="F2F4F7" w:val="clear"/>
          </w:tcPr>
          <w:p>
            <w:pPr>
              <w:keepNext w:val="0"/>
              <w:keepLines w:val="0"/>
              <w:spacing w:before="0" w:after="0" w:line="240" w:lineRule="auto"/>
            </w:pPr>
            <w:r>
              <w:rPr>
                <w:rFonts w:ascii="Calibri" w:hAnsi="Calibri" w:eastAsia="Calibri"/>
                <w:color w:val="000000"/>
                <w:sz w:val="18"/>
              </w:rPr>
              <w:t>☐  Scope and any Not Applicable decision match the current SSP and assessment boundary.</w:t>
            </w:r>
          </w:p>
        </w:tc>
      </w:tr>
      <w:tr>
        <w:tc>
          <w:tcPr>
            <w:tcW w:type="dxa" w:w="936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  Required procedures, configurations, operational tests, and evidence locations have been validated.</w:t>
            </w:r>
          </w:p>
        </w:tc>
      </w:tr>
      <w:tr>
        <w:tc>
          <w:tcPr>
            <w:tcW w:type="dxa" w:w="9360"/>
            <w:vAlign w:val="center"/>
            <w:tcMar>
              <w:top w:w="80" w:type="dxa"/>
              <w:start w:w="120" w:type="dxa"/>
              <w:bottom w:w="80" w:type="dxa"/>
              <w:end w:w="120" w:type="dxa"/>
            </w:tcMar>
            <w:shd w:fill="F2F4F7" w:val="clear"/>
          </w:tcPr>
          <w:p>
            <w:pPr>
              <w:keepNext w:val="0"/>
              <w:keepLines w:val="0"/>
              <w:spacing w:before="0" w:after="0" w:line="240" w:lineRule="auto"/>
            </w:pPr>
            <w:r>
              <w:rPr>
                <w:rFonts w:ascii="Calibri" w:hAnsi="Calibri" w:eastAsia="Calibri"/>
                <w:color w:val="000000"/>
                <w:sz w:val="18"/>
              </w:rPr>
              <w:t>☐  Approval is recorded and the controlled version is ready for publication and workforce communication.</w:t>
            </w:r>
          </w:p>
        </w:tc>
      </w:tr>
    </w:tbl>
    <w:sectPr>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val="0"/>
      <w:spacing w:before="0" w:after="0" w:line="240" w:lineRule="auto"/>
      <w:jc w:val="center"/>
    </w:pPr>
    <w:r>
      <w:rPr>
        <w:rFonts w:ascii="Calibri" w:hAnsi="Calibri" w:eastAsia="Calibri"/>
        <w:color w:val="59636E"/>
        <w:sz w:val="17"/>
      </w:rPr>
      <w:t xml:space="preserve">{{org.legal_name}}  |  {{doc.document_id}}  |  Version {{doc.version}}  |  Page 1 of 1</w:t>
    </w:r>
    <w:r>
      <w:rPr>
        <w:rFonts w:ascii="Calibri" w:hAnsi="Calibri" w:eastAsia="Calibri"/>
        <w:color w:val="59636E"/>
        <w:sz w:val="17"/>
      </w:rPr>
      <w:fldChar w:fldCharType="begin"/>
      <w:instrText xml:space="preserve"> PAGE </w:instrText>
      <w:fldChar w:fldCharType="separate"/>
      <w:t xml:space="preserve"/>
      <w:fldChar w:fldCharType="end"/>
    </w:r>
    <w:r>
      <w:rPr>
        <w:rFonts w:ascii="Calibri" w:hAnsi="Calibri" w:eastAsia="Calibri"/>
        <w:color w:val="59636E"/>
        <w:sz w:val="17"/>
      </w:rPr>
      <w:t xml:space="preserve"/>
    </w:r>
    <w:r>
      <w:rPr>
        <w:rFonts w:ascii="Calibri" w:hAnsi="Calibri" w:eastAsia="Calibri"/>
        <w:color w:val="59636E"/>
        <w:sz w:val="17"/>
      </w:rPr>
      <w:fldChar w:fldCharType="begin"/>
      <w:instrText xml:space="preserve"> NUMPAGES </w:instrText>
      <w:fldChar w:fldCharType="separate"/>
      <w:t xml:space="preserv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val="0"/>
      <w:spacing w:before="0" w:after="0" w:line="240" w:lineRule="auto"/>
      <w:jc w:val="left"/>
    </w:pPr>
    <w:r>
      <w:rPr>
        <w:rFonts w:ascii="Calibri" w:hAnsi="Calibri" w:eastAsia="Calibri"/>
        <w:b/>
        <w:color w:val="59636E"/>
        <w:sz w:val="17"/>
      </w:rPr>
      <w:t>{{org.legal_name}}  |  Policy  |  {{doc.document_id}}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720"/>
        </w:tabs>
        <w:ind w:left="720" w:hanging="360"/>
        <w:spacing w:after="160" w:line="280" w:lineRule="auto"/>
      </w:pPr>
      <w:rPr>
        <w:rFonts w:ascii="Calibri" w:hAnsi="Calibri"/>
      </w:r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4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4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Server Malware Protection Policy</dc:title>
  <dc:subject> cybersecurity policy template</dc:subject>
  <dc:creator/>
  <cp:keywords> policy template</cp:keywords>
  <dc:description>generated by python-docx</dc:description>
  <cp:lastModifiedBy/>
  <cp:revision>1</cp:revision>
  <dcterms:created xsi:type="dcterms:W3CDTF">2013-12-23T23:15:00Z</dcterms:created>
  <dcterms:modified xsi:type="dcterms:W3CDTF">2013-12-23T23:15:00Z</dcterms:modified>
  <cp:category/>
</cp:coreProperties>
</file>