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STANDARD</w:t>
      </w:r>
    </w:p>
    <w:p>
      <w:pPr>
        <w:keepNext/>
        <w:keepLines w:val="0"/>
        <w:spacing w:before="0" w:after="100" w:line="240" w:lineRule="auto"/>
      </w:pPr>
      <w:r>
        <w:rPr>
          <w:rFonts w:ascii="Calibri" w:hAnsi="Calibri" w:eastAsia="Calibri"/>
          <w:b/>
          <w:color w:val="0B2545"/>
          <w:sz w:val="46"/>
        </w:rPr>
        <w:t>Server Security Standard</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the minimum secure lifecycle and configuration baseline for server workloads.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physical, virtual, cloud, and hosted servers, container hosts, appliances with general-purpose operating systems, and server images managed by or for {{org.legal_name}}.</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Servers shall have an owner, business purpose, data classification, environment, criticality, approved baseline, support status, and network location recorded in inventory.</w:t>
      </w:r>
    </w:p>
    <w:p>
      <w:pPr>
        <w:keepNext w:val="0"/>
        <w:keepLines w:val="0"/>
        <w:numPr>
          <w:ilvl w:val="0"/>
          <w:numId w:val="10"/>
        </w:numPr>
        <w:spacing w:before="0" w:after="160" w:line="280" w:lineRule="auto"/>
      </w:pPr>
      <w:r>
        <w:rPr>
          <w:rFonts w:ascii="Calibri" w:hAnsi="Calibri" w:eastAsia="Calibri"/>
          <w:color w:val="000000"/>
          <w:sz w:val="22"/>
        </w:rPr>
        <w:t>Builds shall use approved hardened images or configuration-as-code, remove unnecessary software and services, change defaults, enable host protection, and apply current security updates before production.</w:t>
      </w:r>
    </w:p>
    <w:p>
      <w:pPr>
        <w:keepNext w:val="0"/>
        <w:keepLines w:val="0"/>
        <w:numPr>
          <w:ilvl w:val="0"/>
          <w:numId w:val="10"/>
        </w:numPr>
        <w:spacing w:before="0" w:after="160" w:line="280" w:lineRule="auto"/>
      </w:pPr>
      <w:r>
        <w:rPr>
          <w:rFonts w:ascii="Calibri" w:hAnsi="Calibri" w:eastAsia="Calibri"/>
          <w:color w:val="000000"/>
          <w:sz w:val="22"/>
        </w:rPr>
        <w:t>Administrative access shall use separate named privileged identities, multifactor authentication where supported, approved management paths, least privilege, and session or action logging.</w:t>
      </w:r>
    </w:p>
    <w:p>
      <w:pPr>
        <w:keepNext w:val="0"/>
        <w:keepLines w:val="0"/>
        <w:numPr>
          <w:ilvl w:val="0"/>
          <w:numId w:val="10"/>
        </w:numPr>
        <w:spacing w:before="0" w:after="160" w:line="280" w:lineRule="auto"/>
      </w:pPr>
      <w:r>
        <w:rPr>
          <w:rFonts w:ascii="Calibri" w:hAnsi="Calibri" w:eastAsia="Calibri"/>
          <w:color w:val="000000"/>
          <w:sz w:val="22"/>
        </w:rPr>
        <w:t>Network access shall be limited to required flows; internet exposure and direct administrative access from untrusted networks require explicit architecture approval.</w:t>
      </w:r>
    </w:p>
    <w:p>
      <w:pPr>
        <w:keepNext w:val="0"/>
        <w:keepLines w:val="0"/>
        <w:numPr>
          <w:ilvl w:val="0"/>
          <w:numId w:val="10"/>
        </w:numPr>
        <w:spacing w:before="0" w:after="160" w:line="280" w:lineRule="auto"/>
      </w:pPr>
      <w:r>
        <w:rPr>
          <w:rFonts w:ascii="Calibri" w:hAnsi="Calibri" w:eastAsia="Calibri"/>
          <w:color w:val="000000"/>
          <w:sz w:val="22"/>
        </w:rPr>
        <w:t>Vulnerability scanning, configuration assessment, patching, endpoint protection, logging, backup, time synchronization, and certificate/secret management shall meet the applicable standards.</w:t>
      </w:r>
    </w:p>
    <w:p>
      <w:pPr>
        <w:keepNext w:val="0"/>
        <w:keepLines w:val="0"/>
        <w:numPr>
          <w:ilvl w:val="0"/>
          <w:numId w:val="10"/>
        </w:numPr>
        <w:spacing w:before="0" w:after="160" w:line="280" w:lineRule="auto"/>
      </w:pPr>
      <w:r>
        <w:rPr>
          <w:rFonts w:ascii="Calibri" w:hAnsi="Calibri" w:eastAsia="Calibri"/>
          <w:color w:val="000000"/>
          <w:sz w:val="22"/>
        </w:rPr>
        <w:t>Changes shall be authorized and tested; configuration drift and unauthorized software shall be detected and corrected.</w:t>
      </w:r>
    </w:p>
    <w:p>
      <w:pPr>
        <w:keepNext w:val="0"/>
        <w:keepLines w:val="0"/>
        <w:numPr>
          <w:ilvl w:val="0"/>
          <w:numId w:val="10"/>
        </w:numPr>
        <w:spacing w:before="0" w:after="160" w:line="280" w:lineRule="auto"/>
      </w:pPr>
      <w:r>
        <w:rPr>
          <w:rFonts w:ascii="Calibri" w:hAnsi="Calibri" w:eastAsia="Calibri"/>
          <w:color w:val="000000"/>
          <w:sz w:val="22"/>
        </w:rPr>
        <w:t>Retirement shall remove access and integrations, preserve required records, sanitize data, revoke secrets and certificates, and update inventories and monitoring.</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Server inventory</w:t>
      </w:r>
    </w:p>
    <w:p>
      <w:pPr>
        <w:keepNext w:val="0"/>
        <w:keepLines w:val="0"/>
        <w:numPr>
          <w:ilvl w:val="0"/>
          <w:numId w:val="10"/>
        </w:numPr>
        <w:spacing w:before="0" w:after="160" w:line="280" w:lineRule="auto"/>
      </w:pPr>
      <w:r>
        <w:rPr>
          <w:rFonts w:ascii="Calibri" w:hAnsi="Calibri" w:eastAsia="Calibri"/>
          <w:color w:val="000000"/>
          <w:sz w:val="22"/>
        </w:rPr>
        <w:t>Build/hardening evidence</w:t>
      </w:r>
    </w:p>
    <w:p>
      <w:pPr>
        <w:keepNext w:val="0"/>
        <w:keepLines w:val="0"/>
        <w:numPr>
          <w:ilvl w:val="0"/>
          <w:numId w:val="10"/>
        </w:numPr>
        <w:spacing w:before="0" w:after="160" w:line="280" w:lineRule="auto"/>
      </w:pPr>
      <w:r>
        <w:rPr>
          <w:rFonts w:ascii="Calibri" w:hAnsi="Calibri" w:eastAsia="Calibri"/>
          <w:color w:val="000000"/>
          <w:sz w:val="22"/>
        </w:rPr>
        <w:t>Baseline compliance report</w:t>
      </w:r>
    </w:p>
    <w:p>
      <w:pPr>
        <w:keepNext w:val="0"/>
        <w:keepLines w:val="0"/>
        <w:numPr>
          <w:ilvl w:val="0"/>
          <w:numId w:val="10"/>
        </w:numPr>
        <w:spacing w:before="0" w:after="160" w:line="280" w:lineRule="auto"/>
      </w:pPr>
      <w:r>
        <w:rPr>
          <w:rFonts w:ascii="Calibri" w:hAnsi="Calibri" w:eastAsia="Calibri"/>
          <w:color w:val="000000"/>
          <w:sz w:val="22"/>
        </w:rPr>
        <w:t>Administrative access review</w:t>
      </w:r>
    </w:p>
    <w:p>
      <w:pPr>
        <w:keepNext w:val="0"/>
        <w:keepLines w:val="0"/>
        <w:numPr>
          <w:ilvl w:val="0"/>
          <w:numId w:val="10"/>
        </w:numPr>
        <w:spacing w:before="0" w:after="160" w:line="280" w:lineRule="auto"/>
      </w:pPr>
      <w:r>
        <w:rPr>
          <w:rFonts w:ascii="Calibri" w:hAnsi="Calibri" w:eastAsia="Calibri"/>
          <w:color w:val="000000"/>
          <w:sz w:val="22"/>
        </w:rPr>
        <w:t>Patch/vulnerability report</w:t>
      </w:r>
    </w:p>
    <w:p>
      <w:pPr>
        <w:keepNext w:val="0"/>
        <w:keepLines w:val="0"/>
        <w:numPr>
          <w:ilvl w:val="0"/>
          <w:numId w:val="10"/>
        </w:numPr>
        <w:spacing w:before="0" w:after="160" w:line="280" w:lineRule="auto"/>
      </w:pPr>
      <w:r>
        <w:rPr>
          <w:rFonts w:ascii="Calibri" w:hAnsi="Calibri" w:eastAsia="Calibri"/>
          <w:color w:val="000000"/>
          <w:sz w:val="22"/>
        </w:rPr>
        <w:t>Backup/restore evidence</w:t>
      </w:r>
    </w:p>
    <w:p>
      <w:pPr>
        <w:keepNext w:val="0"/>
        <w:keepLines w:val="0"/>
        <w:numPr>
          <w:ilvl w:val="0"/>
          <w:numId w:val="10"/>
        </w:numPr>
        <w:spacing w:before="0" w:after="160" w:line="280" w:lineRule="auto"/>
      </w:pPr>
      <w:r>
        <w:rPr>
          <w:rFonts w:ascii="Calibri" w:hAnsi="Calibri" w:eastAsia="Calibri"/>
          <w:color w:val="000000"/>
          <w:sz w:val="22"/>
        </w:rPr>
        <w:t>Change and decommission records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Servers compliant with baseline</w:t>
      </w:r>
    </w:p>
    <w:p>
      <w:pPr>
        <w:keepNext w:val="0"/>
        <w:keepLines w:val="0"/>
        <w:numPr>
          <w:ilvl w:val="0"/>
          <w:numId w:val="10"/>
        </w:numPr>
        <w:spacing w:before="0" w:after="160" w:line="280" w:lineRule="auto"/>
      </w:pPr>
      <w:r>
        <w:rPr>
          <w:rFonts w:ascii="Calibri" w:hAnsi="Calibri" w:eastAsia="Calibri"/>
          <w:color w:val="000000"/>
          <w:sz w:val="22"/>
        </w:rPr>
        <w:t>Unsupported servers</w:t>
      </w:r>
    </w:p>
    <w:p>
      <w:pPr>
        <w:keepNext w:val="0"/>
        <w:keepLines w:val="0"/>
        <w:numPr>
          <w:ilvl w:val="0"/>
          <w:numId w:val="10"/>
        </w:numPr>
        <w:spacing w:before="0" w:after="160" w:line="280" w:lineRule="auto"/>
      </w:pPr>
      <w:r>
        <w:rPr>
          <w:rFonts w:ascii="Calibri" w:hAnsi="Calibri" w:eastAsia="Calibri"/>
          <w:color w:val="000000"/>
          <w:sz w:val="22"/>
        </w:rPr>
        <w:t>Critical vulnerabilities past due</w:t>
      </w:r>
    </w:p>
    <w:p>
      <w:pPr>
        <w:keepNext w:val="0"/>
        <w:keepLines w:val="0"/>
        <w:numPr>
          <w:ilvl w:val="0"/>
          <w:numId w:val="10"/>
        </w:numPr>
        <w:spacing w:before="0" w:after="160" w:line="280" w:lineRule="auto"/>
      </w:pPr>
      <w:r>
        <w:rPr>
          <w:rFonts w:ascii="Calibri" w:hAnsi="Calibri" w:eastAsia="Calibri"/>
          <w:color w:val="000000"/>
          <w:sz w:val="22"/>
        </w:rPr>
        <w:t>Privileged access reviewed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CM.L2-3.4.1 through CM.L2-3.4.9; AC.L2-3.1.5; SI.L1-3.14.1 through SI.L1-3.14.5; AU practices.</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800-123, Guide to General Server Security: https://doi.org/10.6028/NIST.SP.800-123</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Standard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 Security Standard</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