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Social Engineering Awareness and Reporting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Prepare personnel to recognize, resist, and rapidly report phishing, impersonation, manipulation, and other social-engineering attempts.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all workforce members and relevant third parties, with enhanced requirements for finance, help desk, administrators, executives, human resources, procurement, and other high-risk roles.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Personnel shall complete awareness training at onboarding and at the organization-defined recurring frequency, with role-based modules for higher-risk duties.</w:t>
      </w:r>
    </w:p>
    <w:p>
      <w:pPr>
        <w:keepNext w:val="0"/>
        <w:keepLines w:val="0"/>
        <w:numPr>
          <w:ilvl w:val="0"/>
          <w:numId w:val="10"/>
        </w:numPr>
        <w:spacing w:before="0" w:after="160" w:line="280" w:lineRule="auto"/>
      </w:pPr>
      <w:r>
        <w:rPr>
          <w:rFonts w:ascii="Calibri" w:hAnsi="Calibri" w:eastAsia="Calibri"/>
          <w:color w:val="000000"/>
          <w:sz w:val="22"/>
        </w:rPr>
        <w:t>Requests involving credentials, authentication prompts, payment, payroll, bank changes, sensitive data, remote access, software installation, or urgent secrecy shall be independently verified through an approved trusted channel.</w:t>
      </w:r>
    </w:p>
    <w:p>
      <w:pPr>
        <w:keepNext w:val="0"/>
        <w:keepLines w:val="0"/>
        <w:numPr>
          <w:ilvl w:val="0"/>
          <w:numId w:val="10"/>
        </w:numPr>
        <w:spacing w:before="0" w:after="160" w:line="280" w:lineRule="auto"/>
      </w:pPr>
      <w:r>
        <w:rPr>
          <w:rFonts w:ascii="Calibri" w:hAnsi="Calibri" w:eastAsia="Calibri"/>
          <w:color w:val="000000"/>
          <w:sz w:val="22"/>
        </w:rPr>
        <w:t>Passwords, authentication codes, recovery secrets, and access tokens shall never be disclosed in response to unsolicited contact.</w:t>
      </w:r>
    </w:p>
    <w:p>
      <w:pPr>
        <w:keepNext w:val="0"/>
        <w:keepLines w:val="0"/>
        <w:numPr>
          <w:ilvl w:val="0"/>
          <w:numId w:val="10"/>
        </w:numPr>
        <w:spacing w:before="0" w:after="160" w:line="280" w:lineRule="auto"/>
      </w:pPr>
      <w:r>
        <w:rPr>
          <w:rFonts w:ascii="Calibri" w:hAnsi="Calibri" w:eastAsia="Calibri"/>
          <w:color w:val="000000"/>
          <w:sz w:val="22"/>
        </w:rPr>
        <w:t>Visitors, callers, vendors, and support personnel shall be verified before physical or logical access is granted.</w:t>
      </w:r>
    </w:p>
    <w:p>
      <w:pPr>
        <w:keepNext w:val="0"/>
        <w:keepLines w:val="0"/>
        <w:numPr>
          <w:ilvl w:val="0"/>
          <w:numId w:val="10"/>
        </w:numPr>
        <w:spacing w:before="0" w:after="160" w:line="280" w:lineRule="auto"/>
      </w:pPr>
      <w:r>
        <w:rPr>
          <w:rFonts w:ascii="Calibri" w:hAnsi="Calibri" w:eastAsia="Calibri"/>
          <w:color w:val="000000"/>
          <w:sz w:val="22"/>
        </w:rPr>
        <w:t>Suspected phishing, impersonation, unexpected MFA prompts, malicious QR codes, tailgating, pretexting, or information gathering shall be reported immediately using the approved mechanism.</w:t>
      </w:r>
    </w:p>
    <w:p>
      <w:pPr>
        <w:keepNext w:val="0"/>
        <w:keepLines w:val="0"/>
        <w:numPr>
          <w:ilvl w:val="0"/>
          <w:numId w:val="10"/>
        </w:numPr>
        <w:spacing w:before="0" w:after="160" w:line="280" w:lineRule="auto"/>
      </w:pPr>
      <w:r>
        <w:rPr>
          <w:rFonts w:ascii="Calibri" w:hAnsi="Calibri" w:eastAsia="Calibri"/>
          <w:color w:val="000000"/>
          <w:sz w:val="22"/>
        </w:rPr>
        <w:t>Simulations shall be authorized, privacy-conscious, educational, risk-based, and used to improve behavior and controls rather than as the sole measure of individual performance.</w:t>
      </w:r>
    </w:p>
    <w:p>
      <w:pPr>
        <w:keepNext w:val="0"/>
        <w:keepLines w:val="0"/>
        <w:numPr>
          <w:ilvl w:val="0"/>
          <w:numId w:val="10"/>
        </w:numPr>
        <w:spacing w:before="0" w:after="160" w:line="280" w:lineRule="auto"/>
      </w:pPr>
      <w:r>
        <w:rPr>
          <w:rFonts w:ascii="Calibri" w:hAnsi="Calibri" w:eastAsia="Calibri"/>
          <w:color w:val="000000"/>
          <w:sz w:val="22"/>
        </w:rPr>
        <w:t>Lessons from incidents, threat intelligence, and simulations shall update training, procedures, and technical controls.</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Training content and attendance</w:t>
      </w:r>
    </w:p>
    <w:p>
      <w:pPr>
        <w:keepNext w:val="0"/>
        <w:keepLines w:val="0"/>
        <w:numPr>
          <w:ilvl w:val="0"/>
          <w:numId w:val="10"/>
        </w:numPr>
        <w:spacing w:before="0" w:after="160" w:line="280" w:lineRule="auto"/>
      </w:pPr>
      <w:r>
        <w:rPr>
          <w:rFonts w:ascii="Calibri" w:hAnsi="Calibri" w:eastAsia="Calibri"/>
          <w:color w:val="000000"/>
          <w:sz w:val="22"/>
        </w:rPr>
        <w:t>Role-based training assignments</w:t>
      </w:r>
    </w:p>
    <w:p>
      <w:pPr>
        <w:keepNext w:val="0"/>
        <w:keepLines w:val="0"/>
        <w:numPr>
          <w:ilvl w:val="0"/>
          <w:numId w:val="10"/>
        </w:numPr>
        <w:spacing w:before="0" w:after="160" w:line="280" w:lineRule="auto"/>
      </w:pPr>
      <w:r>
        <w:rPr>
          <w:rFonts w:ascii="Calibri" w:hAnsi="Calibri" w:eastAsia="Calibri"/>
          <w:color w:val="000000"/>
          <w:sz w:val="22"/>
        </w:rPr>
        <w:t>Simulation plan/results</w:t>
      </w:r>
    </w:p>
    <w:p>
      <w:pPr>
        <w:keepNext w:val="0"/>
        <w:keepLines w:val="0"/>
        <w:numPr>
          <w:ilvl w:val="0"/>
          <w:numId w:val="10"/>
        </w:numPr>
        <w:spacing w:before="0" w:after="160" w:line="280" w:lineRule="auto"/>
      </w:pPr>
      <w:r>
        <w:rPr>
          <w:rFonts w:ascii="Calibri" w:hAnsi="Calibri" w:eastAsia="Calibri"/>
          <w:color w:val="000000"/>
          <w:sz w:val="22"/>
        </w:rPr>
        <w:t>User reports and response tickets</w:t>
      </w:r>
    </w:p>
    <w:p>
      <w:pPr>
        <w:keepNext w:val="0"/>
        <w:keepLines w:val="0"/>
        <w:numPr>
          <w:ilvl w:val="0"/>
          <w:numId w:val="10"/>
        </w:numPr>
        <w:spacing w:before="0" w:after="160" w:line="280" w:lineRule="auto"/>
      </w:pPr>
      <w:r>
        <w:rPr>
          <w:rFonts w:ascii="Calibri" w:hAnsi="Calibri" w:eastAsia="Calibri"/>
          <w:color w:val="000000"/>
          <w:sz w:val="22"/>
        </w:rPr>
        <w:t>Verification procedure</w:t>
      </w:r>
    </w:p>
    <w:p>
      <w:pPr>
        <w:keepNext w:val="0"/>
        <w:keepLines w:val="0"/>
        <w:numPr>
          <w:ilvl w:val="0"/>
          <w:numId w:val="10"/>
        </w:numPr>
        <w:spacing w:before="0" w:after="160" w:line="280" w:lineRule="auto"/>
      </w:pPr>
      <w:r>
        <w:rPr>
          <w:rFonts w:ascii="Calibri" w:hAnsi="Calibri" w:eastAsia="Calibri"/>
          <w:color w:val="000000"/>
          <w:sz w:val="22"/>
        </w:rPr>
        <w:t>Corrective improvements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Training completion</w:t>
      </w:r>
    </w:p>
    <w:p>
      <w:pPr>
        <w:keepNext w:val="0"/>
        <w:keepLines w:val="0"/>
        <w:numPr>
          <w:ilvl w:val="0"/>
          <w:numId w:val="10"/>
        </w:numPr>
        <w:spacing w:before="0" w:after="160" w:line="280" w:lineRule="auto"/>
      </w:pPr>
      <w:r>
        <w:rPr>
          <w:rFonts w:ascii="Calibri" w:hAnsi="Calibri" w:eastAsia="Calibri"/>
          <w:color w:val="000000"/>
          <w:sz w:val="22"/>
        </w:rPr>
        <w:t>Reporting rate</w:t>
      </w:r>
    </w:p>
    <w:p>
      <w:pPr>
        <w:keepNext w:val="0"/>
        <w:keepLines w:val="0"/>
        <w:numPr>
          <w:ilvl w:val="0"/>
          <w:numId w:val="10"/>
        </w:numPr>
        <w:spacing w:before="0" w:after="160" w:line="280" w:lineRule="auto"/>
      </w:pPr>
      <w:r>
        <w:rPr>
          <w:rFonts w:ascii="Calibri" w:hAnsi="Calibri" w:eastAsia="Calibri"/>
          <w:color w:val="000000"/>
          <w:sz w:val="22"/>
        </w:rPr>
        <w:t>Report-to-triage time</w:t>
      </w:r>
    </w:p>
    <w:p>
      <w:pPr>
        <w:keepNext w:val="0"/>
        <w:keepLines w:val="0"/>
        <w:numPr>
          <w:ilvl w:val="0"/>
          <w:numId w:val="10"/>
        </w:numPr>
        <w:spacing w:before="0" w:after="160" w:line="280" w:lineRule="auto"/>
      </w:pPr>
      <w:r>
        <w:rPr>
          <w:rFonts w:ascii="Calibri" w:hAnsi="Calibri" w:eastAsia="Calibri"/>
          <w:color w:val="000000"/>
          <w:sz w:val="22"/>
        </w:rPr>
        <w:t>Repeat high-risk failures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AT.L2-3.2.1, AT.L2-3.2.2, AT.L2-3.2.3; IR reporting supports response.</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Engineering Awareness and Reporting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