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Software Installation and Execution Control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Ensure software is authorized, acquired from trusted sources, securely configured, licensed, maintained, and removed when no longer needed.</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applications, packages, scripts, browser extensions, drivers, agents, mobile apps, containers, libraries, plugins, and portable executables on organizational systems.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Only authorized software from approved sources may be installed or executed; standard users shall not receive local administrative rights solely to install software.</w:t>
      </w:r>
    </w:p>
    <w:p>
      <w:pPr>
        <w:keepNext w:val="0"/>
        <w:keepLines w:val="0"/>
        <w:numPr>
          <w:ilvl w:val="0"/>
          <w:numId w:val="10"/>
        </w:numPr>
        <w:spacing w:before="0" w:after="160" w:line="280" w:lineRule="auto"/>
      </w:pPr>
      <w:r>
        <w:rPr>
          <w:rFonts w:ascii="Calibri" w:hAnsi="Calibri" w:eastAsia="Calibri"/>
          <w:color w:val="000000"/>
          <w:sz w:val="22"/>
        </w:rPr>
        <w:t>Requests shall identify business purpose, owner, data access, privileges, integrations, licensing, support, security review, and deployment scope.</w:t>
      </w:r>
    </w:p>
    <w:p>
      <w:pPr>
        <w:keepNext w:val="0"/>
        <w:keepLines w:val="0"/>
        <w:numPr>
          <w:ilvl w:val="0"/>
          <w:numId w:val="10"/>
        </w:numPr>
        <w:spacing w:before="0" w:after="160" w:line="280" w:lineRule="auto"/>
      </w:pPr>
      <w:r>
        <w:rPr>
          <w:rFonts w:ascii="Calibri" w:hAnsi="Calibri" w:eastAsia="Calibri"/>
          <w:color w:val="000000"/>
          <w:sz w:val="22"/>
        </w:rPr>
        <w:t>Security assessment depth shall reflect risk and may include vendor review, code or package provenance, vulnerability analysis, permission review, sandbox testing, and data-flow analysis.</w:t>
      </w:r>
    </w:p>
    <w:p>
      <w:pPr>
        <w:keepNext w:val="0"/>
        <w:keepLines w:val="0"/>
        <w:numPr>
          <w:ilvl w:val="0"/>
          <w:numId w:val="10"/>
        </w:numPr>
        <w:spacing w:before="0" w:after="160" w:line="280" w:lineRule="auto"/>
      </w:pPr>
      <w:r>
        <w:rPr>
          <w:rFonts w:ascii="Calibri" w:hAnsi="Calibri" w:eastAsia="Calibri"/>
          <w:color w:val="000000"/>
          <w:sz w:val="22"/>
        </w:rPr>
        <w:t>Software deployment shall use managed tools and approved configurations where feasible, with inventory and version reporting.</w:t>
      </w:r>
    </w:p>
    <w:p>
      <w:pPr>
        <w:keepNext w:val="0"/>
        <w:keepLines w:val="0"/>
        <w:numPr>
          <w:ilvl w:val="0"/>
          <w:numId w:val="10"/>
        </w:numPr>
        <w:spacing w:before="0" w:after="160" w:line="280" w:lineRule="auto"/>
      </w:pPr>
      <w:r>
        <w:rPr>
          <w:rFonts w:ascii="Calibri" w:hAnsi="Calibri" w:eastAsia="Calibri"/>
          <w:color w:val="000000"/>
          <w:sz w:val="22"/>
        </w:rPr>
        <w:t>Application allowlisting or equivalent execution control shall be used where required by risk, contract, or system classification.</w:t>
      </w:r>
    </w:p>
    <w:p>
      <w:pPr>
        <w:keepNext w:val="0"/>
        <w:keepLines w:val="0"/>
        <w:numPr>
          <w:ilvl w:val="0"/>
          <w:numId w:val="10"/>
        </w:numPr>
        <w:spacing w:before="0" w:after="160" w:line="280" w:lineRule="auto"/>
      </w:pPr>
      <w:r>
        <w:rPr>
          <w:rFonts w:ascii="Calibri" w:hAnsi="Calibri" w:eastAsia="Calibri"/>
          <w:color w:val="000000"/>
          <w:sz w:val="22"/>
        </w:rPr>
        <w:t>Unauthorized, unsupported, vulnerable, or unlicensed software shall be blocked, isolated, removed, or covered by an approved time-bound exception.</w:t>
      </w:r>
    </w:p>
    <w:p>
      <w:pPr>
        <w:keepNext w:val="0"/>
        <w:keepLines w:val="0"/>
        <w:numPr>
          <w:ilvl w:val="0"/>
          <w:numId w:val="10"/>
        </w:numPr>
        <w:spacing w:before="0" w:after="160" w:line="280" w:lineRule="auto"/>
      </w:pPr>
      <w:r>
        <w:rPr>
          <w:rFonts w:ascii="Calibri" w:hAnsi="Calibri" w:eastAsia="Calibri"/>
          <w:color w:val="000000"/>
          <w:sz w:val="22"/>
        </w:rPr>
        <w:t>Software and related accounts, keys, services, data, and integrations shall be removed through documented offboarding when no longer needed.</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Approved software catalog</w:t>
      </w:r>
    </w:p>
    <w:p>
      <w:pPr>
        <w:keepNext w:val="0"/>
        <w:keepLines w:val="0"/>
        <w:numPr>
          <w:ilvl w:val="0"/>
          <w:numId w:val="10"/>
        </w:numPr>
        <w:spacing w:before="0" w:after="160" w:line="280" w:lineRule="auto"/>
      </w:pPr>
      <w:r>
        <w:rPr>
          <w:rFonts w:ascii="Calibri" w:hAnsi="Calibri" w:eastAsia="Calibri"/>
          <w:color w:val="000000"/>
          <w:sz w:val="22"/>
        </w:rPr>
        <w:t>Installation request/approval</w:t>
      </w:r>
    </w:p>
    <w:p>
      <w:pPr>
        <w:keepNext w:val="0"/>
        <w:keepLines w:val="0"/>
        <w:numPr>
          <w:ilvl w:val="0"/>
          <w:numId w:val="10"/>
        </w:numPr>
        <w:spacing w:before="0" w:after="160" w:line="280" w:lineRule="auto"/>
      </w:pPr>
      <w:r>
        <w:rPr>
          <w:rFonts w:ascii="Calibri" w:hAnsi="Calibri" w:eastAsia="Calibri"/>
          <w:color w:val="000000"/>
          <w:sz w:val="22"/>
        </w:rPr>
        <w:t>Security and license review</w:t>
      </w:r>
    </w:p>
    <w:p>
      <w:pPr>
        <w:keepNext w:val="0"/>
        <w:keepLines w:val="0"/>
        <w:numPr>
          <w:ilvl w:val="0"/>
          <w:numId w:val="10"/>
        </w:numPr>
        <w:spacing w:before="0" w:after="160" w:line="280" w:lineRule="auto"/>
      </w:pPr>
      <w:r>
        <w:rPr>
          <w:rFonts w:ascii="Calibri" w:hAnsi="Calibri" w:eastAsia="Calibri"/>
          <w:color w:val="000000"/>
          <w:sz w:val="22"/>
        </w:rPr>
        <w:t>Deployment/inventory report</w:t>
      </w:r>
    </w:p>
    <w:p>
      <w:pPr>
        <w:keepNext w:val="0"/>
        <w:keepLines w:val="0"/>
        <w:numPr>
          <w:ilvl w:val="0"/>
          <w:numId w:val="10"/>
        </w:numPr>
        <w:spacing w:before="0" w:after="160" w:line="280" w:lineRule="auto"/>
      </w:pPr>
      <w:r>
        <w:rPr>
          <w:rFonts w:ascii="Calibri" w:hAnsi="Calibri" w:eastAsia="Calibri"/>
          <w:color w:val="000000"/>
          <w:sz w:val="22"/>
        </w:rPr>
        <w:t>Allowlist or execution-control evidence</w:t>
      </w:r>
    </w:p>
    <w:p>
      <w:pPr>
        <w:keepNext w:val="0"/>
        <w:keepLines w:val="0"/>
        <w:numPr>
          <w:ilvl w:val="0"/>
          <w:numId w:val="10"/>
        </w:numPr>
        <w:spacing w:before="0" w:after="160" w:line="280" w:lineRule="auto"/>
      </w:pPr>
      <w:r>
        <w:rPr>
          <w:rFonts w:ascii="Calibri" w:hAnsi="Calibri" w:eastAsia="Calibri"/>
          <w:color w:val="000000"/>
          <w:sz w:val="22"/>
        </w:rPr>
        <w:t>Unauthorized software findings</w:t>
      </w:r>
    </w:p>
    <w:p>
      <w:pPr>
        <w:keepNext w:val="0"/>
        <w:keepLines w:val="0"/>
        <w:numPr>
          <w:ilvl w:val="0"/>
          <w:numId w:val="10"/>
        </w:numPr>
        <w:spacing w:before="0" w:after="160" w:line="280" w:lineRule="auto"/>
      </w:pPr>
      <w:r>
        <w:rPr>
          <w:rFonts w:ascii="Calibri" w:hAnsi="Calibri" w:eastAsia="Calibri"/>
          <w:color w:val="000000"/>
          <w:sz w:val="22"/>
        </w:rPr>
        <w:t>Removal record</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Managed software inventory coverage</w:t>
      </w:r>
    </w:p>
    <w:p>
      <w:pPr>
        <w:keepNext w:val="0"/>
        <w:keepLines w:val="0"/>
        <w:numPr>
          <w:ilvl w:val="0"/>
          <w:numId w:val="10"/>
        </w:numPr>
        <w:spacing w:before="0" w:after="160" w:line="280" w:lineRule="auto"/>
      </w:pPr>
      <w:r>
        <w:rPr>
          <w:rFonts w:ascii="Calibri" w:hAnsi="Calibri" w:eastAsia="Calibri"/>
          <w:color w:val="000000"/>
          <w:sz w:val="22"/>
        </w:rPr>
        <w:t>Unauthorized software findings</w:t>
      </w:r>
    </w:p>
    <w:p>
      <w:pPr>
        <w:keepNext w:val="0"/>
        <w:keepLines w:val="0"/>
        <w:numPr>
          <w:ilvl w:val="0"/>
          <w:numId w:val="10"/>
        </w:numPr>
        <w:spacing w:before="0" w:after="160" w:line="280" w:lineRule="auto"/>
      </w:pPr>
      <w:r>
        <w:rPr>
          <w:rFonts w:ascii="Calibri" w:hAnsi="Calibri" w:eastAsia="Calibri"/>
          <w:color w:val="000000"/>
          <w:sz w:val="22"/>
        </w:rPr>
        <w:t>Unsupported applications past due</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CM.L2-3.4.8, CM.L2-3.4.9; CM.L2-3.4.1 and CM.L2-3.4.2; SI.L1-3.14.1.</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800-218, Secure Software Development Framework: https://doi.org/10.6028/NIST.SP.800-218</w:t>
      </w:r>
    </w:p>
    <w:p>
      <w:pPr>
        <w:keepNext w:val="0"/>
        <w:keepLines w:val="0"/>
        <w:numPr>
          <w:ilvl w:val="0"/>
          <w:numId w:val="10"/>
        </w:numPr>
        <w:spacing w:before="0" w:after="160" w:line="280" w:lineRule="auto"/>
      </w:pPr>
      <w:r>
        <w:rPr>
          <w:rFonts w:ascii="Calibri" w:hAnsi="Calibri" w:eastAsia="Calibri"/>
          <w:color w:val="000000"/>
          <w:sz w:val="22"/>
        </w:rPr>
        <w:t>NIST SP 800-161 Rev. 1, Cybersecurity Supply Chain Risk Management: https://doi.org/10.6028/NIST.SP.800-161r1-upd1</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Installation and Execution Control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