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left"/>
        <w:tblLayout w:type="fixed"/>
        <w:tblLook w:firstColumn="1" w:firstRow="1" w:lastColumn="0" w:lastRow="0" w:noHBand="0" w:noVBand="1" w:val="04A0"/>
        <w:tblInd w:w="0" w:type="dxa"/>
      </w:tblPr>
      <w:tblGrid>
        <w:gridCol w:w="6480"/>
        <w:gridCol w:w="2880"/>
      </w:tblGrid>
      <w:tr>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b/>
                <w:color w:val="0B2545"/>
                <w:sz w:val="24"/>
              </w:rPr>
              <w:t>{{org.legal_name}}</w:t>
            </w:r>
          </w:p>
        </w:tc>
        <w:tc>
          <w:tcPr>
            <w:tcW w:type="dxa" w:w="2880"/>
            <w:vAlign w:val="center"/>
            <w:tcMar>
              <w:top w:w="80" w:type="dxa"/>
              <w:start w:w="120" w:type="dxa"/>
              <w:bottom w:w="80" w:type="dxa"/>
              <w:end w:w="120" w:type="dxa"/>
            </w:tcMar>
            <w:shd w:fill="F2F4F7" w:val="clear"/>
          </w:tcPr>
          <w:p>
            <w:pPr>
              <w:keepNext w:val="0"/>
              <w:keepLines w:val="0"/>
              <w:spacing w:before="0" w:after="0" w:line="240" w:lineRule="auto"/>
              <w:jc w:val="center"/>
            </w:pPr>
            <w:r>
              <w:rPr>
                <w:rFonts w:ascii="Calibri" w:hAnsi="Calibri" w:eastAsia="Calibri"/>
                <w:b/>
                <w:color w:val="59636E"/>
                <w:sz w:val="18"/>
              </w:rPr>
              <w:t>{{org.logo}}</w:t>
            </w:r>
          </w:p>
        </w:tc>
      </w:tr>
    </w:tbl>
    <w:p>
      <w:pPr>
        <w:keepNext w:val="0"/>
        <w:keepLines w:val="0"/>
        <w:spacing w:before="240" w:after="60" w:line="240" w:lineRule="auto"/>
      </w:pPr>
      <w:r>
        <w:rPr>
          <w:rFonts w:ascii="Calibri" w:hAnsi="Calibri" w:eastAsia="Calibri"/>
          <w:b/>
          <w:color w:val="2E74B5"/>
          <w:sz w:val="18"/>
        </w:rPr>
        <w:t>POLICY</w:t>
      </w:r>
    </w:p>
    <w:p>
      <w:pPr>
        <w:keepNext/>
        <w:keepLines w:val="0"/>
        <w:spacing w:before="0" w:after="100" w:line="240" w:lineRule="auto"/>
      </w:pPr>
      <w:r>
        <w:rPr>
          <w:rFonts w:ascii="Calibri" w:hAnsi="Calibri" w:eastAsia="Calibri"/>
          <w:b/>
          <w:color w:val="0B2545"/>
          <w:sz w:val="46"/>
        </w:rPr>
        <w:t>Technology Equipment Sanitization and Disposal Policy</w:t>
      </w:r>
    </w:p>
    <w:p>
      <w:pPr>
        <w:keepNext w:val="0"/>
        <w:keepLines w:val="0"/>
        <w:spacing w:before="0" w:after="280" w:line="240" w:lineRule="auto"/>
      </w:pPr>
      <w:r>
        <w:rPr>
          <w:rFonts w:ascii="Calibri" w:hAnsi="Calibri" w:eastAsia="Calibri"/>
          <w:i/>
          <w:color w:val="59636E"/>
          <w:sz w:val="20"/>
        </w:rPr>
        <w:t>{{doc.title}} — {{doc.template_key}} v{{doc.version}}</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440"/>
        <w:gridCol w:w="3240"/>
        <w:gridCol w:w="1440"/>
        <w:gridCol w:w="3240"/>
      </w:tblGrid>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Document ID</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{{doc.document_id}}</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Version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Policy Owner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{{doc.owner_name}}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Approver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Effective Date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{{doc.effective_date}}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Next Review</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{{doc.next_review_date}}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Classification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{{doc.classification}}</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Cycle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{{doc.review_cycle}}</w:t>
            </w:r>
          </w:p>
        </w:tc>
      </w:tr>
    </w:tbl>
    <w:p>
      <w:pPr>
        <w:pStyle w:val="Heading1"/>
        <w:keepNext/>
      </w:pPr>
      <w:r>
        <w:t>1. Purpose</w:t>
      </w:r>
    </w:p>
    <w:p>
      <w:pPr>
        <w:keepNext w:val="0"/>
        <w:keepLines w:val="0"/>
        <w:spacing w:before="0" w:after="120" w:line="264" w:lineRule="auto"/>
      </w:pPr>
      <w:r>
        <w:rPr>
          <w:rFonts w:ascii="Calibri" w:hAnsi="Calibri" w:eastAsia="Calibri"/>
          <w:color w:val="000000"/>
          <w:sz w:val="22"/>
        </w:rPr>
        <w:t>Prevent data disclosure and preserve accountability when technology equipment and media are reused, transferred, returned, sold, donated, recycled, or destroyed.</w:t>
      </w:r>
    </w:p>
    <w:p>
      <w:pPr>
        <w:pStyle w:val="Heading1"/>
        <w:keepNext/>
      </w:pPr>
      <w:r>
        <w:t>2. Scope and Applicability</w:t>
      </w:r>
    </w:p>
    <w:p>
      <w:pPr>
        <w:keepNext w:val="0"/>
        <w:keepLines w:val="0"/>
        <w:spacing w:before="0" w:after="120" w:line="264" w:lineRule="auto"/>
      </w:pPr>
      <w:r>
        <w:rPr>
          <w:rFonts w:ascii="Calibri" w:hAnsi="Calibri" w:eastAsia="Calibri"/>
          <w:color w:val="000000"/>
          <w:sz w:val="22"/>
        </w:rPr>
        <w:t>Applies to endpoints, servers, storage, network equipment, mobile devices, printers, appliances, embedded systems, removable media, backup media, and leased or vendor-owned equipment that may hold organizational data.</w:t>
      </w:r>
    </w:p>
    <w:p>
      <w:pPr>
        <w:pStyle w:val="Heading1"/>
        <w:keepNext/>
      </w:pPr>
      <w:r>
        <w:t>3. Policy Requirements</w:t>
      </w:r>
    </w:p>
    <w:p>
      <w:pPr>
        <w:keepNext w:val="0"/>
        <w:keepLines w:val="0"/>
        <w:numPr>
          <w:ilvl w:val="0"/>
          <w:numId w:val="10"/>
        </w:numPr>
        <w:spacing w:before="0" w:after="160" w:line="280" w:lineRule="auto"/>
      </w:pPr>
      <w:r>
        <w:rPr>
          <w:rFonts w:ascii="Calibri" w:hAnsi="Calibri" w:eastAsia="Calibri"/>
          <w:color w:val="000000"/>
          <w:sz w:val="22"/>
        </w:rPr>
        <w:t>Assets shall remain inventoried and under authorized custody until sanitization, transfer, or destruction is completed and recorded.</w:t>
      </w:r>
    </w:p>
    <w:p>
      <w:pPr>
        <w:keepNext w:val="0"/>
        <w:keepLines w:val="0"/>
        <w:numPr>
          <w:ilvl w:val="0"/>
          <w:numId w:val="10"/>
        </w:numPr>
        <w:spacing w:before="0" w:after="160" w:line="280" w:lineRule="auto"/>
      </w:pPr>
      <w:r>
        <w:rPr>
          <w:rFonts w:ascii="Calibri" w:hAnsi="Calibri" w:eastAsia="Calibri"/>
          <w:color w:val="000000"/>
          <w:sz w:val="22"/>
        </w:rPr>
        <w:t>The data owner or asset custodian shall identify data sensitivity, media type, intended disposition, legal hold, contractual restriction, and required sanitization outcome.</w:t>
      </w:r>
    </w:p>
    <w:p>
      <w:pPr>
        <w:keepNext w:val="0"/>
        <w:keepLines w:val="0"/>
        <w:numPr>
          <w:ilvl w:val="0"/>
          <w:numId w:val="10"/>
        </w:numPr>
        <w:spacing w:before="0" w:after="160" w:line="280" w:lineRule="auto"/>
      </w:pPr>
      <w:r>
        <w:rPr>
          <w:rFonts w:ascii="Calibri" w:hAnsi="Calibri" w:eastAsia="Calibri"/>
          <w:color w:val="000000"/>
          <w:sz w:val="22"/>
        </w:rPr>
        <w:t>Sanitization shall use an approved clear, purge, or destroy method appropriate to the media, data sensitivity, reuse decision, and threat; simple deletion or reformatting is not sufficient unless the approved method specifically permits it.</w:t>
      </w:r>
    </w:p>
    <w:p>
      <w:pPr>
        <w:keepNext w:val="0"/>
        <w:keepLines w:val="0"/>
        <w:numPr>
          <w:ilvl w:val="0"/>
          <w:numId w:val="10"/>
        </w:numPr>
        <w:spacing w:before="0" w:after="160" w:line="280" w:lineRule="auto"/>
      </w:pPr>
      <w:r>
        <w:rPr>
          <w:rFonts w:ascii="Calibri" w:hAnsi="Calibri" w:eastAsia="Calibri"/>
          <w:color w:val="000000"/>
          <w:sz w:val="22"/>
        </w:rPr>
        <w:t>Cryptographic erase may be used only when encryption and key lifecycle conditions support a defensible sanitization result.</w:t>
      </w:r>
    </w:p>
    <w:p>
      <w:pPr>
        <w:keepNext w:val="0"/>
        <w:keepLines w:val="0"/>
        <w:numPr>
          <w:ilvl w:val="0"/>
          <w:numId w:val="10"/>
        </w:numPr>
        <w:spacing w:before="0" w:after="160" w:line="280" w:lineRule="auto"/>
      </w:pPr>
      <w:r>
        <w:rPr>
          <w:rFonts w:ascii="Calibri" w:hAnsi="Calibri" w:eastAsia="Calibri"/>
          <w:color w:val="000000"/>
          <w:sz w:val="22"/>
        </w:rPr>
        <w:t>Personnel or vendors performing sanitization shall be authorized, trained, and subject to chain-of-custody and evidence requirements.</w:t>
      </w:r>
    </w:p>
    <w:p>
      <w:pPr>
        <w:keepNext w:val="0"/>
        <w:keepLines w:val="0"/>
        <w:numPr>
          <w:ilvl w:val="0"/>
          <w:numId w:val="10"/>
        </w:numPr>
        <w:spacing w:before="0" w:after="160" w:line="280" w:lineRule="auto"/>
      </w:pPr>
      <w:r>
        <w:rPr>
          <w:rFonts w:ascii="Calibri" w:hAnsi="Calibri" w:eastAsia="Calibri"/>
          <w:color w:val="000000"/>
          <w:sz w:val="22"/>
        </w:rPr>
        <w:t>Verification shall confirm successful sanitization or destruction; failed or unverifiable media shall receive a stronger method.</w:t>
      </w:r>
    </w:p>
    <w:p>
      <w:pPr>
        <w:keepNext w:val="0"/>
        <w:keepLines w:val="0"/>
        <w:numPr>
          <w:ilvl w:val="0"/>
          <w:numId w:val="10"/>
        </w:numPr>
        <w:spacing w:before="0" w:after="160" w:line="280" w:lineRule="auto"/>
      </w:pPr>
      <w:r>
        <w:rPr>
          <w:rFonts w:ascii="Calibri" w:hAnsi="Calibri" w:eastAsia="Calibri"/>
          <w:color w:val="000000"/>
          <w:sz w:val="22"/>
        </w:rPr>
        <w:t>Inventory, licenses, certificates, accounts, management enrollment, carrier service, and vendor access shall be updated or revoked before final release.</w:t>
      </w:r>
    </w:p>
    <w:p>
      <w:pPr>
        <w:pStyle w:val="Heading1"/>
        <w:keepNext/>
      </w:pPr>
      <w:r>
        <w:t>4. Roles and Responsibilities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Role</w:t>
            </w:r>
          </w:p>
        </w:tc>
        <w:tc>
          <w:tcPr>
            <w:tcW w:type="dxa" w:w="66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Responsibilities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Executive / Approving Authority</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Approve the document, allocate resources, and accept residual risk within delegated authority.</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Policy Owner</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Maintain requirements, coordinate implementation, review exceptions, and report performance.</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System and Service Owners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Implement requirements, maintain evidence, and correct deficiencies for assigned assets.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Security / Compliance</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Advise on safeguards, assess effectiveness, monitor risk, and support evidence review.</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Workforce Members and Third Parties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Follow approved procedures, protect access and information, and report suspected issues promptly.</w:t>
            </w:r>
          </w:p>
        </w:tc>
      </w:tr>
    </w:tbl>
    <w:p>
      <w:pPr>
        <w:pStyle w:val="Heading1"/>
        <w:keepNext/>
      </w:pPr>
      <w:r>
        <w:t>5. Required Procedures, Evidence, and Records</w:t>
      </w:r>
    </w:p>
    <w:p>
      <w:pPr>
        <w:keepNext w:val="0"/>
        <w:keepLines w:val="0"/>
        <w:spacing w:before="0" w:after="120" w:line="264" w:lineRule="auto"/>
      </w:pPr>
      <w:r>
        <w:rPr>
          <w:rFonts w:ascii="Calibri" w:hAnsi="Calibri" w:eastAsia="Calibri"/>
          <w:color w:val="000000"/>
          <w:sz w:val="22"/>
        </w:rPr>
        <w:t>The policy owner shall ensure the following artifacts are created, retained, protected, and made available to authorized reviewers for the period defined by {{implementation.retention_period}}:</w:t>
      </w:r>
    </w:p>
    <w:p>
      <w:pPr>
        <w:keepNext w:val="0"/>
        <w:keepLines w:val="0"/>
        <w:numPr>
          <w:ilvl w:val="0"/>
          <w:numId w:val="10"/>
        </w:numPr>
        <w:spacing w:before="0" w:after="160" w:line="280" w:lineRule="auto"/>
      </w:pPr>
      <w:r>
        <w:rPr>
          <w:rFonts w:ascii="Calibri" w:hAnsi="Calibri" w:eastAsia="Calibri"/>
          <w:color w:val="000000"/>
          <w:sz w:val="22"/>
        </w:rPr>
        <w:t>Disposition authorization</w:t>
      </w:r>
    </w:p>
    <w:p>
      <w:pPr>
        <w:keepNext w:val="0"/>
        <w:keepLines w:val="0"/>
        <w:numPr>
          <w:ilvl w:val="0"/>
          <w:numId w:val="10"/>
        </w:numPr>
        <w:spacing w:before="0" w:after="160" w:line="280" w:lineRule="auto"/>
      </w:pPr>
      <w:r>
        <w:rPr>
          <w:rFonts w:ascii="Calibri" w:hAnsi="Calibri" w:eastAsia="Calibri"/>
          <w:color w:val="000000"/>
          <w:sz w:val="22"/>
        </w:rPr>
        <w:t>Chain of custody</w:t>
      </w:r>
    </w:p>
    <w:p>
      <w:pPr>
        <w:keepNext w:val="0"/>
        <w:keepLines w:val="0"/>
        <w:numPr>
          <w:ilvl w:val="0"/>
          <w:numId w:val="10"/>
        </w:numPr>
        <w:spacing w:before="0" w:after="160" w:line="280" w:lineRule="auto"/>
      </w:pPr>
      <w:r>
        <w:rPr>
          <w:rFonts w:ascii="Calibri" w:hAnsi="Calibri" w:eastAsia="Calibri"/>
          <w:color w:val="000000"/>
          <w:sz w:val="22"/>
        </w:rPr>
        <w:t>Sanitization method and verification</w:t>
      </w:r>
    </w:p>
    <w:p>
      <w:pPr>
        <w:keepNext w:val="0"/>
        <w:keepLines w:val="0"/>
        <w:numPr>
          <w:ilvl w:val="0"/>
          <w:numId w:val="10"/>
        </w:numPr>
        <w:spacing w:before="0" w:after="160" w:line="280" w:lineRule="auto"/>
      </w:pPr>
      <w:r>
        <w:rPr>
          <w:rFonts w:ascii="Calibri" w:hAnsi="Calibri" w:eastAsia="Calibri"/>
          <w:color w:val="000000"/>
          <w:sz w:val="22"/>
        </w:rPr>
        <w:t>Certificate of destruction</w:t>
      </w:r>
    </w:p>
    <w:p>
      <w:pPr>
        <w:keepNext w:val="0"/>
        <w:keepLines w:val="0"/>
        <w:numPr>
          <w:ilvl w:val="0"/>
          <w:numId w:val="10"/>
        </w:numPr>
        <w:spacing w:before="0" w:after="160" w:line="280" w:lineRule="auto"/>
      </w:pPr>
      <w:r>
        <w:rPr>
          <w:rFonts w:ascii="Calibri" w:hAnsi="Calibri" w:eastAsia="Calibri"/>
          <w:color w:val="000000"/>
          <w:sz w:val="22"/>
        </w:rPr>
        <w:t>Asset inventory update</w:t>
      </w:r>
    </w:p>
    <w:p>
      <w:pPr>
        <w:keepNext w:val="0"/>
        <w:keepLines w:val="0"/>
        <w:numPr>
          <w:ilvl w:val="0"/>
          <w:numId w:val="10"/>
        </w:numPr>
        <w:spacing w:before="0" w:after="160" w:line="280" w:lineRule="auto"/>
      </w:pPr>
      <w:r>
        <w:rPr>
          <w:rFonts w:ascii="Calibri" w:hAnsi="Calibri" w:eastAsia="Calibri"/>
          <w:color w:val="000000"/>
          <w:sz w:val="22"/>
        </w:rPr>
        <w:t>Vendor due diligence</w:t>
      </w:r>
    </w:p>
    <w:p>
      <w:pPr>
        <w:keepNext w:val="0"/>
        <w:keepLines w:val="0"/>
        <w:numPr>
          <w:ilvl w:val="0"/>
          <w:numId w:val="10"/>
        </w:numPr>
        <w:spacing w:before="0" w:after="160" w:line="280" w:lineRule="auto"/>
      </w:pPr>
      <w:r>
        <w:rPr>
          <w:rFonts w:ascii="Calibri" w:hAnsi="Calibri" w:eastAsia="Calibri"/>
          <w:color w:val="000000"/>
          <w:sz w:val="22"/>
        </w:rPr>
        <w:t>Exception/failed-media handling</w:t>
      </w:r>
    </w:p>
    <w:p>
      <w:pPr>
        <w:pStyle w:val="Heading1"/>
        <w:keepNext/>
      </w:pPr>
      <w:r>
        <w:t>6. Monitoring and Review</w:t>
      </w:r>
    </w:p>
    <w:p>
      <w:pPr>
        <w:keepNext w:val="0"/>
        <w:keepLines w:val="0"/>
        <w:spacing w:before="0" w:after="120" w:line="264" w:lineRule="auto"/>
      </w:pPr>
      <w:r>
        <w:rPr>
          <w:rFonts w:ascii="Calibri" w:hAnsi="Calibri" w:eastAsia="Calibri"/>
          <w:color w:val="000000"/>
          <w:sz w:val="22"/>
        </w:rPr>
        <w:t>At minimum, the policy owner shall review the following indicators at {{implementation.defined_frequency}} and escalate material deficiencies:</w:t>
      </w:r>
    </w:p>
    <w:p>
      <w:pPr>
        <w:keepNext w:val="0"/>
        <w:keepLines w:val="0"/>
        <w:numPr>
          <w:ilvl w:val="0"/>
          <w:numId w:val="10"/>
        </w:numPr>
        <w:spacing w:before="0" w:after="160" w:line="280" w:lineRule="auto"/>
      </w:pPr>
      <w:r>
        <w:rPr>
          <w:rFonts w:ascii="Calibri" w:hAnsi="Calibri" w:eastAsia="Calibri"/>
          <w:color w:val="000000"/>
          <w:sz w:val="22"/>
        </w:rPr>
        <w:t>Disposed assets with complete evidence</w:t>
      </w:r>
    </w:p>
    <w:p>
      <w:pPr>
        <w:keepNext w:val="0"/>
        <w:keepLines w:val="0"/>
        <w:numPr>
          <w:ilvl w:val="0"/>
          <w:numId w:val="10"/>
        </w:numPr>
        <w:spacing w:before="0" w:after="160" w:line="280" w:lineRule="auto"/>
      </w:pPr>
      <w:r>
        <w:rPr>
          <w:rFonts w:ascii="Calibri" w:hAnsi="Calibri" w:eastAsia="Calibri"/>
          <w:color w:val="000000"/>
          <w:sz w:val="22"/>
        </w:rPr>
        <w:t>Assets awaiting sanitization</w:t>
      </w:r>
    </w:p>
    <w:p>
      <w:pPr>
        <w:keepNext w:val="0"/>
        <w:keepLines w:val="0"/>
        <w:numPr>
          <w:ilvl w:val="0"/>
          <w:numId w:val="10"/>
        </w:numPr>
        <w:spacing w:before="0" w:after="160" w:line="280" w:lineRule="auto"/>
      </w:pPr>
      <w:r>
        <w:rPr>
          <w:rFonts w:ascii="Calibri" w:hAnsi="Calibri" w:eastAsia="Calibri"/>
          <w:color w:val="000000"/>
          <w:sz w:val="22"/>
        </w:rPr>
        <w:t>Failed sanitization handled by stronger method</w:t>
      </w:r>
    </w:p>
    <w:p>
      <w:pPr>
        <w:keepNext w:val="0"/>
        <w:keepLines w:val="0"/>
        <w:spacing w:before="0" w:after="120" w:line="264" w:lineRule="auto"/>
      </w:pPr>
      <w:r>
        <w:rPr>
          <w:rFonts w:ascii="Calibri" w:hAnsi="Calibri" w:eastAsia="Calibri"/>
          <w:color w:val="000000"/>
          <w:sz w:val="22"/>
        </w:rPr>
        <w:t>This document shall be reviewed at least annually and after a material incident, legal or contractual change, control failure, technology change, or significant change to the system boundary or operating model.</w:t>
      </w:r>
    </w:p>
    <w:p>
      <w:pPr>
        <w:pStyle w:val="Heading1"/>
        <w:keepNext/>
      </w:pPr>
      <w:r>
        <w:t>7. Exceptions</w:t>
      </w:r>
    </w:p>
    <w:p>
      <w:pPr>
        <w:keepNext w:val="0"/>
        <w:keepLines w:val="0"/>
        <w:spacing w:before="0" w:after="120" w:line="264" w:lineRule="auto"/>
      </w:pPr>
      <w:r>
        <w:rPr>
          <w:rFonts w:ascii="Calibri" w:hAnsi="Calibri" w:eastAsia="Calibri"/>
          <w:color w:val="000000"/>
          <w:sz w:val="22"/>
        </w:rPr>
        <w:t>Exceptions require a written request identifying the affected scope, business need, risk, compensating safeguards, accountable owner, approval authority, start date, expiration date, and review cadence. Exceptions shall be tracked to expiration and do not transfer responsibility for applicable legal, contractual, or CMMC requirements.</w:t>
      </w:r>
    </w:p>
    <w:p>
      <w:pPr>
        <w:pStyle w:val="Heading1"/>
        <w:keepNext/>
      </w:pPr>
      <w:r>
        <w:t>8. Compliance and Enforcement</w:t>
      </w:r>
    </w:p>
    <w:p>
      <w:pPr>
        <w:keepNext w:val="0"/>
        <w:keepLines w:val="0"/>
        <w:spacing w:before="0" w:after="120" w:line="264" w:lineRule="auto"/>
      </w:pPr>
      <w:r>
        <w:rPr>
          <w:rFonts w:ascii="Calibri" w:hAnsi="Calibri" w:eastAsia="Calibri"/>
          <w:color w:val="000000"/>
          <w:sz w:val="22"/>
        </w:rPr>
        <w:t>Failure to comply may result in access restriction, corrective action, contract remedies, or disciplinary action consistent with law and organizational policy. Suspected violations shall be reported through {{implementation.reporting_channel}}. Compliance does not by itself establish certification; effectiveness must be demonstrated through implementation and evidence.</w:t>
      </w:r>
    </w:p>
    <w:p>
      <w:pPr>
        <w:pStyle w:val="Heading1"/>
        <w:keepNext/>
      </w:pPr>
      <w:r>
        <w:t>9. Organization Implementation Parameters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880"/>
        <w:gridCol w:w="6480"/>
      </w:tblGrid>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In-Scope Systems / Processes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{{scope.summary}} Boundary: {{scope.boundary}}. Included locations: {{scope.included_locations}}. Excluded locations: {{scope.excluded_locations}}. Systems: {{scope.systems}}. Data flow: {{scope.data_flow}}.</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Responsible Team</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{{implementation.responsible_team}}</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Required Procedures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{{implementation.procedure_location}}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Technology / Control Location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{{implementation.control_location}}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Evidence Repository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{{implementation.repository}}</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and Test Frequency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{{implementation.review_trigger}}</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Reporting Channel</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{{implementation.reporting_channel}}</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Records Retention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{{implementation.retention_period}}</w:t>
            </w:r>
          </w:p>
        </w:tc>
      </w:tr>
    </w:tbl>
    <w:p>
      <w:r>
        <w:br w:type="page"/>
      </w:r>
    </w:p>
    <w:p>
      <w:pPr>
        <w:pStyle w:val="Heading1"/>
        <w:keepNext/>
      </w:pPr>
      <w:r>
        <w:t>10. Control Alignment and Tailoring</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Suggested control alignment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CMMC: MP.L1-3.8.3; MP.L2-3.8.7 and MP.L2-3.8.9; CM records for decommissioning.</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Applicability decision</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Applicable unless the documented system scope and operating model support a formally approved Not Applicable determination.</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Tailoring requirement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The policy owner shall define organization-selected values, map system-specific procedures and evidence, and obtain approval before publication.</w:t>
            </w:r>
          </w:p>
        </w:tc>
      </w:tr>
    </w:tbl>
    <w:p>
      <w:pPr>
        <w:pStyle w:val="Heading1"/>
        <w:keepNext/>
      </w:pPr>
      <w:r>
        <w:t>11. References</w:t>
      </w:r>
    </w:p>
    <w:p>
      <w:pPr>
        <w:keepNext w:val="0"/>
        <w:keepLines w:val="0"/>
        <w:numPr>
          <w:ilvl w:val="0"/>
          <w:numId w:val="10"/>
        </w:numPr>
        <w:spacing w:before="0" w:after="160" w:line="280" w:lineRule="auto"/>
      </w:pPr>
      <w:r>
        <w:rPr>
          <w:rFonts w:ascii="Calibri" w:hAnsi="Calibri" w:eastAsia="Calibri"/>
          <w:color w:val="000000"/>
          <w:sz w:val="22"/>
        </w:rPr>
        <w:t>NIST SP 800-88 Rev. 2, Guidelines for Media Sanitization: https://doi.org/10.6028/NIST.SP.800-88r2</w:t>
      </w:r>
    </w:p>
    <w:p>
      <w:pPr>
        <w:keepNext w:val="0"/>
        <w:keepLines w:val="0"/>
        <w:numPr>
          <w:ilvl w:val="0"/>
          <w:numId w:val="10"/>
        </w:numPr>
        <w:spacing w:before="0" w:after="160" w:line="280" w:lineRule="auto"/>
      </w:pPr>
      <w:r>
        <w:rPr>
          <w:rFonts w:ascii="Calibri" w:hAnsi="Calibri" w:eastAsia="Calibri"/>
          <w:color w:val="000000"/>
          <w:sz w:val="22"/>
        </w:rPr>
        <w:t>NIST SP 800-171 Rev. 2, Protecting CUI in Nonfederal Systems: https://doi.org/10.6028/NIST.SP.800-171r2</w:t>
      </w:r>
    </w:p>
    <w:p>
      <w:pPr>
        <w:keepNext w:val="0"/>
        <w:keepLines w:val="0"/>
        <w:numPr>
          <w:ilvl w:val="0"/>
          <w:numId w:val="10"/>
        </w:numPr>
        <w:spacing w:before="0" w:after="160" w:line="280" w:lineRule="auto"/>
      </w:pPr>
      <w:r>
        <w:rPr>
          <w:rFonts w:ascii="Calibri" w:hAnsi="Calibri" w:eastAsia="Calibri"/>
          <w:color w:val="000000"/>
          <w:sz w:val="22"/>
        </w:rPr>
        <w:t>NIST SP 800-53 Rev. 5, Security and Privacy Controls: https://doi.org/10.6028/NIST.SP.800-53r5</w:t>
      </w:r>
    </w:p>
    <w:p>
      <w:pPr>
        <w:pStyle w:val="Heading1"/>
        <w:keepNext/>
      </w:pPr>
      <w:r>
        <w:t>12. Revision History</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260"/>
        <w:gridCol w:w="1800"/>
        <w:gridCol w:w="4500"/>
        <w:gridCol w:w="1800"/>
      </w:tblGrid>
      <w:tr>
        <w:tc>
          <w:tcPr>
            <w:tcW w:type="dxa" w:w="12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Version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c>
          <w:tcPr>
            <w:tcW w:type="dxa" w:w="45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Description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Author / Approver</w:t>
            </w:r>
          </w:p>
        </w:tc>
      </w:tr>
      <w:tr>
        <w:tc>
          <w:tcPr>
            <w:tcW w:type="dxa" w:w="12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{{revision.date}}</w:t>
            </w:r>
          </w:p>
        </w:tc>
        <w:tc>
          <w:tcPr>
            <w:tcW w:type="dxa" w:w="45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Initial approved issue / {{revision.summary}}</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{{revision.author}}</w:t>
            </w:r>
          </w:p>
        </w:tc>
      </w:tr>
    </w:tbl>
    <w:p>
      <w:pPr>
        <w:pStyle w:val="Heading1"/>
        <w:keepNext/>
      </w:pPr>
      <w:r>
        <w:t>13. Approval</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3960"/>
        <w:gridCol w:w="3000"/>
        <w:gridCol w:w="2400"/>
      </w:tblGrid>
      <w:tr>
        <w:tc>
          <w:tcPr>
            <w:tcW w:type="dxa" w:w="39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Name and Title</w:t>
            </w:r>
          </w:p>
        </w:tc>
        <w:tc>
          <w:tcPr>
            <w:tcW w:type="dxa" w:w="30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Signature / Approval Record</w:t>
            </w:r>
          </w:p>
        </w:tc>
        <w:tc>
          <w:tcPr>
            <w:tcW w:type="dxa" w:w="24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r>
      <w:tr>
        <w:tc>
          <w:tcPr>
            <w:tcW w:type="dxa" w:w="39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c>
          <w:tcPr>
            <w:tcW w:type="dxa" w:w="30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{{approval.record_id}}</w:t>
            </w:r>
          </w:p>
        </w:tc>
        <w:tc>
          <w:tcPr>
            <w:tcW w:type="dxa" w:w="24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{{approval.date}}</w:t>
            </w:r>
          </w:p>
        </w:tc>
      </w:tr>
    </w:tbl>
    <w:p>
      <w:pPr>
        <w:pStyle w:val="Heading1"/>
        <w:keepNext/>
      </w:pPr>
      <w:r>
        <w:t>14. Publication Checklist</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9360"/>
      </w:tblGrid>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All organization-selected values have been completed and verified.</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The owner, approver, effective date, review date, classification, and version are correct.</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Scope and any Not Applicable decision match the current SSP and assessment boundary.</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Required procedures, configurations, operational tests, and evidence locations have been validated.</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Approval is recorded and the controlled version is ready for publication and workforce communication.</w:t>
            </w:r>
          </w:p>
        </w:tc>
      </w:tr>
    </w:tbl>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line="240" w:lineRule="auto"/>
      <w:jc w:val="center"/>
    </w:pPr>
    <w:r>
      <w:rPr>
        <w:rFonts w:ascii="Calibri" w:hAnsi="Calibri" w:eastAsia="Calibri"/>
        <w:color w:val="59636E"/>
        <w:sz w:val="17"/>
      </w:rPr>
      <w:t xml:space="preserve">{{org.legal_name}}  |  {{doc.document_id}}  |  Version {{doc.version}}  |  Page 1 of 1</w:t>
    </w:r>
    <w:r>
      <w:rPr>
        <w:rFonts w:ascii="Calibri" w:hAnsi="Calibri" w:eastAsia="Calibri"/>
        <w:color w:val="59636E"/>
        <w:sz w:val="17"/>
      </w:rPr>
      <w:fldChar w:fldCharType="begin"/>
      <w:instrText xml:space="preserve"> PAGE </w:instrText>
      <w:fldChar w:fldCharType="separate"/>
      <w:t xml:space="preserve"/>
      <w:fldChar w:fldCharType="end"/>
    </w:r>
    <w:r>
      <w:rPr>
        <w:rFonts w:ascii="Calibri" w:hAnsi="Calibri" w:eastAsia="Calibri"/>
        <w:color w:val="59636E"/>
        <w:sz w:val="17"/>
      </w:rPr>
      <w:t xml:space="preserve"/>
    </w:r>
    <w:r>
      <w:rPr>
        <w:rFonts w:ascii="Calibri" w:hAnsi="Calibri" w:eastAsia="Calibri"/>
        <w:color w:val="59636E"/>
        <w:sz w:val="17"/>
      </w:rPr>
      <w:fldChar w:fldCharType="begin"/>
      <w:instrText xml:space="preserve"> NUMPAGES </w:instrText>
      <w:fldChar w:fldCharType="separate"/>
      <w:t xml:space="preserv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line="240" w:lineRule="auto"/>
      <w:jc w:val="left"/>
    </w:pPr>
    <w:r>
      <w:rPr>
        <w:rFonts w:ascii="Calibri" w:hAnsi="Calibri" w:eastAsia="Calibri"/>
        <w:b/>
        <w:color w:val="59636E"/>
        <w:sz w:val="17"/>
      </w:rPr>
      <w:t>{{org.legal_name}}  |  Policy  |  {{doc.document_id}}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Equipment Sanitization and Disposal Policy</dc:title>
  <dc:subject> cybersecurity policy template</dc:subject>
  <dc:creator/>
  <cp:keywords> policy template</cp:keywords>
  <dc:description>generated by python-docx</dc:description>
  <cp:lastModifiedBy/>
  <cp:revision>1</cp:revision>
  <dcterms:created xsi:type="dcterms:W3CDTF">2013-12-23T23:15:00Z</dcterms:created>
  <dcterms:modified xsi:type="dcterms:W3CDTF">2013-12-23T23:15:00Z</dcterms:modified>
  <cp:category/>
</cp:coreProperties>
</file>