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STANDARD</w:t>
      </w:r>
    </w:p>
    <w:p>
      <w:pPr>
        <w:keepNext/>
        <w:keepLines w:val="0"/>
        <w:spacing w:before="0" w:after="100" w:line="240" w:lineRule="auto"/>
      </w:pPr>
      <w:r>
        <w:rPr>
          <w:rFonts w:ascii="Calibri" w:hAnsi="Calibri" w:eastAsia="Calibri"/>
          <w:b/>
          <w:color w:val="0B2545"/>
          <w:sz w:val="46"/>
        </w:rPr>
        <w:t>Virtual Private Network Security Standard</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secure design, configuration, authorization, and monitoring requirements for virtual private network services.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user VPN, site-to-site VPN, cloud VPN, partner tunnels, remote-access gateways, and equivalent encrypted network-tunneling services.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VPN services shall be approved, inventoried, supported, and owned; unauthorized consumer or self-hosted tunneling services are prohibited.</w:t>
      </w:r>
    </w:p>
    <w:p>
      <w:pPr>
        <w:keepNext w:val="0"/>
        <w:keepLines w:val="0"/>
        <w:numPr>
          <w:ilvl w:val="0"/>
          <w:numId w:val="10"/>
        </w:numPr>
        <w:spacing w:before="0" w:after="160" w:line="280" w:lineRule="auto"/>
      </w:pPr>
      <w:r>
        <w:rPr>
          <w:rFonts w:ascii="Calibri" w:hAnsi="Calibri" w:eastAsia="Calibri"/>
          <w:color w:val="000000"/>
          <w:sz w:val="22"/>
        </w:rPr>
        <w:t>User VPN shall use unique identities, multifactor authentication, approved cryptography, managed clients, centralized policy, and logging.</w:t>
      </w:r>
    </w:p>
    <w:p>
      <w:pPr>
        <w:keepNext w:val="0"/>
        <w:keepLines w:val="0"/>
        <w:numPr>
          <w:ilvl w:val="0"/>
          <w:numId w:val="10"/>
        </w:numPr>
        <w:spacing w:before="0" w:after="160" w:line="280" w:lineRule="auto"/>
      </w:pPr>
      <w:r>
        <w:rPr>
          <w:rFonts w:ascii="Calibri" w:hAnsi="Calibri" w:eastAsia="Calibri"/>
          <w:color w:val="000000"/>
          <w:sz w:val="22"/>
        </w:rPr>
        <w:t>Access shall be limited to required applications and networks; broad routes, split tunneling, local network access, and persistent connection shall follow documented risk decisions.</w:t>
      </w:r>
    </w:p>
    <w:p>
      <w:pPr>
        <w:keepNext w:val="0"/>
        <w:keepLines w:val="0"/>
        <w:numPr>
          <w:ilvl w:val="0"/>
          <w:numId w:val="10"/>
        </w:numPr>
        <w:spacing w:before="0" w:after="160" w:line="280" w:lineRule="auto"/>
      </w:pPr>
      <w:r>
        <w:rPr>
          <w:rFonts w:ascii="Calibri" w:hAnsi="Calibri" w:eastAsia="Calibri"/>
          <w:color w:val="000000"/>
          <w:sz w:val="22"/>
        </w:rPr>
        <w:t>Site-to-site tunnels shall use approved peers, encryption, key or certificate management, narrow routes, monitoring, and periodic owner reconfirmation.</w:t>
      </w:r>
    </w:p>
    <w:p>
      <w:pPr>
        <w:keepNext w:val="0"/>
        <w:keepLines w:val="0"/>
        <w:numPr>
          <w:ilvl w:val="0"/>
          <w:numId w:val="10"/>
        </w:numPr>
        <w:spacing w:before="0" w:after="160" w:line="280" w:lineRule="auto"/>
      </w:pPr>
      <w:r>
        <w:rPr>
          <w:rFonts w:ascii="Calibri" w:hAnsi="Calibri" w:eastAsia="Calibri"/>
          <w:color w:val="000000"/>
          <w:sz w:val="22"/>
        </w:rPr>
        <w:t>Administrative access through VPN shall use separate privileged controls and shall not rely on VPN connectivity alone as authorization.</w:t>
      </w:r>
    </w:p>
    <w:p>
      <w:pPr>
        <w:keepNext w:val="0"/>
        <w:keepLines w:val="0"/>
        <w:numPr>
          <w:ilvl w:val="0"/>
          <w:numId w:val="10"/>
        </w:numPr>
        <w:spacing w:before="0" w:after="160" w:line="280" w:lineRule="auto"/>
      </w:pPr>
      <w:r>
        <w:rPr>
          <w:rFonts w:ascii="Calibri" w:hAnsi="Calibri" w:eastAsia="Calibri"/>
          <w:color w:val="000000"/>
          <w:sz w:val="22"/>
        </w:rPr>
        <w:t>Gateways and clients shall be patched, hardened, capacity-monitored, protected against brute force and denial of service, and included in vulnerability management.</w:t>
      </w:r>
    </w:p>
    <w:p>
      <w:pPr>
        <w:keepNext w:val="0"/>
        <w:keepLines w:val="0"/>
        <w:numPr>
          <w:ilvl w:val="0"/>
          <w:numId w:val="10"/>
        </w:numPr>
        <w:spacing w:before="0" w:after="160" w:line="280" w:lineRule="auto"/>
      </w:pPr>
      <w:r>
        <w:rPr>
          <w:rFonts w:ascii="Calibri" w:hAnsi="Calibri" w:eastAsia="Calibri"/>
          <w:color w:val="000000"/>
          <w:sz w:val="22"/>
        </w:rPr>
        <w:t>Dormant users, expired partners, obsolete tunnels, certificates, shared secrets, and unused routes shall be removed promptly.</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VPN inventory and architecture</w:t>
      </w:r>
    </w:p>
    <w:p>
      <w:pPr>
        <w:keepNext w:val="0"/>
        <w:keepLines w:val="0"/>
        <w:numPr>
          <w:ilvl w:val="0"/>
          <w:numId w:val="10"/>
        </w:numPr>
        <w:spacing w:before="0" w:after="160" w:line="280" w:lineRule="auto"/>
      </w:pPr>
      <w:r>
        <w:rPr>
          <w:rFonts w:ascii="Calibri" w:hAnsi="Calibri" w:eastAsia="Calibri"/>
          <w:color w:val="000000"/>
          <w:sz w:val="22"/>
        </w:rPr>
        <w:t>Cryptographic/configuration standard</w:t>
      </w:r>
    </w:p>
    <w:p>
      <w:pPr>
        <w:keepNext w:val="0"/>
        <w:keepLines w:val="0"/>
        <w:numPr>
          <w:ilvl w:val="0"/>
          <w:numId w:val="10"/>
        </w:numPr>
        <w:spacing w:before="0" w:after="160" w:line="280" w:lineRule="auto"/>
      </w:pPr>
      <w:r>
        <w:rPr>
          <w:rFonts w:ascii="Calibri" w:hAnsi="Calibri" w:eastAsia="Calibri"/>
          <w:color w:val="000000"/>
          <w:sz w:val="22"/>
        </w:rPr>
        <w:t>User and tunnel authorization</w:t>
      </w:r>
    </w:p>
    <w:p>
      <w:pPr>
        <w:keepNext w:val="0"/>
        <w:keepLines w:val="0"/>
        <w:numPr>
          <w:ilvl w:val="0"/>
          <w:numId w:val="10"/>
        </w:numPr>
        <w:spacing w:before="0" w:after="160" w:line="280" w:lineRule="auto"/>
      </w:pPr>
      <w:r>
        <w:rPr>
          <w:rFonts w:ascii="Calibri" w:hAnsi="Calibri" w:eastAsia="Calibri"/>
          <w:color w:val="000000"/>
          <w:sz w:val="22"/>
        </w:rPr>
        <w:t>MFA/device posture evidence</w:t>
      </w:r>
    </w:p>
    <w:p>
      <w:pPr>
        <w:keepNext w:val="0"/>
        <w:keepLines w:val="0"/>
        <w:numPr>
          <w:ilvl w:val="0"/>
          <w:numId w:val="10"/>
        </w:numPr>
        <w:spacing w:before="0" w:after="160" w:line="280" w:lineRule="auto"/>
      </w:pPr>
      <w:r>
        <w:rPr>
          <w:rFonts w:ascii="Calibri" w:hAnsi="Calibri" w:eastAsia="Calibri"/>
          <w:color w:val="000000"/>
          <w:sz w:val="22"/>
        </w:rPr>
        <w:t>Route and split-tunnel decision</w:t>
      </w:r>
    </w:p>
    <w:p>
      <w:pPr>
        <w:keepNext w:val="0"/>
        <w:keepLines w:val="0"/>
        <w:numPr>
          <w:ilvl w:val="0"/>
          <w:numId w:val="10"/>
        </w:numPr>
        <w:spacing w:before="0" w:after="160" w:line="280" w:lineRule="auto"/>
      </w:pPr>
      <w:r>
        <w:rPr>
          <w:rFonts w:ascii="Calibri" w:hAnsi="Calibri" w:eastAsia="Calibri"/>
          <w:color w:val="000000"/>
          <w:sz w:val="22"/>
        </w:rPr>
        <w:t>Session/alert logs</w:t>
      </w:r>
    </w:p>
    <w:p>
      <w:pPr>
        <w:keepNext w:val="0"/>
        <w:keepLines w:val="0"/>
        <w:numPr>
          <w:ilvl w:val="0"/>
          <w:numId w:val="10"/>
        </w:numPr>
        <w:spacing w:before="0" w:after="160" w:line="280" w:lineRule="auto"/>
      </w:pPr>
      <w:r>
        <w:rPr>
          <w:rFonts w:ascii="Calibri" w:hAnsi="Calibri" w:eastAsia="Calibri"/>
          <w:color w:val="000000"/>
          <w:sz w:val="22"/>
        </w:rPr>
        <w:t>Access/tunnel review</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VPN access protected by MFA</w:t>
      </w:r>
    </w:p>
    <w:p>
      <w:pPr>
        <w:keepNext w:val="0"/>
        <w:keepLines w:val="0"/>
        <w:numPr>
          <w:ilvl w:val="0"/>
          <w:numId w:val="10"/>
        </w:numPr>
        <w:spacing w:before="0" w:after="160" w:line="280" w:lineRule="auto"/>
      </w:pPr>
      <w:r>
        <w:rPr>
          <w:rFonts w:ascii="Calibri" w:hAnsi="Calibri" w:eastAsia="Calibri"/>
          <w:color w:val="000000"/>
          <w:sz w:val="22"/>
        </w:rPr>
        <w:t>Tunnels with current owner and review</w:t>
      </w:r>
    </w:p>
    <w:p>
      <w:pPr>
        <w:keepNext w:val="0"/>
        <w:keepLines w:val="0"/>
        <w:numPr>
          <w:ilvl w:val="0"/>
          <w:numId w:val="10"/>
        </w:numPr>
        <w:spacing w:before="0" w:after="160" w:line="280" w:lineRule="auto"/>
      </w:pPr>
      <w:r>
        <w:rPr>
          <w:rFonts w:ascii="Calibri" w:hAnsi="Calibri" w:eastAsia="Calibri"/>
          <w:color w:val="000000"/>
          <w:sz w:val="22"/>
        </w:rPr>
        <w:t>Dormant VPN access removed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AC.L2-3.1.12 through AC.L2-3.1.15; SC.L2-3.13.8, SC.L2-3.13.11; IA.L2-3.5.3.</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800-175B Rev. 1, Guideline for Cryptographic Standards and Key Management: https://doi.org/10.6028/NIST.SP.800-175Br1</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Standard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Private Network Security Standard</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