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jc w:val="left"/>
        <w:tblLayout w:type="fixed"/>
        <w:tblLook w:firstColumn="1" w:firstRow="1" w:lastColumn="0" w:lastRow="0" w:noHBand="0" w:noVBand="1" w:val="04A0"/>
        <w:tblInd w:w="0" w:type="dxa"/>
      </w:tblPr>
      <w:tblGrid>
        <w:gridCol w:w="6480"/>
        <w:gridCol w:w="2880"/>
      </w:tblGrid>
      <w:tr>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b/>
                <w:color w:val="0B2545"/>
                <w:sz w:val="24"/>
              </w:rPr>
              <w:t>{{org.legal_name}}</w:t>
            </w:r>
          </w:p>
        </w:tc>
        <w:tc>
          <w:tcPr>
            <w:tcW w:type="dxa" w:w="2880"/>
            <w:vAlign w:val="center"/>
            <w:tcMar>
              <w:top w:w="80" w:type="dxa"/>
              <w:start w:w="120" w:type="dxa"/>
              <w:bottom w:w="80" w:type="dxa"/>
              <w:end w:w="120" w:type="dxa"/>
            </w:tcMar>
            <w:shd w:fill="F2F4F7" w:val="clear"/>
          </w:tcPr>
          <w:p>
            <w:pPr>
              <w:keepNext w:val="0"/>
              <w:keepLines w:val="0"/>
              <w:spacing w:before="0" w:after="0" w:line="240" w:lineRule="auto"/>
              <w:jc w:val="center"/>
            </w:pPr>
            <w:r>
              <w:rPr>
                <w:rFonts w:ascii="Calibri" w:hAnsi="Calibri" w:eastAsia="Calibri"/>
                <w:b/>
                <w:color w:val="59636E"/>
                <w:sz w:val="18"/>
              </w:rPr>
              <w:t>{{org.logo}}</w:t>
            </w:r>
          </w:p>
        </w:tc>
      </w:tr>
    </w:tbl>
    <w:p>
      <w:pPr>
        <w:keepNext w:val="0"/>
        <w:keepLines w:val="0"/>
        <w:spacing w:before="240" w:after="60" w:line="240" w:lineRule="auto"/>
      </w:pPr>
      <w:r>
        <w:rPr>
          <w:rFonts w:ascii="Calibri" w:hAnsi="Calibri" w:eastAsia="Calibri"/>
          <w:b/>
          <w:color w:val="2E74B5"/>
          <w:sz w:val="18"/>
        </w:rPr>
        <w:t>POLICY</w:t>
      </w:r>
    </w:p>
    <w:p>
      <w:pPr>
        <w:keepNext/>
        <w:keepLines w:val="0"/>
        <w:spacing w:before="0" w:after="100" w:line="240" w:lineRule="auto"/>
      </w:pPr>
      <w:r>
        <w:rPr>
          <w:rFonts w:ascii="Calibri" w:hAnsi="Calibri" w:eastAsia="Calibri"/>
          <w:b/>
          <w:color w:val="0B2545"/>
          <w:sz w:val="46"/>
        </w:rPr>
        <w:t>Web Application Security Policy</w:t>
      </w:r>
    </w:p>
    <w:p>
      <w:pPr>
        <w:keepNext w:val="0"/>
        <w:keepLines w:val="0"/>
        <w:spacing w:before="0" w:after="280" w:line="240" w:lineRule="auto"/>
      </w:pPr>
      <w:r>
        <w:rPr>
          <w:rFonts w:ascii="Calibri" w:hAnsi="Calibri" w:eastAsia="Calibri"/>
          <w:i/>
          <w:color w:val="59636E"/>
          <w:sz w:val="20"/>
        </w:rPr>
        <w:t>{{doc.title}} — {{doc.template_key}} v{{doc.version}}</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1440"/>
        <w:gridCol w:w="3240"/>
        <w:gridCol w:w="1440"/>
        <w:gridCol w:w="3240"/>
      </w:tblGrid>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Document ID</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{{doc.document_id}}</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Version</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{{doc.version}}</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Policy Owner</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{{doc.owner_name}}</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Approver</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{{doc.approver_name}}</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Effective Date</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{{doc.effective_date}}</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Next Review</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{{doc.next_review_date}}</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Classification</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{{doc.classification}}</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Review Cycle</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{{doc.review_cycle}}</w:t>
            </w:r>
          </w:p>
        </w:tc>
      </w:tr>
    </w:tbl>
    <w:p>
      <w:pPr>
        <w:pStyle w:val="Heading1"/>
        <w:keepNext/>
      </w:pPr>
      <w:r>
        <w:t>1. Purpose</w:t>
      </w:r>
    </w:p>
    <w:p>
      <w:pPr>
        <w:keepNext w:val="0"/>
        <w:keepLines w:val="0"/>
        <w:spacing w:before="0" w:after="120" w:line="264" w:lineRule="auto"/>
      </w:pPr>
      <w:r>
        <w:rPr>
          <w:rFonts w:ascii="Calibri" w:hAnsi="Calibri" w:eastAsia="Calibri"/>
          <w:color w:val="000000"/>
          <w:sz w:val="22"/>
        </w:rPr>
        <w:t>Integrate security into the design, development, acquisition, deployment, operation, and retirement of web applications and APIs.</w:t>
      </w:r>
    </w:p>
    <w:p>
      <w:pPr>
        <w:pStyle w:val="Heading1"/>
        <w:keepNext/>
      </w:pPr>
      <w:r>
        <w:t>2. Scope and Applicability</w:t>
      </w:r>
    </w:p>
    <w:p>
      <w:pPr>
        <w:keepNext w:val="0"/>
        <w:keepLines w:val="0"/>
        <w:spacing w:before="0" w:after="120" w:line="264" w:lineRule="auto"/>
      </w:pPr>
      <w:r>
        <w:rPr>
          <w:rFonts w:ascii="Calibri" w:hAnsi="Calibri" w:eastAsia="Calibri"/>
          <w:color w:val="000000"/>
          <w:sz w:val="22"/>
        </w:rPr>
        <w:t>Applies to public and internal web applications, APIs, portals, low-code applications, hosted platforms, custom integrations, and supporting components developed or operated by or for {{org.legal_name}}.</w:t>
      </w:r>
    </w:p>
    <w:p>
      <w:pPr>
        <w:pStyle w:val="Heading1"/>
        <w:keepNext/>
      </w:pPr>
      <w:r>
        <w:t>3. Policy Requirements</w:t>
      </w:r>
    </w:p>
    <w:p>
      <w:pPr>
        <w:keepNext w:val="0"/>
        <w:keepLines w:val="0"/>
        <w:numPr>
          <w:ilvl w:val="0"/>
          <w:numId w:val="10"/>
        </w:numPr>
        <w:spacing w:before="0" w:after="160" w:line="280" w:lineRule="auto"/>
      </w:pPr>
      <w:r>
        <w:rPr>
          <w:rFonts w:ascii="Calibri" w:hAnsi="Calibri" w:eastAsia="Calibri"/>
          <w:color w:val="000000"/>
          <w:sz w:val="22"/>
        </w:rPr>
        <w:t>Applications shall have an owner, data classification, architecture and data-flow documentation, dependency inventory, environment separation, and documented security requirements.</w:t>
      </w:r>
    </w:p>
    <w:p>
      <w:pPr>
        <w:keepNext w:val="0"/>
        <w:keepLines w:val="0"/>
        <w:numPr>
          <w:ilvl w:val="0"/>
          <w:numId w:val="10"/>
        </w:numPr>
        <w:spacing w:before="0" w:after="160" w:line="280" w:lineRule="auto"/>
      </w:pPr>
      <w:r>
        <w:rPr>
          <w:rFonts w:ascii="Calibri" w:hAnsi="Calibri" w:eastAsia="Calibri"/>
          <w:color w:val="000000"/>
          <w:sz w:val="22"/>
        </w:rPr>
        <w:t>Development shall use approved repositories, peer review, protected branches, secret scanning, dependency management, automated security testing, and controlled build/release pipelines.</w:t>
      </w:r>
    </w:p>
    <w:p>
      <w:pPr>
        <w:keepNext w:val="0"/>
        <w:keepLines w:val="0"/>
        <w:numPr>
          <w:ilvl w:val="0"/>
          <w:numId w:val="10"/>
        </w:numPr>
        <w:spacing w:before="0" w:after="160" w:line="280" w:lineRule="auto"/>
      </w:pPr>
      <w:r>
        <w:rPr>
          <w:rFonts w:ascii="Calibri" w:hAnsi="Calibri" w:eastAsia="Calibri"/>
          <w:color w:val="000000"/>
          <w:sz w:val="22"/>
        </w:rPr>
        <w:t>Authentication, authorization, session management, input handling, output encoding, error handling, logging, cryptography, and file processing shall follow approved secure-design standards.</w:t>
      </w:r>
    </w:p>
    <w:p>
      <w:pPr>
        <w:keepNext w:val="0"/>
        <w:keepLines w:val="0"/>
        <w:numPr>
          <w:ilvl w:val="0"/>
          <w:numId w:val="10"/>
        </w:numPr>
        <w:spacing w:before="0" w:after="160" w:line="280" w:lineRule="auto"/>
      </w:pPr>
      <w:r>
        <w:rPr>
          <w:rFonts w:ascii="Calibri" w:hAnsi="Calibri" w:eastAsia="Calibri"/>
          <w:color w:val="000000"/>
          <w:sz w:val="22"/>
        </w:rPr>
        <w:t>Secrets shall not be embedded in source, client code, images, or configuration repositories and shall be managed through approved services.</w:t>
      </w:r>
    </w:p>
    <w:p>
      <w:pPr>
        <w:keepNext w:val="0"/>
        <w:keepLines w:val="0"/>
        <w:numPr>
          <w:ilvl w:val="0"/>
          <w:numId w:val="10"/>
        </w:numPr>
        <w:spacing w:before="0" w:after="160" w:line="280" w:lineRule="auto"/>
      </w:pPr>
      <w:r>
        <w:rPr>
          <w:rFonts w:ascii="Calibri" w:hAnsi="Calibri" w:eastAsia="Calibri"/>
          <w:color w:val="000000"/>
          <w:sz w:val="22"/>
        </w:rPr>
        <w:t>Internet-facing and high-risk applications shall receive threat modeling and independent security testing before release and at a risk-defined frequency.</w:t>
      </w:r>
    </w:p>
    <w:p>
      <w:pPr>
        <w:keepNext w:val="0"/>
        <w:keepLines w:val="0"/>
        <w:numPr>
          <w:ilvl w:val="0"/>
          <w:numId w:val="10"/>
        </w:numPr>
        <w:spacing w:before="0" w:after="160" w:line="280" w:lineRule="auto"/>
      </w:pPr>
      <w:r>
        <w:rPr>
          <w:rFonts w:ascii="Calibri" w:hAnsi="Calibri" w:eastAsia="Calibri"/>
          <w:color w:val="000000"/>
          <w:sz w:val="22"/>
        </w:rPr>
        <w:t>Vulnerabilities shall be risk-ranked, assigned, remediated within defined timelines, retested, and prevented from reintroduction where feasible.</w:t>
      </w:r>
    </w:p>
    <w:p>
      <w:pPr>
        <w:keepNext w:val="0"/>
        <w:keepLines w:val="0"/>
        <w:numPr>
          <w:ilvl w:val="0"/>
          <w:numId w:val="10"/>
        </w:numPr>
        <w:spacing w:before="0" w:after="160" w:line="280" w:lineRule="auto"/>
      </w:pPr>
      <w:r>
        <w:rPr>
          <w:rFonts w:ascii="Calibri" w:hAnsi="Calibri" w:eastAsia="Calibri"/>
          <w:color w:val="000000"/>
          <w:sz w:val="22"/>
        </w:rPr>
        <w:t>Production changes, emergency fixes, third-party components, backups, monitoring, incident response, and retirement shall follow controlled lifecycle procedures.</w:t>
      </w:r>
    </w:p>
    <w:p>
      <w:pPr>
        <w:pStyle w:val="Heading1"/>
        <w:keepNext/>
      </w:pPr>
      <w:r>
        <w:t>4. Roles and Responsibilities</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700"/>
        <w:gridCol w:w="6660"/>
      </w:tblGrid>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Role</w:t>
            </w:r>
          </w:p>
        </w:tc>
        <w:tc>
          <w:tcPr>
            <w:tcW w:type="dxa" w:w="66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Responsibilities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Executive / Approving Authority</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Approve the document, allocate resources, and accept residual risk within delegated authority.</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Policy Owner</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Maintain requirements, coordinate implementation, review exceptions, and report performance.</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System and Service Owners</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Implement requirements, maintain evidence, and correct deficiencies for assigned assets.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Security / Compliance</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Advise on safeguards, assess effectiveness, monitor risk, and support evidence review.</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Workforce Members and Third Parties</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Follow approved procedures, protect access and information, and report suspected issues promptly.</w:t>
            </w:r>
          </w:p>
        </w:tc>
      </w:tr>
    </w:tbl>
    <w:p>
      <w:pPr>
        <w:pStyle w:val="Heading1"/>
        <w:keepNext/>
      </w:pPr>
      <w:r>
        <w:t>5. Required Procedures, Evidence, and Records</w:t>
      </w:r>
    </w:p>
    <w:p>
      <w:pPr>
        <w:keepNext w:val="0"/>
        <w:keepLines w:val="0"/>
        <w:spacing w:before="0" w:after="120" w:line="264" w:lineRule="auto"/>
      </w:pPr>
      <w:r>
        <w:rPr>
          <w:rFonts w:ascii="Calibri" w:hAnsi="Calibri" w:eastAsia="Calibri"/>
          <w:color w:val="000000"/>
          <w:sz w:val="22"/>
        </w:rPr>
        <w:t>The policy owner shall ensure the following artifacts are created, retained, protected, and made available to authorized reviewers for the period defined by {{implementation.retention_period}}:</w:t>
      </w:r>
    </w:p>
    <w:p>
      <w:pPr>
        <w:keepNext w:val="0"/>
        <w:keepLines w:val="0"/>
        <w:numPr>
          <w:ilvl w:val="0"/>
          <w:numId w:val="10"/>
        </w:numPr>
        <w:spacing w:before="0" w:after="160" w:line="280" w:lineRule="auto"/>
      </w:pPr>
      <w:r>
        <w:rPr>
          <w:rFonts w:ascii="Calibri" w:hAnsi="Calibri" w:eastAsia="Calibri"/>
          <w:color w:val="000000"/>
          <w:sz w:val="22"/>
        </w:rPr>
        <w:t>Security requirements</w:t>
      </w:r>
    </w:p>
    <w:p>
      <w:pPr>
        <w:keepNext w:val="0"/>
        <w:keepLines w:val="0"/>
        <w:numPr>
          <w:ilvl w:val="0"/>
          <w:numId w:val="10"/>
        </w:numPr>
        <w:spacing w:before="0" w:after="160" w:line="280" w:lineRule="auto"/>
      </w:pPr>
      <w:r>
        <w:rPr>
          <w:rFonts w:ascii="Calibri" w:hAnsi="Calibri" w:eastAsia="Calibri"/>
          <w:color w:val="000000"/>
          <w:sz w:val="22"/>
        </w:rPr>
        <w:t>Architecture/data-flow and threat model</w:t>
      </w:r>
    </w:p>
    <w:p>
      <w:pPr>
        <w:keepNext w:val="0"/>
        <w:keepLines w:val="0"/>
        <w:numPr>
          <w:ilvl w:val="0"/>
          <w:numId w:val="10"/>
        </w:numPr>
        <w:spacing w:before="0" w:after="160" w:line="280" w:lineRule="auto"/>
      </w:pPr>
      <w:r>
        <w:rPr>
          <w:rFonts w:ascii="Calibri" w:hAnsi="Calibri" w:eastAsia="Calibri"/>
          <w:color w:val="000000"/>
          <w:sz w:val="22"/>
        </w:rPr>
        <w:t>Code review and pipeline evidence</w:t>
      </w:r>
    </w:p>
    <w:p>
      <w:pPr>
        <w:keepNext w:val="0"/>
        <w:keepLines w:val="0"/>
        <w:numPr>
          <w:ilvl w:val="0"/>
          <w:numId w:val="10"/>
        </w:numPr>
        <w:spacing w:before="0" w:after="160" w:line="280" w:lineRule="auto"/>
      </w:pPr>
      <w:r>
        <w:rPr>
          <w:rFonts w:ascii="Calibri" w:hAnsi="Calibri" w:eastAsia="Calibri"/>
          <w:color w:val="000000"/>
          <w:sz w:val="22"/>
        </w:rPr>
        <w:t>Dependency/SBOM record</w:t>
      </w:r>
    </w:p>
    <w:p>
      <w:pPr>
        <w:keepNext w:val="0"/>
        <w:keepLines w:val="0"/>
        <w:numPr>
          <w:ilvl w:val="0"/>
          <w:numId w:val="10"/>
        </w:numPr>
        <w:spacing w:before="0" w:after="160" w:line="280" w:lineRule="auto"/>
      </w:pPr>
      <w:r>
        <w:rPr>
          <w:rFonts w:ascii="Calibri" w:hAnsi="Calibri" w:eastAsia="Calibri"/>
          <w:color w:val="000000"/>
          <w:sz w:val="22"/>
        </w:rPr>
        <w:t>Security test report</w:t>
      </w:r>
    </w:p>
    <w:p>
      <w:pPr>
        <w:keepNext w:val="0"/>
        <w:keepLines w:val="0"/>
        <w:numPr>
          <w:ilvl w:val="0"/>
          <w:numId w:val="10"/>
        </w:numPr>
        <w:spacing w:before="0" w:after="160" w:line="280" w:lineRule="auto"/>
      </w:pPr>
      <w:r>
        <w:rPr>
          <w:rFonts w:ascii="Calibri" w:hAnsi="Calibri" w:eastAsia="Calibri"/>
          <w:color w:val="000000"/>
          <w:sz w:val="22"/>
        </w:rPr>
        <w:t>Vulnerability remediation/retest</w:t>
      </w:r>
    </w:p>
    <w:p>
      <w:pPr>
        <w:keepNext w:val="0"/>
        <w:keepLines w:val="0"/>
        <w:numPr>
          <w:ilvl w:val="0"/>
          <w:numId w:val="10"/>
        </w:numPr>
        <w:spacing w:before="0" w:after="160" w:line="280" w:lineRule="auto"/>
      </w:pPr>
      <w:r>
        <w:rPr>
          <w:rFonts w:ascii="Calibri" w:hAnsi="Calibri" w:eastAsia="Calibri"/>
          <w:color w:val="000000"/>
          <w:sz w:val="22"/>
        </w:rPr>
        <w:t>Release and retirement approvals</w:t>
      </w:r>
    </w:p>
    <w:p>
      <w:pPr>
        <w:pStyle w:val="Heading1"/>
        <w:keepNext/>
      </w:pPr>
      <w:r>
        <w:t>6. Monitoring and Review</w:t>
      </w:r>
    </w:p>
    <w:p>
      <w:pPr>
        <w:keepNext w:val="0"/>
        <w:keepLines w:val="0"/>
        <w:spacing w:before="0" w:after="120" w:line="264" w:lineRule="auto"/>
      </w:pPr>
      <w:r>
        <w:rPr>
          <w:rFonts w:ascii="Calibri" w:hAnsi="Calibri" w:eastAsia="Calibri"/>
          <w:color w:val="000000"/>
          <w:sz w:val="22"/>
        </w:rPr>
        <w:t>At minimum, the policy owner shall review the following indicators at {{implementation.defined_frequency}} and escalate material deficiencies:</w:t>
      </w:r>
    </w:p>
    <w:p>
      <w:pPr>
        <w:keepNext w:val="0"/>
        <w:keepLines w:val="0"/>
        <w:numPr>
          <w:ilvl w:val="0"/>
          <w:numId w:val="10"/>
        </w:numPr>
        <w:spacing w:before="0" w:after="160" w:line="280" w:lineRule="auto"/>
      </w:pPr>
      <w:r>
        <w:rPr>
          <w:rFonts w:ascii="Calibri" w:hAnsi="Calibri" w:eastAsia="Calibri"/>
          <w:color w:val="000000"/>
          <w:sz w:val="22"/>
        </w:rPr>
        <w:t>Applications with documented security requirements</w:t>
      </w:r>
    </w:p>
    <w:p>
      <w:pPr>
        <w:keepNext w:val="0"/>
        <w:keepLines w:val="0"/>
        <w:numPr>
          <w:ilvl w:val="0"/>
          <w:numId w:val="10"/>
        </w:numPr>
        <w:spacing w:before="0" w:after="160" w:line="280" w:lineRule="auto"/>
      </w:pPr>
      <w:r>
        <w:rPr>
          <w:rFonts w:ascii="Calibri" w:hAnsi="Calibri" w:eastAsia="Calibri"/>
          <w:color w:val="000000"/>
          <w:sz w:val="22"/>
        </w:rPr>
        <w:t>Critical findings past due</w:t>
      </w:r>
    </w:p>
    <w:p>
      <w:pPr>
        <w:keepNext w:val="0"/>
        <w:keepLines w:val="0"/>
        <w:numPr>
          <w:ilvl w:val="0"/>
          <w:numId w:val="10"/>
        </w:numPr>
        <w:spacing w:before="0" w:after="160" w:line="280" w:lineRule="auto"/>
      </w:pPr>
      <w:r>
        <w:rPr>
          <w:rFonts w:ascii="Calibri" w:hAnsi="Calibri" w:eastAsia="Calibri"/>
          <w:color w:val="000000"/>
          <w:sz w:val="22"/>
        </w:rPr>
        <w:t>Production releases passing security gates</w:t>
      </w:r>
    </w:p>
    <w:p>
      <w:pPr>
        <w:keepNext w:val="0"/>
        <w:keepLines w:val="0"/>
        <w:spacing w:before="0" w:after="120" w:line="264" w:lineRule="auto"/>
      </w:pPr>
      <w:r>
        <w:rPr>
          <w:rFonts w:ascii="Calibri" w:hAnsi="Calibri" w:eastAsia="Calibri"/>
          <w:color w:val="000000"/>
          <w:sz w:val="22"/>
        </w:rPr>
        <w:t>This document shall be reviewed at least annually and after a material incident, legal or contractual change, control failure, technology change, or significant change to the system boundary or operating model.</w:t>
      </w:r>
    </w:p>
    <w:p>
      <w:pPr>
        <w:pStyle w:val="Heading1"/>
        <w:keepNext/>
      </w:pPr>
      <w:r>
        <w:t>7. Exceptions</w:t>
      </w:r>
    </w:p>
    <w:p>
      <w:pPr>
        <w:keepNext w:val="0"/>
        <w:keepLines w:val="0"/>
        <w:spacing w:before="0" w:after="120" w:line="264" w:lineRule="auto"/>
      </w:pPr>
      <w:r>
        <w:rPr>
          <w:rFonts w:ascii="Calibri" w:hAnsi="Calibri" w:eastAsia="Calibri"/>
          <w:color w:val="000000"/>
          <w:sz w:val="22"/>
        </w:rPr>
        <w:t>Exceptions require a written request identifying the affected scope, business need, risk, compensating safeguards, accountable owner, approval authority, start date, expiration date, and review cadence. Exceptions shall be tracked to expiration and do not transfer responsibility for applicable legal, contractual, or CMMC requirements.</w:t>
      </w:r>
    </w:p>
    <w:p>
      <w:pPr>
        <w:pStyle w:val="Heading1"/>
        <w:keepNext/>
      </w:pPr>
      <w:r>
        <w:t>8. Compliance and Enforcement</w:t>
      </w:r>
    </w:p>
    <w:p>
      <w:pPr>
        <w:keepNext w:val="0"/>
        <w:keepLines w:val="0"/>
        <w:spacing w:before="0" w:after="120" w:line="264" w:lineRule="auto"/>
      </w:pPr>
      <w:r>
        <w:rPr>
          <w:rFonts w:ascii="Calibri" w:hAnsi="Calibri" w:eastAsia="Calibri"/>
          <w:color w:val="000000"/>
          <w:sz w:val="22"/>
        </w:rPr>
        <w:t>Failure to comply may result in access restriction, corrective action, contract remedies, or disciplinary action consistent with law and organizational policy. Suspected violations shall be reported through {{implementation.reporting_channel}}. Compliance does not by itself establish certification; effectiveness must be demonstrated through implementation and evidence.</w:t>
      </w:r>
    </w:p>
    <w:p>
      <w:pPr>
        <w:pStyle w:val="Heading1"/>
        <w:keepNext/>
      </w:pPr>
      <w:r>
        <w:t>9. Organization Implementation Parameters</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880"/>
        <w:gridCol w:w="6480"/>
      </w:tblGrid>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In-Scope Systems / Processes</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{{scope.summary}} Boundary: {{scope.boundary}}. Included locations: {{scope.included_locations}}. Excluded locations: {{scope.excluded_locations}}. Systems: {{scope.systems}}. Data flow: {{scope.data_flow}}.</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Responsible Team</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{{implementation.responsible_team}}</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Required Procedures</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{{implementation.procedure_location}}</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Technology / Control Location</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{{implementation.control_location}}</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Evidence Repository</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{{implementation.repository}}</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Review and Test Frequency</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{{implementation.review_trigger}}</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Reporting Channel</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{{implementation.reporting_channel}}</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Records Retention</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{{implementation.retention_period}}</w:t>
            </w:r>
          </w:p>
        </w:tc>
      </w:tr>
    </w:tbl>
    <w:p>
      <w:r>
        <w:br w:type="page"/>
      </w:r>
    </w:p>
    <w:p>
      <w:pPr>
        <w:pStyle w:val="Heading1"/>
        <w:keepNext/>
      </w:pPr>
      <w:r>
        <w:t>10. Control Alignment and Tailoring</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700"/>
        <w:gridCol w:w="6660"/>
      </w:tblGrid>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Suggested control alignment</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CMMC: SI.L1-3.14.1; SI.L2-3.14.6 and SI.L2-3.14.7; RA.L2-3.11.2 and RA.L2-3.11.3; CM practices.</w:t>
            </w:r>
          </w:p>
        </w:tc>
      </w:tr>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Applicability decision</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Applicable unless the documented system scope and operating model support a formally approved Not Applicable determination.</w:t>
            </w:r>
          </w:p>
        </w:tc>
      </w:tr>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Tailoring requirement</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The policy owner shall define organization-selected values, map system-specific procedures and evidence, and obtain approval before publication.</w:t>
            </w:r>
          </w:p>
        </w:tc>
      </w:tr>
    </w:tbl>
    <w:p>
      <w:pPr>
        <w:pStyle w:val="Heading1"/>
        <w:keepNext/>
      </w:pPr>
      <w:r>
        <w:t>11. References</w:t>
      </w:r>
    </w:p>
    <w:p>
      <w:pPr>
        <w:keepNext w:val="0"/>
        <w:keepLines w:val="0"/>
        <w:numPr>
          <w:ilvl w:val="0"/>
          <w:numId w:val="10"/>
        </w:numPr>
        <w:spacing w:before="0" w:after="160" w:line="280" w:lineRule="auto"/>
      </w:pPr>
      <w:r>
        <w:rPr>
          <w:rFonts w:ascii="Calibri" w:hAnsi="Calibri" w:eastAsia="Calibri"/>
          <w:color w:val="000000"/>
          <w:sz w:val="22"/>
        </w:rPr>
        <w:t>NIST SP 800-218, Secure Software Development Framework: https://doi.org/10.6028/NIST.SP.800-218</w:t>
      </w:r>
    </w:p>
    <w:p>
      <w:pPr>
        <w:keepNext w:val="0"/>
        <w:keepLines w:val="0"/>
        <w:numPr>
          <w:ilvl w:val="0"/>
          <w:numId w:val="10"/>
        </w:numPr>
        <w:spacing w:before="0" w:after="160" w:line="280" w:lineRule="auto"/>
      </w:pPr>
      <w:r>
        <w:rPr>
          <w:rFonts w:ascii="Calibri" w:hAnsi="Calibri" w:eastAsia="Calibri"/>
          <w:color w:val="000000"/>
          <w:sz w:val="22"/>
        </w:rPr>
        <w:t>NIST SP 800-115, Technical Guide to Information Security Testing: https://doi.org/10.6028/NIST.SP.800-115</w:t>
      </w:r>
    </w:p>
    <w:p>
      <w:pPr>
        <w:keepNext w:val="0"/>
        <w:keepLines w:val="0"/>
        <w:numPr>
          <w:ilvl w:val="0"/>
          <w:numId w:val="10"/>
        </w:numPr>
        <w:spacing w:before="0" w:after="160" w:line="280" w:lineRule="auto"/>
      </w:pPr>
      <w:r>
        <w:rPr>
          <w:rFonts w:ascii="Calibri" w:hAnsi="Calibri" w:eastAsia="Calibri"/>
          <w:color w:val="000000"/>
          <w:sz w:val="22"/>
        </w:rPr>
        <w:t>NIST SP 800-53 Rev. 5, Security and Privacy Controls: https://doi.org/10.6028/NIST.SP.800-53r5</w:t>
      </w:r>
    </w:p>
    <w:p>
      <w:pPr>
        <w:keepNext w:val="0"/>
        <w:keepLines w:val="0"/>
        <w:numPr>
          <w:ilvl w:val="0"/>
          <w:numId w:val="10"/>
        </w:numPr>
        <w:spacing w:before="0" w:after="160" w:line="280" w:lineRule="auto"/>
      </w:pPr>
      <w:r>
        <w:rPr>
          <w:rFonts w:ascii="Calibri" w:hAnsi="Calibri" w:eastAsia="Calibri"/>
          <w:color w:val="000000"/>
          <w:sz w:val="22"/>
        </w:rPr>
        <w:t>NIST Cybersecurity Framework (CSF) 2.0: https://doi.org/10.6028/NIST.CSWP.29</w:t>
      </w:r>
    </w:p>
    <w:p>
      <w:pPr>
        <w:pStyle w:val="Heading1"/>
        <w:keepNext/>
      </w:pPr>
      <w:r>
        <w:t>12. Revision History</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1260"/>
        <w:gridCol w:w="1800"/>
        <w:gridCol w:w="4500"/>
        <w:gridCol w:w="1800"/>
      </w:tblGrid>
      <w:tr>
        <w:tc>
          <w:tcPr>
            <w:tcW w:type="dxa" w:w="12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Version</w:t>
            </w:r>
          </w:p>
        </w:tc>
        <w:tc>
          <w:tcPr>
            <w:tcW w:type="dxa" w:w="18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Date</w:t>
            </w:r>
          </w:p>
        </w:tc>
        <w:tc>
          <w:tcPr>
            <w:tcW w:type="dxa" w:w="45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Description</w:t>
            </w:r>
          </w:p>
        </w:tc>
        <w:tc>
          <w:tcPr>
            <w:tcW w:type="dxa" w:w="18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Author / Approver</w:t>
            </w:r>
          </w:p>
        </w:tc>
      </w:tr>
      <w:tr>
        <w:tc>
          <w:tcPr>
            <w:tcW w:type="dxa" w:w="12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{{doc.version}}</w:t>
            </w:r>
          </w:p>
        </w:tc>
        <w:tc>
          <w:tcPr>
            <w:tcW w:type="dxa" w:w="18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{{revision.date}}</w:t>
            </w:r>
          </w:p>
        </w:tc>
        <w:tc>
          <w:tcPr>
            <w:tcW w:type="dxa" w:w="45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Initial approved issue / {{revision.summary}}</w:t>
            </w:r>
          </w:p>
        </w:tc>
        <w:tc>
          <w:tcPr>
            <w:tcW w:type="dxa" w:w="18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{{revision.author}}</w:t>
            </w:r>
          </w:p>
        </w:tc>
      </w:tr>
    </w:tbl>
    <w:p>
      <w:pPr>
        <w:pStyle w:val="Heading1"/>
        <w:keepNext/>
      </w:pPr>
      <w:r>
        <w:t>13. Approval</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3960"/>
        <w:gridCol w:w="3000"/>
        <w:gridCol w:w="2400"/>
      </w:tblGrid>
      <w:tr>
        <w:tc>
          <w:tcPr>
            <w:tcW w:type="dxa" w:w="39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Name and Title</w:t>
            </w:r>
          </w:p>
        </w:tc>
        <w:tc>
          <w:tcPr>
            <w:tcW w:type="dxa" w:w="30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Signature / Approval Record</w:t>
            </w:r>
          </w:p>
        </w:tc>
        <w:tc>
          <w:tcPr>
            <w:tcW w:type="dxa" w:w="24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Date</w:t>
            </w:r>
          </w:p>
        </w:tc>
      </w:tr>
      <w:tr>
        <w:tc>
          <w:tcPr>
            <w:tcW w:type="dxa" w:w="39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{{doc.approver_name}}</w:t>
            </w:r>
          </w:p>
        </w:tc>
        <w:tc>
          <w:tcPr>
            <w:tcW w:type="dxa" w:w="30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{{approval.record_id}}</w:t>
            </w:r>
          </w:p>
        </w:tc>
        <w:tc>
          <w:tcPr>
            <w:tcW w:type="dxa" w:w="24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{{approval.date}}</w:t>
            </w:r>
          </w:p>
        </w:tc>
      </w:tr>
    </w:tbl>
    <w:p>
      <w:pPr>
        <w:pStyle w:val="Heading1"/>
        <w:keepNext/>
      </w:pPr>
      <w:r>
        <w:t>14. Publication Checklist</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9360"/>
      </w:tblGrid>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All organization-selected values have been completed and verified.</w:t>
            </w:r>
          </w:p>
        </w:tc>
      </w:tr>
      <w:tr>
        <w:tc>
          <w:tcPr>
            <w:tcW w:type="dxa" w:w="93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  The owner, approver, effective date, review date, classification, and version are correct.</w:t>
            </w:r>
          </w:p>
        </w:tc>
      </w:tr>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Scope and any Not Applicable decision match the current SSP and assessment boundary.</w:t>
            </w:r>
          </w:p>
        </w:tc>
      </w:tr>
      <w:tr>
        <w:tc>
          <w:tcPr>
            <w:tcW w:type="dxa" w:w="93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  Required procedures, configurations, operational tests, and evidence locations have been validated.</w:t>
            </w:r>
          </w:p>
        </w:tc>
      </w:tr>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Approval is recorded and the controlled version is ready for publication and workforce communication.</w:t>
            </w:r>
          </w:p>
        </w:tc>
      </w:tr>
    </w:tbl>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spacing w:before="0" w:after="0" w:line="240" w:lineRule="auto"/>
      <w:jc w:val="center"/>
    </w:pPr>
    <w:r>
      <w:rPr>
        <w:rFonts w:ascii="Calibri" w:hAnsi="Calibri" w:eastAsia="Calibri"/>
        <w:color w:val="59636E"/>
        <w:sz w:val="17"/>
      </w:rPr>
      <w:t xml:space="preserve">{{org.legal_name}}  |  {{doc.document_id}}  |  Version {{doc.version}}  |  Page 1 of 1</w:t>
    </w:r>
    <w:r>
      <w:rPr>
        <w:rFonts w:ascii="Calibri" w:hAnsi="Calibri" w:eastAsia="Calibri"/>
        <w:color w:val="59636E"/>
        <w:sz w:val="17"/>
      </w:rPr>
      <w:fldChar w:fldCharType="begin"/>
      <w:instrText xml:space="preserve"> PAGE </w:instrText>
      <w:fldChar w:fldCharType="separate"/>
      <w:t xml:space="preserve"/>
      <w:fldChar w:fldCharType="end"/>
    </w:r>
    <w:r>
      <w:rPr>
        <w:rFonts w:ascii="Calibri" w:hAnsi="Calibri" w:eastAsia="Calibri"/>
        <w:color w:val="59636E"/>
        <w:sz w:val="17"/>
      </w:rPr>
      <w:t xml:space="preserve"/>
    </w:r>
    <w:r>
      <w:rPr>
        <w:rFonts w:ascii="Calibri" w:hAnsi="Calibri" w:eastAsia="Calibri"/>
        <w:color w:val="59636E"/>
        <w:sz w:val="17"/>
      </w:rPr>
      <w:fldChar w:fldCharType="begin"/>
      <w:instrText xml:space="preserve"> NUMPAGES </w:instrText>
      <w:fldChar w:fldCharType="separate"/>
      <w:t xml:space="preserv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spacing w:before="0" w:after="0" w:line="240" w:lineRule="auto"/>
      <w:jc w:val="left"/>
    </w:pPr>
    <w:r>
      <w:rPr>
        <w:rFonts w:ascii="Calibri" w:hAnsi="Calibri" w:eastAsia="Calibri"/>
        <w:b/>
        <w:color w:val="59636E"/>
        <w:sz w:val="17"/>
      </w:rPr>
      <w:t>{{org.legal_name}}  |  Policy  |  {{doc.document_id}}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Application Security Policy</dc:title>
  <dc:subject> cybersecurity policy template</dc:subject>
  <dc:creator/>
  <cp:keywords> policy template</cp:keywords>
  <dc:description>generated by python-docx</dc:description>
  <cp:lastModifiedBy/>
  <cp:revision>1</cp:revision>
  <dcterms:created xsi:type="dcterms:W3CDTF">2013-12-23T23:15:00Z</dcterms:created>
  <dcterms:modified xsi:type="dcterms:W3CDTF">2013-12-23T23:15:00Z</dcterms:modified>
  <cp:category/>
</cp:coreProperties>
</file>