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Wireless Network Security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Authorize and control wireless technologies that connect to, extend, or operate near organizational systems and information.</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organization-controlled Wi-Fi, wireless access points, controllers, hotspots, guest networks, wireless bridges, and personnel or third parties deploying wireless connectivity for organizational use.</w:t>
      </w:r>
    </w:p>
    <w:p>
      <w:pPr>
        <w:keepNext w:val="0"/>
        <w:keepLines w:val="0"/>
        <w:spacing w:before="0" w:after="120" w:line="264" w:lineRule="auto"/>
      </w:pPr>
      <w:r>
        <w:rPr>
          <w:rFonts w:ascii="Calibri" w:hAnsi="Calibri" w:eastAsia="Calibri"/>
          <w:b/>
          <w:color w:val="000000"/>
          <w:sz w:val="22"/>
        </w:rPr>
        <w:t xml:space="preserve">Not Applicable path. </w:t>
      </w:r>
      <w:r>
        <w:rPr>
          <w:rFonts w:ascii="Calibri" w:hAnsi="Calibri" w:eastAsia="Calibri"/>
          <w:color w:val="000000"/>
          <w:sz w:val="22"/>
        </w:rPr>
        <w:t>If the assessment scope has no organization-controlled wireless networks or access points, document facility/remote-work facts, network inventory and discovery evidence, reviewer, date, and approval of Not Applicable status. Personal home wireless used only as an untrusted transport does not automatically make an organizational wireless control applicable; document the architecture and assessor rationale.</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Wireless networks and access points require written authorization, named ownership, approved purpose, inventory registration, and documented connection to the network boundary.</w:t>
      </w:r>
    </w:p>
    <w:p>
      <w:pPr>
        <w:keepNext w:val="0"/>
        <w:keepLines w:val="0"/>
        <w:numPr>
          <w:ilvl w:val="0"/>
          <w:numId w:val="10"/>
        </w:numPr>
        <w:spacing w:before="0" w:after="160" w:line="280" w:lineRule="auto"/>
      </w:pPr>
      <w:r>
        <w:rPr>
          <w:rFonts w:ascii="Calibri" w:hAnsi="Calibri" w:eastAsia="Calibri"/>
          <w:color w:val="000000"/>
          <w:sz w:val="22"/>
        </w:rPr>
        <w:t>Enterprise wireless shall use approved authentication and encryption; shared passwords shall be avoided for workforce access and changed promptly when exposure is suspected.</w:t>
      </w:r>
    </w:p>
    <w:p>
      <w:pPr>
        <w:keepNext w:val="0"/>
        <w:keepLines w:val="0"/>
        <w:numPr>
          <w:ilvl w:val="0"/>
          <w:numId w:val="10"/>
        </w:numPr>
        <w:spacing w:before="0" w:after="160" w:line="280" w:lineRule="auto"/>
      </w:pPr>
      <w:r>
        <w:rPr>
          <w:rFonts w:ascii="Calibri" w:hAnsi="Calibri" w:eastAsia="Calibri"/>
          <w:color w:val="000000"/>
          <w:sz w:val="22"/>
        </w:rPr>
        <w:t>Guest, personal-device, operational, and corporate wireless shall be segmented according to risk, with default-deny access to internal resources unless explicitly approved.</w:t>
      </w:r>
    </w:p>
    <w:p>
      <w:pPr>
        <w:keepNext w:val="0"/>
        <w:keepLines w:val="0"/>
        <w:numPr>
          <w:ilvl w:val="0"/>
          <w:numId w:val="10"/>
        </w:numPr>
        <w:spacing w:before="0" w:after="160" w:line="280" w:lineRule="auto"/>
      </w:pPr>
      <w:r>
        <w:rPr>
          <w:rFonts w:ascii="Calibri" w:hAnsi="Calibri" w:eastAsia="Calibri"/>
          <w:color w:val="000000"/>
          <w:sz w:val="22"/>
        </w:rPr>
        <w:t>Default SSIDs, credentials, management exposure, insecure setup methods, unnecessary services, and unsupported protocols shall be disabled.</w:t>
      </w:r>
    </w:p>
    <w:p>
      <w:pPr>
        <w:keepNext w:val="0"/>
        <w:keepLines w:val="0"/>
        <w:numPr>
          <w:ilvl w:val="0"/>
          <w:numId w:val="10"/>
        </w:numPr>
        <w:spacing w:before="0" w:after="160" w:line="280" w:lineRule="auto"/>
      </w:pPr>
      <w:r>
        <w:rPr>
          <w:rFonts w:ascii="Calibri" w:hAnsi="Calibri" w:eastAsia="Calibri"/>
          <w:color w:val="000000"/>
          <w:sz w:val="22"/>
        </w:rPr>
        <w:t>Administrative access shall use protected management paths, named accounts, multifactor authentication where supported, and logging.</w:t>
      </w:r>
    </w:p>
    <w:p>
      <w:pPr>
        <w:keepNext w:val="0"/>
        <w:keepLines w:val="0"/>
        <w:numPr>
          <w:ilvl w:val="0"/>
          <w:numId w:val="10"/>
        </w:numPr>
        <w:spacing w:before="0" w:after="160" w:line="280" w:lineRule="auto"/>
      </w:pPr>
      <w:r>
        <w:rPr>
          <w:rFonts w:ascii="Calibri" w:hAnsi="Calibri" w:eastAsia="Calibri"/>
          <w:color w:val="000000"/>
          <w:sz w:val="22"/>
        </w:rPr>
        <w:t>Security shall review controller inventory, authorized SSIDs and access points, rogue/unmatched devices, configuration, coverage, and relevant alerts at a defined frequency.</w:t>
      </w:r>
    </w:p>
    <w:p>
      <w:pPr>
        <w:keepNext w:val="0"/>
        <w:keepLines w:val="0"/>
        <w:numPr>
          <w:ilvl w:val="0"/>
          <w:numId w:val="10"/>
        </w:numPr>
        <w:spacing w:before="0" w:after="160" w:line="280" w:lineRule="auto"/>
      </w:pPr>
      <w:r>
        <w:rPr>
          <w:rFonts w:ascii="Calibri" w:hAnsi="Calibri" w:eastAsia="Calibri"/>
          <w:color w:val="000000"/>
          <w:sz w:val="22"/>
        </w:rPr>
        <w:t>Unauthorized hotspots, access points, bridges, and wireless extensions are prohibited and shall be reported and investigated.</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Wireless authorization and inventory</w:t>
      </w:r>
    </w:p>
    <w:p>
      <w:pPr>
        <w:keepNext w:val="0"/>
        <w:keepLines w:val="0"/>
        <w:numPr>
          <w:ilvl w:val="0"/>
          <w:numId w:val="10"/>
        </w:numPr>
        <w:spacing w:before="0" w:after="160" w:line="280" w:lineRule="auto"/>
      </w:pPr>
      <w:r>
        <w:rPr>
          <w:rFonts w:ascii="Calibri" w:hAnsi="Calibri" w:eastAsia="Calibri"/>
          <w:color w:val="000000"/>
          <w:sz w:val="22"/>
        </w:rPr>
        <w:t>Controller/SSID configuration</w:t>
      </w:r>
    </w:p>
    <w:p>
      <w:pPr>
        <w:keepNext w:val="0"/>
        <w:keepLines w:val="0"/>
        <w:numPr>
          <w:ilvl w:val="0"/>
          <w:numId w:val="10"/>
        </w:numPr>
        <w:spacing w:before="0" w:after="160" w:line="280" w:lineRule="auto"/>
      </w:pPr>
      <w:r>
        <w:rPr>
          <w:rFonts w:ascii="Calibri" w:hAnsi="Calibri" w:eastAsia="Calibri"/>
          <w:color w:val="000000"/>
          <w:sz w:val="22"/>
        </w:rPr>
        <w:t>Network segmentation evidence</w:t>
      </w:r>
    </w:p>
    <w:p>
      <w:pPr>
        <w:keepNext w:val="0"/>
        <w:keepLines w:val="0"/>
        <w:numPr>
          <w:ilvl w:val="0"/>
          <w:numId w:val="10"/>
        </w:numPr>
        <w:spacing w:before="0" w:after="160" w:line="280" w:lineRule="auto"/>
      </w:pPr>
      <w:r>
        <w:rPr>
          <w:rFonts w:ascii="Calibri" w:hAnsi="Calibri" w:eastAsia="Calibri"/>
          <w:color w:val="000000"/>
          <w:sz w:val="22"/>
        </w:rPr>
        <w:t>Administrative access review</w:t>
      </w:r>
    </w:p>
    <w:p>
      <w:pPr>
        <w:keepNext w:val="0"/>
        <w:keepLines w:val="0"/>
        <w:numPr>
          <w:ilvl w:val="0"/>
          <w:numId w:val="10"/>
        </w:numPr>
        <w:spacing w:before="0" w:after="160" w:line="280" w:lineRule="auto"/>
      </w:pPr>
      <w:r>
        <w:rPr>
          <w:rFonts w:ascii="Calibri" w:hAnsi="Calibri" w:eastAsia="Calibri"/>
          <w:color w:val="000000"/>
          <w:sz w:val="22"/>
        </w:rPr>
        <w:t>Rogue/unmatched AP review</w:t>
      </w:r>
    </w:p>
    <w:p>
      <w:pPr>
        <w:keepNext w:val="0"/>
        <w:keepLines w:val="0"/>
        <w:numPr>
          <w:ilvl w:val="0"/>
          <w:numId w:val="10"/>
        </w:numPr>
        <w:spacing w:before="0" w:after="160" w:line="280" w:lineRule="auto"/>
      </w:pPr>
      <w:r>
        <w:rPr>
          <w:rFonts w:ascii="Calibri" w:hAnsi="Calibri" w:eastAsia="Calibri"/>
          <w:color w:val="000000"/>
          <w:sz w:val="22"/>
        </w:rPr>
        <w:t>Guest access configuration</w:t>
      </w:r>
    </w:p>
    <w:p>
      <w:pPr>
        <w:keepNext w:val="0"/>
        <w:keepLines w:val="0"/>
        <w:numPr>
          <w:ilvl w:val="0"/>
          <w:numId w:val="10"/>
        </w:numPr>
        <w:spacing w:before="0" w:after="160" w:line="280" w:lineRule="auto"/>
      </w:pPr>
      <w:r>
        <w:rPr>
          <w:rFonts w:ascii="Calibri" w:hAnsi="Calibri" w:eastAsia="Calibri"/>
          <w:color w:val="000000"/>
          <w:sz w:val="22"/>
        </w:rPr>
        <w:t>Exception record</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Authorized APs matched to inventory</w:t>
      </w:r>
    </w:p>
    <w:p>
      <w:pPr>
        <w:keepNext w:val="0"/>
        <w:keepLines w:val="0"/>
        <w:numPr>
          <w:ilvl w:val="0"/>
          <w:numId w:val="10"/>
        </w:numPr>
        <w:spacing w:before="0" w:after="160" w:line="280" w:lineRule="auto"/>
      </w:pPr>
      <w:r>
        <w:rPr>
          <w:rFonts w:ascii="Calibri" w:hAnsi="Calibri" w:eastAsia="Calibri"/>
          <w:color w:val="000000"/>
          <w:sz w:val="22"/>
        </w:rPr>
        <w:t>Rogue/unmatched APs investigated</w:t>
      </w:r>
    </w:p>
    <w:p>
      <w:pPr>
        <w:keepNext w:val="0"/>
        <w:keepLines w:val="0"/>
        <w:numPr>
          <w:ilvl w:val="0"/>
          <w:numId w:val="10"/>
        </w:numPr>
        <w:spacing w:before="0" w:after="160" w:line="280" w:lineRule="auto"/>
      </w:pPr>
      <w:r>
        <w:rPr>
          <w:rFonts w:ascii="Calibri" w:hAnsi="Calibri" w:eastAsia="Calibri"/>
          <w:color w:val="000000"/>
          <w:sz w:val="22"/>
        </w:rPr>
        <w:t>Wireless reviews completed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AC.L2-3.1.16 and AC.L2-3.1.17; SC.L2-3.13.1 and SC.L2-3.13.5; CM baseline practices.</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If the assessment scope has no organization-controlled wireless networks or access points, document facility/remote-work facts, network inventory and discovery evidence, reviewer, date, and approval of Not Applicable status. Personal home wireless used only as an untrusted transport does not automatically make an organizational wireless control applicable; document the architecture and assessor rationale.</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Wireless Network Security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