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STANDARD</w:t>
      </w:r>
    </w:p>
    <w:p>
      <w:pPr>
        <w:keepNext/>
        <w:keepLines w:val="0"/>
        <w:spacing w:before="0" w:after="100" w:line="240" w:lineRule="auto"/>
      </w:pPr>
      <w:r>
        <w:rPr>
          <w:rFonts w:ascii="Calibri" w:hAnsi="Calibri" w:eastAsia="Calibri"/>
          <w:b/>
          <w:color w:val="0B2545"/>
          <w:sz w:val="46"/>
        </w:rPr>
        <w:t>Wireless Security Configuration Standard</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Define the technical baseline for authorized organization-controlled wireless networks and access points.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managed wireless controllers, access points, SSIDs, authentication services, guest services, bridges, and cloud-managed wireless platforms.</w:t>
      </w:r>
    </w:p>
    <w:p>
      <w:pPr>
        <w:keepNext w:val="0"/>
        <w:keepLines w:val="0"/>
        <w:spacing w:before="0" w:after="120" w:line="264" w:lineRule="auto"/>
      </w:pPr>
      <w:r>
        <w:rPr>
          <w:rFonts w:ascii="Calibri" w:hAnsi="Calibri" w:eastAsia="Calibri"/>
          <w:b/>
          <w:color w:val="000000"/>
          <w:sz w:val="22"/>
        </w:rPr>
        <w:t xml:space="preserve">Not Applicable path. </w:t>
      </w:r>
      <w:r>
        <w:rPr>
          <w:rFonts w:ascii="Calibri" w:hAnsi="Calibri" w:eastAsia="Calibri"/>
          <w:color w:val="000000"/>
          <w:sz w:val="22"/>
        </w:rPr>
        <w:t>If no organization-controlled wireless infrastructure exists in scope, preserve the evidence and approval supporting Not Applicable status instead of configuring an empty controller.</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Workforce wireless shall use centrally managed enterprise authentication and approved encryption; legacy and deprecated security modes shall be disabled.</w:t>
      </w:r>
    </w:p>
    <w:p>
      <w:pPr>
        <w:keepNext w:val="0"/>
        <w:keepLines w:val="0"/>
        <w:numPr>
          <w:ilvl w:val="0"/>
          <w:numId w:val="10"/>
        </w:numPr>
        <w:spacing w:before="0" w:after="160" w:line="280" w:lineRule="auto"/>
      </w:pPr>
      <w:r>
        <w:rPr>
          <w:rFonts w:ascii="Calibri" w:hAnsi="Calibri" w:eastAsia="Calibri"/>
          <w:color w:val="000000"/>
          <w:sz w:val="22"/>
        </w:rPr>
        <w:t>Management interfaces shall be reachable only from approved administrative networks or services and shall require named privileged identities and multifactor authentication where supported.</w:t>
      </w:r>
    </w:p>
    <w:p>
      <w:pPr>
        <w:keepNext w:val="0"/>
        <w:keepLines w:val="0"/>
        <w:numPr>
          <w:ilvl w:val="0"/>
          <w:numId w:val="10"/>
        </w:numPr>
        <w:spacing w:before="0" w:after="160" w:line="280" w:lineRule="auto"/>
      </w:pPr>
      <w:r>
        <w:rPr>
          <w:rFonts w:ascii="Calibri" w:hAnsi="Calibri" w:eastAsia="Calibri"/>
          <w:color w:val="000000"/>
          <w:sz w:val="22"/>
        </w:rPr>
        <w:t>Corporate, guest, personal-device, and operational SSIDs shall be separated by policy and network controls; client isolation shall be enabled where the use case requires it.</w:t>
      </w:r>
    </w:p>
    <w:p>
      <w:pPr>
        <w:keepNext w:val="0"/>
        <w:keepLines w:val="0"/>
        <w:numPr>
          <w:ilvl w:val="0"/>
          <w:numId w:val="10"/>
        </w:numPr>
        <w:spacing w:before="0" w:after="160" w:line="280" w:lineRule="auto"/>
      </w:pPr>
      <w:r>
        <w:rPr>
          <w:rFonts w:ascii="Calibri" w:hAnsi="Calibri" w:eastAsia="Calibri"/>
          <w:color w:val="000000"/>
          <w:sz w:val="22"/>
        </w:rPr>
        <w:t>Default credentials, vendor SSIDs, insecure setup features, unused radios/SSIDs, unnecessary layer-2 bridging, and direct internet management exposure shall be disabled.</w:t>
      </w:r>
    </w:p>
    <w:p>
      <w:pPr>
        <w:keepNext w:val="0"/>
        <w:keepLines w:val="0"/>
        <w:numPr>
          <w:ilvl w:val="0"/>
          <w:numId w:val="10"/>
        </w:numPr>
        <w:spacing w:before="0" w:after="160" w:line="280" w:lineRule="auto"/>
      </w:pPr>
      <w:r>
        <w:rPr>
          <w:rFonts w:ascii="Calibri" w:hAnsi="Calibri" w:eastAsia="Calibri"/>
          <w:color w:val="000000"/>
          <w:sz w:val="22"/>
        </w:rPr>
        <w:t>Access points shall receive supported firmware, secure time, logging, configuration backup, and vulnerability/advisory review.</w:t>
      </w:r>
    </w:p>
    <w:p>
      <w:pPr>
        <w:keepNext w:val="0"/>
        <w:keepLines w:val="0"/>
        <w:numPr>
          <w:ilvl w:val="0"/>
          <w:numId w:val="10"/>
        </w:numPr>
        <w:spacing w:before="0" w:after="160" w:line="280" w:lineRule="auto"/>
      </w:pPr>
      <w:r>
        <w:rPr>
          <w:rFonts w:ascii="Calibri" w:hAnsi="Calibri" w:eastAsia="Calibri"/>
          <w:color w:val="000000"/>
          <w:sz w:val="22"/>
        </w:rPr>
        <w:t>Rogue detection and periodic physical or wireless discovery shall compare observed devices with the authorized inventory and require investigation of unmatched devices.</w:t>
      </w:r>
    </w:p>
    <w:p>
      <w:pPr>
        <w:keepNext w:val="0"/>
        <w:keepLines w:val="0"/>
        <w:numPr>
          <w:ilvl w:val="0"/>
          <w:numId w:val="10"/>
        </w:numPr>
        <w:spacing w:before="0" w:after="160" w:line="280" w:lineRule="auto"/>
      </w:pPr>
      <w:r>
        <w:rPr>
          <w:rFonts w:ascii="Calibri" w:hAnsi="Calibri" w:eastAsia="Calibri"/>
          <w:color w:val="000000"/>
          <w:sz w:val="22"/>
        </w:rPr>
        <w:t>Configuration changes, temporary event networks, and emergency access shall be approved, time-limited, tested, and removed after use.</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Wireless baseline</w:t>
      </w:r>
    </w:p>
    <w:p>
      <w:pPr>
        <w:keepNext w:val="0"/>
        <w:keepLines w:val="0"/>
        <w:numPr>
          <w:ilvl w:val="0"/>
          <w:numId w:val="10"/>
        </w:numPr>
        <w:spacing w:before="0" w:after="160" w:line="280" w:lineRule="auto"/>
      </w:pPr>
      <w:r>
        <w:rPr>
          <w:rFonts w:ascii="Calibri" w:hAnsi="Calibri" w:eastAsia="Calibri"/>
          <w:color w:val="000000"/>
          <w:sz w:val="22"/>
        </w:rPr>
        <w:t>Controller configuration export</w:t>
      </w:r>
    </w:p>
    <w:p>
      <w:pPr>
        <w:keepNext w:val="0"/>
        <w:keepLines w:val="0"/>
        <w:numPr>
          <w:ilvl w:val="0"/>
          <w:numId w:val="10"/>
        </w:numPr>
        <w:spacing w:before="0" w:after="160" w:line="280" w:lineRule="auto"/>
      </w:pPr>
      <w:r>
        <w:rPr>
          <w:rFonts w:ascii="Calibri" w:hAnsi="Calibri" w:eastAsia="Calibri"/>
          <w:color w:val="000000"/>
          <w:sz w:val="22"/>
        </w:rPr>
        <w:t>SSID and VLAN/segment map</w:t>
      </w:r>
    </w:p>
    <w:p>
      <w:pPr>
        <w:keepNext w:val="0"/>
        <w:keepLines w:val="0"/>
        <w:numPr>
          <w:ilvl w:val="0"/>
          <w:numId w:val="10"/>
        </w:numPr>
        <w:spacing w:before="0" w:after="160" w:line="280" w:lineRule="auto"/>
      </w:pPr>
      <w:r>
        <w:rPr>
          <w:rFonts w:ascii="Calibri" w:hAnsi="Calibri" w:eastAsia="Calibri"/>
          <w:color w:val="000000"/>
          <w:sz w:val="22"/>
        </w:rPr>
        <w:t>Authentication configuration</w:t>
      </w:r>
    </w:p>
    <w:p>
      <w:pPr>
        <w:keepNext w:val="0"/>
        <w:keepLines w:val="0"/>
        <w:numPr>
          <w:ilvl w:val="0"/>
          <w:numId w:val="10"/>
        </w:numPr>
        <w:spacing w:before="0" w:after="160" w:line="280" w:lineRule="auto"/>
      </w:pPr>
      <w:r>
        <w:rPr>
          <w:rFonts w:ascii="Calibri" w:hAnsi="Calibri" w:eastAsia="Calibri"/>
          <w:color w:val="000000"/>
          <w:sz w:val="22"/>
        </w:rPr>
        <w:t>Firmware/advisory status</w:t>
      </w:r>
    </w:p>
    <w:p>
      <w:pPr>
        <w:keepNext w:val="0"/>
        <w:keepLines w:val="0"/>
        <w:numPr>
          <w:ilvl w:val="0"/>
          <w:numId w:val="10"/>
        </w:numPr>
        <w:spacing w:before="0" w:after="160" w:line="280" w:lineRule="auto"/>
      </w:pPr>
      <w:r>
        <w:rPr>
          <w:rFonts w:ascii="Calibri" w:hAnsi="Calibri" w:eastAsia="Calibri"/>
          <w:color w:val="000000"/>
          <w:sz w:val="22"/>
        </w:rPr>
        <w:t>Rogue AP scan/review</w:t>
      </w:r>
    </w:p>
    <w:p>
      <w:pPr>
        <w:keepNext w:val="0"/>
        <w:keepLines w:val="0"/>
        <w:numPr>
          <w:ilvl w:val="0"/>
          <w:numId w:val="10"/>
        </w:numPr>
        <w:spacing w:before="0" w:after="160" w:line="280" w:lineRule="auto"/>
      </w:pPr>
      <w:r>
        <w:rPr>
          <w:rFonts w:ascii="Calibri" w:hAnsi="Calibri" w:eastAsia="Calibri"/>
          <w:color w:val="000000"/>
          <w:sz w:val="22"/>
        </w:rPr>
        <w:t>Temporary network record</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Wireless devices compliant with baseline</w:t>
      </w:r>
    </w:p>
    <w:p>
      <w:pPr>
        <w:keepNext w:val="0"/>
        <w:keepLines w:val="0"/>
        <w:numPr>
          <w:ilvl w:val="0"/>
          <w:numId w:val="10"/>
        </w:numPr>
        <w:spacing w:before="0" w:after="160" w:line="280" w:lineRule="auto"/>
      </w:pPr>
      <w:r>
        <w:rPr>
          <w:rFonts w:ascii="Calibri" w:hAnsi="Calibri" w:eastAsia="Calibri"/>
          <w:color w:val="000000"/>
          <w:sz w:val="22"/>
        </w:rPr>
        <w:t>Unsupported firmware</w:t>
      </w:r>
    </w:p>
    <w:p>
      <w:pPr>
        <w:keepNext w:val="0"/>
        <w:keepLines w:val="0"/>
        <w:numPr>
          <w:ilvl w:val="0"/>
          <w:numId w:val="10"/>
        </w:numPr>
        <w:spacing w:before="0" w:after="160" w:line="280" w:lineRule="auto"/>
      </w:pPr>
      <w:r>
        <w:rPr>
          <w:rFonts w:ascii="Calibri" w:hAnsi="Calibri" w:eastAsia="Calibri"/>
          <w:color w:val="000000"/>
          <w:sz w:val="22"/>
        </w:rPr>
        <w:t>Unmatched devices resolved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AC.L2-3.1.16 and AC.L2-3.1.17; CM.L2-3.4.1 through CM.L2-3.4.7; SC.L2-3.13.1.</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If no organization-controlled wireless infrastructure exists in scope, preserve the evidence and approval supporting Not Applicable status instead of configuring an empty controller.</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Standard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Wireless Security Configuration Standard</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