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Wissenschaftliches</w:t>
      </w:r>
      <w:r>
        <w:t xml:space="preserve"> </w:t>
      </w:r>
      <w:r>
        <w:t xml:space="preserve">Addendum:</w:t>
      </w:r>
      <w:r>
        <w:t xml:space="preserve"> </w:t>
      </w:r>
      <w:r>
        <w:t xml:space="preserve">Flow-Based</w:t>
      </w:r>
      <w:r>
        <w:t xml:space="preserve"> </w:t>
      </w:r>
      <w:r>
        <w:t xml:space="preserve">Market</w:t>
      </w:r>
      <w:r>
        <w:t xml:space="preserve"> </w:t>
      </w:r>
      <w:r>
        <w:t xml:space="preserve">Coupling</w:t>
      </w:r>
      <w:r>
        <w:t xml:space="preserve"> </w:t>
      </w:r>
      <w:r>
        <w:t xml:space="preserve">und</w:t>
      </w:r>
      <w:r>
        <w:t xml:space="preserve"> </w:t>
      </w:r>
      <w:r>
        <w:t xml:space="preserve">TYNDP-nahe</w:t>
      </w:r>
      <w:r>
        <w:t xml:space="preserve"> </w:t>
      </w:r>
      <w:r>
        <w:t xml:space="preserve">Netzreduktion</w:t>
      </w:r>
    </w:p>
    <w:p>
      <w:pPr>
        <w:pStyle w:val="Subtitle"/>
      </w:pPr>
      <w:r>
        <w:t xml:space="preserve">Technologiespezifische</w:t>
      </w:r>
      <w:r>
        <w:t xml:space="preserve"> </w:t>
      </w:r>
      <w:r>
        <w:t xml:space="preserve">PTDFs,</w:t>
      </w:r>
      <w:r>
        <w:t xml:space="preserve"> </w:t>
      </w:r>
      <w:r>
        <w:t xml:space="preserve">GSK,</w:t>
      </w:r>
      <w:r>
        <w:t xml:space="preserve"> </w:t>
      </w:r>
      <w:r>
        <w:t xml:space="preserve">CNEC,</w:t>
      </w:r>
      <w:r>
        <w:t xml:space="preserve"> </w:t>
      </w:r>
      <w:r>
        <w:t xml:space="preserve">RAM,</w:t>
      </w:r>
      <w:r>
        <w:t xml:space="preserve"> </w:t>
      </w:r>
      <w:r>
        <w:t xml:space="preserve">No-Load-Flows</w:t>
      </w:r>
      <w:r>
        <w:t xml:space="preserve"> </w:t>
      </w:r>
      <w:r>
        <w:t xml:space="preserve">und</w:t>
      </w:r>
      <w:r>
        <w:t xml:space="preserve"> </w:t>
      </w:r>
      <w:r>
        <w:t xml:space="preserve">PyPSA-Implementierung</w:t>
      </w:r>
    </w:p>
    <w:p>
      <w:pPr>
        <w:pStyle w:val="Author"/>
      </w:pPr>
      <w:r>
        <w:t xml:space="preserve">Mathematische</w:t>
      </w:r>
      <w:r>
        <w:t xml:space="preserve"> </w:t>
      </w:r>
      <w:r>
        <w:t xml:space="preserve">Methoden-</w:t>
      </w:r>
      <w:r>
        <w:t xml:space="preserve"> </w:t>
      </w:r>
      <w:r>
        <w:t xml:space="preserve">und</w:t>
      </w:r>
      <w:r>
        <w:t xml:space="preserve"> </w:t>
      </w:r>
      <w:r>
        <w:t xml:space="preserve">Softwarearchitektur</w:t>
      </w:r>
    </w:p>
    <w:p>
      <w:pPr>
        <w:pStyle w:val="Date"/>
      </w:pPr>
      <w:r>
        <w:t xml:space="preserve">16.</w:t>
      </w:r>
      <w:r>
        <w:t xml:space="preserve"> </w:t>
      </w:r>
      <w:r>
        <w:t xml:space="preserve">Oktober</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executive-summary"/>
    <w:p>
      <w:pPr>
        <w:pStyle w:val="Heading1"/>
      </w:pPr>
      <w:r>
        <w:t xml:space="preserve">Executive Summary</w:t>
      </w:r>
    </w:p>
    <w:p>
      <w:pPr>
        <w:pStyle w:val="FirstParagraph"/>
      </w:pPr>
      <w:r>
        <w:rPr>
          <w:b/>
          <w:bCs/>
        </w:rPr>
        <w:t xml:space="preserve">Kernergebnis.</w:t>
      </w:r>
      <w:r>
        <w:t xml:space="preserve"> </w:t>
      </w:r>
      <w:r>
        <w:t xml:space="preserve">Die bisher entwickelte TYNDP-nahe, technologieabhängige Netzreduktion und das europäische Flow-Based Market Coupling (FBMC) verwenden denselben</w:t>
      </w:r>
      <w:r>
        <w:t xml:space="preserve"> </w:t>
      </w:r>
      <w:r>
        <w:rPr>
          <w:b/>
          <w:bCs/>
        </w:rPr>
        <w:t xml:space="preserve">detaillierten linearen physikalischen Sensitivitätsoperator</w:t>
      </w:r>
      <w:r>
        <w:t xml:space="preserve">, verfolgen aber unterschiedliche Modellziele. Die Reduktion bildet Originalleitungsflüsse auf Interzonenflüsse ab. FBMC prüft ausgewählte</w:t>
      </w:r>
      <w:r>
        <w:t xml:space="preserve"> </w:t>
      </w:r>
      <w:r>
        <w:rPr>
          <w:b/>
          <w:bCs/>
        </w:rPr>
        <w:t xml:space="preserve">kritische Leitungen unter ausgewählten Kontingenzen</w:t>
      </w:r>
      <w:r>
        <w:t xml:space="preserve"> </w:t>
      </w:r>
      <w:r>
        <w:t xml:space="preserve">(CNEC). Die mathematische Verwandtschaft lautet</w:t>
      </w:r>
    </w:p>
    <w:p>
      <w:pPr>
        <w:pStyle w:val="BodyText"/>
      </w:pPr>
      <m:oMathPara>
        <m:oMathParaPr>
          <m:jc m:val="center"/>
        </m:oMathParaPr>
        <m:oMath>
          <m:sSubSup>
            <m:e>
              <m:r>
                <m:t>H</m:t>
              </m:r>
            </m:e>
            <m:sub>
              <m:r>
                <m:rPr>
                  <m:sty m:val="p"/>
                </m:rPr>
                <m:t>r</m:t>
              </m:r>
              <m:r>
                <m:rPr>
                  <m:sty m:val="p"/>
                </m:rPr>
                <m:t>e</m:t>
              </m:r>
              <m:r>
                <m:rPr>
                  <m:sty m:val="p"/>
                </m:rPr>
                <m:t>d</m:t>
              </m:r>
            </m:sub>
            <m:sup>
              <m:d>
                <m:dPr>
                  <m:begChr m:val="("/>
                  <m:endChr m:val=")"/>
                  <m:sepChr m:val=""/>
                  <m:grow/>
                </m:dPr>
                <m:e>
                  <m:r>
                    <m:t>k</m:t>
                  </m:r>
                </m:e>
              </m:d>
            </m:sup>
          </m:sSubSup>
          <m:r>
            <m:rPr>
              <m:sty m:val="p"/>
            </m:rPr>
            <m:t>=</m:t>
          </m:r>
          <m:r>
            <m:t>Γ</m:t>
          </m:r>
          <m:sSub>
            <m:e>
              <m:r>
                <m:t>H</m:t>
              </m:r>
            </m:e>
            <m:sub>
              <m:r>
                <m:t>d</m:t>
              </m:r>
            </m:sub>
          </m:sSub>
          <m:sSub>
            <m:e>
              <m:r>
                <m:t>R</m:t>
              </m:r>
            </m:e>
            <m:sub>
              <m:r>
                <m:t>k</m:t>
              </m:r>
            </m:sub>
          </m:sSub>
          <m:r>
            <m:rPr>
              <m:sty m:val="p"/>
            </m:rPr>
            <m:t>,</m:t>
          </m:r>
          <m:r>
            <m:t>  </m:t>
          </m:r>
          <m:sSub>
            <m:e>
              <m:r>
                <m:t>H</m:t>
              </m:r>
            </m:e>
            <m:sub>
              <m:r>
                <m:rPr>
                  <m:sty m:val="p"/>
                </m:rPr>
                <m:t>F</m:t>
              </m:r>
              <m:r>
                <m:rPr>
                  <m:sty m:val="p"/>
                </m:rPr>
                <m:t>B</m:t>
              </m:r>
            </m:sub>
          </m:sSub>
          <m:r>
            <m:rPr>
              <m:sty m:val="p"/>
            </m:rPr>
            <m:t>=</m:t>
          </m:r>
          <m:r>
            <m:t>K</m:t>
          </m:r>
          <m:sSub>
            <m:e>
              <m:r>
                <m:t>H</m:t>
              </m:r>
            </m:e>
            <m:sub>
              <m:r>
                <m:t>d</m:t>
              </m:r>
            </m:sub>
          </m:sSub>
          <m:r>
            <m:t>G</m:t>
          </m:r>
          <m:r>
            <m:rPr>
              <m:sty m:val="p"/>
            </m:rPr>
            <m:t>.</m:t>
          </m:r>
        </m:oMath>
      </m:oMathPara>
    </w:p>
    <w:p>
      <w:pPr>
        <w:pStyle w:val="FirstParagraph"/>
      </w:pPr>
      <w:r>
        <w:t xml:space="preserve">Hierbei ist</w:t>
      </w:r>
      <w:r>
        <w:t xml:space="preserve"> </w:t>
      </w:r>
      <m:oMath>
        <m:sSub>
          <m:e>
            <m:r>
              <m:t>R</m:t>
            </m:r>
          </m:e>
          <m:sub>
            <m:r>
              <m:t>k</m:t>
            </m:r>
          </m:sub>
        </m:sSub>
      </m:oMath>
      <w:r>
        <w:t xml:space="preserve"> </w:t>
      </w:r>
      <w:r>
        <w:t xml:space="preserve">die räumliche, technologieabhängige Verteilungsabbildung;</w:t>
      </w:r>
      <w:r>
        <w:t xml:space="preserve"> </w:t>
      </w:r>
      <m:oMath>
        <m:r>
          <m:t>G</m:t>
        </m:r>
      </m:oMath>
      <w:r>
        <w:t xml:space="preserve"> </w:t>
      </w:r>
      <w:r>
        <w:t xml:space="preserve">ist der Generation/Load Shift Key, der</w:t>
      </w:r>
      <w:r>
        <w:t xml:space="preserve"> </w:t>
      </w:r>
      <w:r>
        <w:rPr>
          <w:b/>
          <w:bCs/>
        </w:rPr>
        <w:t xml:space="preserve">Änderungen der Handelsnettopositionen</w:t>
      </w:r>
      <w:r>
        <w:t xml:space="preserve"> </w:t>
      </w:r>
      <w:r>
        <w:t xml:space="preserve">in nodale Einspeisungsänderungen übersetzt. Die Unterscheidung ist physikalisch und ökonomisch bedeutend: Eine durchschnittliche Erzeugungsverteilung ist nicht zwingend die marginale Antwort auf eine grenzüberschreitende Transaktion.</w:t>
      </w:r>
    </w:p>
    <w:p>
      <w:pPr>
        <w:pStyle w:val="BodyText"/>
      </w:pPr>
      <w:r>
        <w:rPr>
          <w:b/>
          <w:bCs/>
        </w:rPr>
        <w:t xml:space="preserve">Hauptschlussfolgerungen:</w:t>
      </w:r>
      <w:r>
        <w:t xml:space="preserve"> </w:t>
      </w:r>
      <w:r>
        <w:t xml:space="preserve">(i) bestehende Technologienverteilungen sind</w:t>
      </w:r>
      <w:r>
        <w:t xml:space="preserve"> </w:t>
      </w:r>
      <w:r>
        <w:rPr>
          <w:b/>
          <w:bCs/>
        </w:rPr>
        <w:t xml:space="preserve">Kandidaten für GSKs</w:t>
      </w:r>
      <w:r>
        <w:t xml:space="preserve">, keine automatisch gültigen operativen GLSKs; (ii) der von einer Referenzverteilung abhängige strukturelle TYNDP-Offset und der FBMC-Nullpositionsfluss sind algebraisch verwandt, aber über</w:t>
      </w:r>
      <w:r>
        <w:t xml:space="preserve"> </w:t>
      </w:r>
      <w:r>
        <w:rPr>
          <w:b/>
          <w:bCs/>
        </w:rPr>
        <w:t xml:space="preserve">andere Zweigoperatoren und Marktdefinitionen</w:t>
      </w:r>
      <w:r>
        <w:t xml:space="preserve"> </w:t>
      </w:r>
      <w:r>
        <w:t xml:space="preserve">gebildet; (iii) vier saisonale/richtungsabhängige Ersatzleitungsgrenzen sind</w:t>
      </w:r>
      <w:r>
        <w:t xml:space="preserve"> </w:t>
      </w:r>
      <w:r>
        <w:rPr>
          <w:b/>
          <w:bCs/>
        </w:rPr>
        <w:t xml:space="preserve">keine</w:t>
      </w:r>
      <w:r>
        <w:t xml:space="preserve"> </w:t>
      </w:r>
      <w:r>
        <w:t xml:space="preserve">FBMC-RAM-Werte; (iv) die wirtschaftlich begründete Merit-Order-Gewichtung kann die FB-Domäne substantiell verändern, ist aber nicht per se sicherer oder realistischer.</w:t>
      </w:r>
    </w:p>
    <w:p>
      <w:pPr>
        <w:pStyle w:val="BodyText"/>
      </w:pPr>
      <w:r>
        <w:t xml:space="preserve">Der beigefügte</w:t>
      </w:r>
      <w:r>
        <w:t xml:space="preserve"> </w:t>
      </w:r>
      <w:r>
        <w:rPr>
          <w:b/>
          <w:bCs/>
        </w:rPr>
        <w:t xml:space="preserve">Python-Erweiterungsbaustein</w:t>
      </w:r>
      <w:r>
        <w:t xml:space="preserve"> </w:t>
      </w:r>
      <w:r>
        <w:t xml:space="preserve">erzeugt einen vereinfachten vorregulatorischen, N-1-basierten FB-Polyeder aus einem detaillierten DC-Netz und drei statischen GSK-Hypothesen. Er arbeitet ohne PyPSA-Abhängigkeit im mathematischen Kern. Offizielle RAM-Schritte (minRAM/AMR, NRAO, IVAs, LTA/Long-Term-Nominations usw.) sind</w:t>
      </w:r>
      <w:r>
        <w:t xml:space="preserve"> </w:t>
      </w:r>
      <w:r>
        <w:rPr>
          <w:b/>
          <w:bCs/>
        </w:rPr>
        <w:t xml:space="preserve">nicht implementiert</w:t>
      </w:r>
      <w:r>
        <w:t xml:space="preserve">. Die Ergebnisse sind</w:t>
      </w:r>
      <w:r>
        <w:t xml:space="preserve"> </w:t>
      </w:r>
      <w:r>
        <w:rPr>
          <w:b/>
          <w:bCs/>
        </w:rPr>
        <w:t xml:space="preserve">synthetisch</w:t>
      </w:r>
      <w:r>
        <w:t xml:space="preserve"> </w:t>
      </w:r>
      <w:r>
        <w:t xml:space="preserve">und keine Core-/JAO-Kapazitätsberechnung.</w:t>
      </w:r>
    </w:p>
    <w:bookmarkEnd w:id="20"/>
    <w:bookmarkStart w:id="21" w:name="X32c93c711da3df98c61603438e1cdf77692155c"/>
    <w:p>
      <w:pPr>
        <w:pStyle w:val="Heading1"/>
      </w:pPr>
      <w:r>
        <w:t xml:space="preserve">1. Normativer und wissenschaftlicher Geltungsbereich</w:t>
      </w:r>
    </w:p>
    <w:p>
      <w:pPr>
        <w:pStyle w:val="FirstParagraph"/>
      </w:pPr>
      <w:r>
        <w:t xml:space="preserve">Für die</w:t>
      </w:r>
      <w:r>
        <w:t xml:space="preserve"> </w:t>
      </w:r>
      <w:r>
        <w:rPr>
          <w:b/>
          <w:bCs/>
        </w:rPr>
        <w:t xml:space="preserve">TYNDP-Netzreduktion</w:t>
      </w:r>
      <w:r>
        <w:t xml:space="preserve"> </w:t>
      </w:r>
      <w:r>
        <w:t xml:space="preserve">ist weiterhin ausschließlich das ENTSO-E-Dokument</w:t>
      </w:r>
      <w:r>
        <w:t xml:space="preserve"> </w:t>
      </w:r>
      <w:r>
        <w:rPr>
          <w:i/>
          <w:iCs/>
        </w:rPr>
        <w:t xml:space="preserve">TYNDP 2026 – Identification of System Needs Methodology</w:t>
      </w:r>
      <w:r>
        <w:t xml:space="preserve">, Konsultationsfassung 25.02.2026, Kap. 3.8 und Anhang 6.1 maßgeblich [T]. Dieses Dokument beschreibt Clustering, stündliche PTDF-Flüsse, äquivalente Reaktanzen, Zero-Balance-Korrekturen und N-1-bezogene äquivalente saisonale/richtungsabhängige Transfergrenzen.</w:t>
      </w:r>
    </w:p>
    <w:p>
      <w:pPr>
        <w:pStyle w:val="BodyText"/>
      </w:pPr>
      <w:r>
        <w:t xml:space="preserve">Für</w:t>
      </w:r>
      <w:r>
        <w:t xml:space="preserve"> </w:t>
      </w:r>
      <w:r>
        <w:rPr>
          <w:b/>
          <w:bCs/>
        </w:rPr>
        <w:t xml:space="preserve">FBMC</w:t>
      </w:r>
      <w:r>
        <w:t xml:space="preserve"> </w:t>
      </w:r>
      <w:r>
        <w:t xml:space="preserve">sind andere Quellen erforderlich, da der TYNDP-Text keine operative Core-Kapazitätsberechnung normiert. Herangezogen wurden die Core-Day-Ahead-Prozessdarstellung der ENTSO-E [F1], das JAO-Publication-Tool-Handbuch [F2], die ACER-Übersicht der Core-Kapazitätsmethodiken [F3] sowie zwei aktuelle PyPSA-Dokumentationsbeispiele zur Berechnung und Verwendung von Flow-Based-Domänen [P1, P2]. Insbesondere die 2026 veröffentlichten Änderungen an der Core-Kapazitätsmethodik zeigen, weshalb das vorliegende Research-Prototype</w:t>
      </w:r>
      <w:r>
        <w:t xml:space="preserve"> </w:t>
      </w:r>
      <w:r>
        <w:rPr>
          <w:b/>
          <w:bCs/>
        </w:rPr>
        <w:t xml:space="preserve">keinen</w:t>
      </w:r>
      <w:r>
        <w:t xml:space="preserve"> </w:t>
      </w:r>
      <w:r>
        <w:t xml:space="preserve">Anspruch auf die rechtlich aktuelle operative CCM erhebt.</w:t>
      </w:r>
    </w:p>
    <w:bookmarkEnd w:id="21"/>
    <w:bookmarkStart w:id="24" w:name="X1a93c72b62ef5a3505a8375c60a34afb71eb1df"/>
    <w:p>
      <w:pPr>
        <w:pStyle w:val="Heading1"/>
      </w:pPr>
      <w:r>
        <w:t xml:space="preserve">2. Gemeinsame nodale Netzphysik und verschiedene Projektionsoperatoren</w:t>
      </w:r>
    </w:p>
    <w:p>
      <w:pPr>
        <w:pStyle w:val="FirstParagraph"/>
      </w:pPr>
      <w:r>
        <w:t xml:space="preserve">Sei</w:t>
      </w:r>
      <w:r>
        <w:t xml:space="preserve"> </w:t>
      </w:r>
      <m:oMath>
        <m:sSub>
          <m:e>
            <m:r>
              <m:t>A</m:t>
            </m:r>
          </m:e>
          <m:sub>
            <m:r>
              <m:t>d</m:t>
            </m:r>
          </m:sub>
        </m:sSub>
        <m:r>
          <m:rPr>
            <m:sty m:val="p"/>
          </m:rPr>
          <m:t>∈</m:t>
        </m:r>
        <m:sSup>
          <m:e>
            <m:r>
              <m:rPr>
                <m:sty m:val="p"/>
                <m:scr m:val="double-struck"/>
              </m:rPr>
              <m:t>R</m:t>
            </m:r>
          </m:e>
          <m:sup>
            <m:r>
              <m:t>N</m:t>
            </m:r>
            <m:r>
              <m:rPr>
                <m:sty m:val="p"/>
              </m:rPr>
              <m:t>×</m:t>
            </m:r>
            <m:r>
              <m:t>L</m:t>
            </m:r>
          </m:sup>
        </m:sSup>
      </m:oMath>
      <w:r>
        <w:t xml:space="preserve"> </w:t>
      </w:r>
      <w:r>
        <w:t xml:space="preserve">die Knoten-Zweig-Inzidenz und</w:t>
      </w:r>
      <w:r>
        <w:t xml:space="preserve"> </w:t>
      </w:r>
      <m:oMath>
        <m:r>
          <m:t>X</m:t>
        </m:r>
        <m:r>
          <m:rPr>
            <m:sty m:val="p"/>
          </m:rPr>
          <m:t>=</m:t>
        </m:r>
        <m:r>
          <m:rPr>
            <m:sty m:val="p"/>
          </m:rPr>
          <m:t>diag</m:t>
        </m:r>
        <m:d>
          <m:dPr>
            <m:begChr m:val="("/>
            <m:endChr m:val=")"/>
            <m:sepChr m:val=""/>
            <m:grow/>
          </m:dPr>
          <m:e>
            <m:sSub>
              <m:e>
                <m:r>
                  <m:t>x</m:t>
                </m:r>
              </m:e>
              <m:sub>
                <m:r>
                  <m:t>l</m:t>
                </m:r>
              </m:sub>
            </m:sSub>
          </m:e>
        </m:d>
      </m:oMath>
      <w:r>
        <w:t xml:space="preserve"> </w:t>
      </w:r>
      <w:r>
        <w:t xml:space="preserve">die Reaktanzmatrix eines zusammenhängenden, verlustlosen AC-Teilnetzes in DC-Approximation. Die nodale PTDF</w:t>
      </w:r>
      <w:r>
        <w:t xml:space="preserve"> </w:t>
      </w:r>
      <m:oMath>
        <m:sSub>
          <m:e>
            <m:r>
              <m:t>H</m:t>
            </m:r>
          </m:e>
          <m:sub>
            <m:r>
              <m:t>d</m:t>
            </m:r>
          </m:sub>
        </m:sSub>
        <m:r>
          <m:rPr>
            <m:sty m:val="p"/>
          </m:rPr>
          <m:t>∈</m:t>
        </m:r>
        <m:sSup>
          <m:e>
            <m:r>
              <m:rPr>
                <m:sty m:val="p"/>
                <m:scr m:val="double-struck"/>
              </m:rPr>
              <m:t>R</m:t>
            </m:r>
          </m:e>
          <m:sup>
            <m:r>
              <m:t>L</m:t>
            </m:r>
            <m:r>
              <m:rPr>
                <m:sty m:val="p"/>
              </m:rPr>
              <m:t>×</m:t>
            </m:r>
            <m:r>
              <m:t>N</m:t>
            </m:r>
          </m:sup>
        </m:sSup>
      </m:oMath>
      <w:r>
        <w:t xml:space="preserve"> </w:t>
      </w:r>
      <w:r>
        <w:t xml:space="preserve">bildet</w:t>
      </w:r>
      <w:r>
        <w:t xml:space="preserve"> </w:t>
      </w:r>
      <w:r>
        <w:rPr>
          <w:i/>
          <w:iCs/>
        </w:rPr>
        <w:t xml:space="preserve">balancierte</w:t>
      </w:r>
      <w:r>
        <w:t xml:space="preserve"> </w:t>
      </w:r>
      <w:r>
        <w:t xml:space="preserve">Einspeisungsänderungen auf Zweigflussänderungen ab:</w:t>
      </w:r>
    </w:p>
    <w:p>
      <w:pPr>
        <w:pStyle w:val="BodyText"/>
      </w:pPr>
      <m:oMathPara>
        <m:oMathParaPr>
          <m:jc m:val="center"/>
        </m:oMathParaPr>
        <m:oMath>
          <m:r>
            <m:t>Δ</m:t>
          </m:r>
          <m:sSub>
            <m:e>
              <m:r>
                <m:t>f</m:t>
              </m:r>
            </m:e>
            <m:sub>
              <m:r>
                <m:t>d</m:t>
              </m:r>
            </m:sub>
          </m:sSub>
          <m:r>
            <m:rPr>
              <m:sty m:val="p"/>
            </m:rPr>
            <m:t>=</m:t>
          </m:r>
          <m:sSub>
            <m:e>
              <m:r>
                <m:t>H</m:t>
              </m:r>
            </m:e>
            <m:sub>
              <m:r>
                <m:t>d</m:t>
              </m:r>
            </m:sub>
          </m:sSub>
          <m:r>
            <m:t>Δ</m:t>
          </m:r>
          <m:sSub>
            <m:e>
              <m:r>
                <m:t>p</m:t>
              </m:r>
            </m:e>
            <m:sub>
              <m:r>
                <m:t>d</m:t>
              </m:r>
            </m:sub>
          </m:sSub>
          <m:r>
            <m:rPr>
              <m:sty m:val="p"/>
            </m:rPr>
            <m:t>,</m:t>
          </m:r>
          <m:r>
            <m:t>  </m:t>
          </m:r>
          <m:sSup>
            <m:e>
              <m:r>
                <m:rPr>
                  <m:sty m:val="b"/>
                </m:rPr>
                <m:t>1</m:t>
              </m:r>
            </m:e>
            <m:sup>
              <m:r>
                <m:rPr>
                  <m:sty m:val="p"/>
                  <m:scr m:val="sans-serif"/>
                </m:rPr>
                <m:t>T</m:t>
              </m:r>
            </m:sup>
          </m:sSup>
          <m:r>
            <m:t>Δ</m:t>
          </m:r>
          <m:sSub>
            <m:e>
              <m:r>
                <m:t>p</m:t>
              </m:r>
            </m:e>
            <m:sub>
              <m:r>
                <m:t>d</m:t>
              </m:r>
            </m:sub>
          </m:sSub>
          <m:r>
            <m:rPr>
              <m:sty m:val="p"/>
            </m:rPr>
            <m:t>=</m:t>
          </m:r>
          <m:r>
            <m:t>0</m:t>
          </m:r>
          <m:r>
            <m:rPr>
              <m:sty m:val="p"/>
            </m:rPr>
            <m:t>.</m:t>
          </m:r>
        </m:oMath>
      </m:oMathPara>
    </w:p>
    <w:bookmarkStart w:id="22" w:name="tyndp-reduktion-flussaggregation"/>
    <w:p>
      <w:pPr>
        <w:pStyle w:val="Heading2"/>
      </w:pPr>
      <w:r>
        <w:t xml:space="preserve">2.1 TYNDP-Reduktion: Flussaggregation</w:t>
      </w:r>
    </w:p>
    <w:p>
      <w:pPr>
        <w:pStyle w:val="FirstParagraph"/>
      </w:pPr>
      <w:r>
        <w:t xml:space="preserve">Die Planungsknoten-Zonen-Matrix</w:t>
      </w:r>
      <w:r>
        <w:t xml:space="preserve"> </w:t>
      </w:r>
      <m:oMath>
        <m:sSub>
          <m:e>
            <m:r>
              <m:t>P</m:t>
            </m:r>
          </m:e>
          <m:sub>
            <m:r>
              <m:t>T</m:t>
            </m:r>
          </m:sub>
        </m:sSub>
        <m:r>
          <m:rPr>
            <m:sty m:val="p"/>
          </m:rPr>
          <m:t>∈</m:t>
        </m:r>
        <m:r>
          <m:rPr>
            <m:sty m:val="p"/>
          </m:rPr>
          <m:t>{</m:t>
        </m:r>
        <m:r>
          <m:t>0</m:t>
        </m:r>
        <m:r>
          <m:rPr>
            <m:sty m:val="p"/>
          </m:rPr>
          <m:t>,</m:t>
        </m:r>
        <m:r>
          <m:t>1</m:t>
        </m:r>
        <m:sSup>
          <m:e>
            <m:r>
              <m:rPr>
                <m:sty m:val="p"/>
              </m:rPr>
              <m:t>}</m:t>
            </m:r>
          </m:e>
          <m:sup>
            <m:sSub>
              <m:e>
                <m:r>
                  <m:t>Z</m:t>
                </m:r>
              </m:e>
              <m:sub>
                <m:r>
                  <m:t>T</m:t>
                </m:r>
              </m:sub>
            </m:sSub>
            <m:r>
              <m:rPr>
                <m:sty m:val="p"/>
              </m:rPr>
              <m:t>×</m:t>
            </m:r>
            <m:r>
              <m:t>N</m:t>
            </m:r>
          </m:sup>
        </m:sSup>
      </m:oMath>
      <w:r>
        <w:t xml:space="preserve"> </w:t>
      </w:r>
      <w:r>
        <w:t xml:space="preserve">und der Leitungs-Schnittoperator</w:t>
      </w:r>
      <w:r>
        <w:t xml:space="preserve"> </w:t>
      </w:r>
      <m:oMath>
        <m:sSub>
          <m:e>
            <m:r>
              <m:t>Γ</m:t>
            </m:r>
          </m:e>
          <m:sub>
            <m:r>
              <m:t>T</m:t>
            </m:r>
          </m:sub>
        </m:sSub>
        <m:r>
          <m:rPr>
            <m:sty m:val="p"/>
          </m:rPr>
          <m:t>∈</m:t>
        </m:r>
        <m:r>
          <m:rPr>
            <m:sty m:val="p"/>
          </m:rPr>
          <m:t>{</m:t>
        </m:r>
        <m:r>
          <m:rPr>
            <m:sty m:val="p"/>
          </m:rPr>
          <m:t>−</m:t>
        </m:r>
        <m:r>
          <m:t>1</m:t>
        </m:r>
        <m:r>
          <m:rPr>
            <m:sty m:val="p"/>
          </m:rPr>
          <m:t>,</m:t>
        </m:r>
        <m:r>
          <m:t>0</m:t>
        </m:r>
        <m:r>
          <m:rPr>
            <m:sty m:val="p"/>
          </m:rPr>
          <m:t>,</m:t>
        </m:r>
        <m:r>
          <m:t>1</m:t>
        </m:r>
        <m:sSup>
          <m:e>
            <m:r>
              <m:rPr>
                <m:sty m:val="p"/>
              </m:rPr>
              <m:t>}</m:t>
            </m:r>
          </m:e>
          <m:sup>
            <m:sSub>
              <m:e>
                <m:r>
                  <m:t>E</m:t>
                </m:r>
              </m:e>
              <m:sub>
                <m:r>
                  <m:t>T</m:t>
                </m:r>
              </m:sub>
            </m:sSub>
            <m:r>
              <m:rPr>
                <m:sty m:val="p"/>
              </m:rPr>
              <m:t>×</m:t>
            </m:r>
            <m:r>
              <m:t>L</m:t>
            </m:r>
          </m:sup>
        </m:sSup>
      </m:oMath>
      <w:r>
        <w:t xml:space="preserve"> </w:t>
      </w:r>
      <w:r>
        <w:t xml:space="preserve">sind aus der</w:t>
      </w:r>
      <w:r>
        <w:t xml:space="preserve"> </w:t>
      </w:r>
      <w:r>
        <w:rPr>
          <w:b/>
          <w:bCs/>
        </w:rPr>
        <w:t xml:space="preserve">gewählten Busmap</w:t>
      </w:r>
      <w:r>
        <w:t xml:space="preserve"> </w:t>
      </w:r>
      <w:r>
        <w:t xml:space="preserve">abgeleitet:</w:t>
      </w:r>
    </w:p>
    <w:p>
      <w:pPr>
        <w:pStyle w:val="BodyText"/>
      </w:pPr>
      <m:oMathPara>
        <m:oMathParaPr>
          <m:jc m:val="center"/>
        </m:oMathParaPr>
        <m:oMath>
          <m:sSub>
            <m:e>
              <m:r>
                <m:t>p</m:t>
              </m:r>
            </m:e>
            <m:sub>
              <m:r>
                <m:t>T</m:t>
              </m:r>
            </m:sub>
          </m:sSub>
          <m:r>
            <m:rPr>
              <m:sty m:val="p"/>
            </m:rPr>
            <m:t>=</m:t>
          </m:r>
          <m:sSub>
            <m:e>
              <m:r>
                <m:t>P</m:t>
              </m:r>
            </m:e>
            <m:sub>
              <m:r>
                <m:t>T</m:t>
              </m:r>
            </m:sub>
          </m:sSub>
          <m:sSub>
            <m:e>
              <m:r>
                <m:t>p</m:t>
              </m:r>
            </m:e>
            <m:sub>
              <m:r>
                <m:t>d</m:t>
              </m:r>
            </m:sub>
          </m:sSub>
          <m:r>
            <m:rPr>
              <m:sty m:val="p"/>
            </m:rPr>
            <m:t>,</m:t>
          </m:r>
          <m:r>
            <m:t>  </m:t>
          </m:r>
          <m:sSub>
            <m:e>
              <m:r>
                <m:t>f</m:t>
              </m:r>
            </m:e>
            <m:sub>
              <m:r>
                <m:t>T</m:t>
              </m:r>
            </m:sub>
          </m:sSub>
          <m:r>
            <m:rPr>
              <m:sty m:val="p"/>
            </m:rPr>
            <m:t>=</m:t>
          </m:r>
          <m:sSub>
            <m:e>
              <m:r>
                <m:t>Γ</m:t>
              </m:r>
            </m:e>
            <m:sub>
              <m:r>
                <m:t>T</m:t>
              </m:r>
            </m:sub>
          </m:sSub>
          <m:sSub>
            <m:e>
              <m:r>
                <m:t>f</m:t>
              </m:r>
            </m:e>
            <m:sub>
              <m:r>
                <m:t>d</m:t>
              </m:r>
            </m:sub>
          </m:sSub>
          <m:r>
            <m:rPr>
              <m:sty m:val="p"/>
            </m:rPr>
            <m:t>,</m:t>
          </m:r>
          <m:r>
            <m:t>  </m:t>
          </m:r>
          <m:sSub>
            <m:e>
              <m:r>
                <m:t>A</m:t>
              </m:r>
            </m:e>
            <m:sub>
              <m:r>
                <m:t>T</m:t>
              </m:r>
            </m:sub>
          </m:sSub>
          <m:sSub>
            <m:e>
              <m:r>
                <m:t>Γ</m:t>
              </m:r>
            </m:e>
            <m:sub>
              <m:r>
                <m:t>T</m:t>
              </m:r>
            </m:sub>
          </m:sSub>
          <m:r>
            <m:rPr>
              <m:sty m:val="p"/>
            </m:rPr>
            <m:t>=</m:t>
          </m:r>
          <m:sSub>
            <m:e>
              <m:r>
                <m:t>P</m:t>
              </m:r>
            </m:e>
            <m:sub>
              <m:r>
                <m:t>T</m:t>
              </m:r>
            </m:sub>
          </m:sSub>
          <m:sSub>
            <m:e>
              <m:r>
                <m:t>A</m:t>
              </m:r>
            </m:e>
            <m:sub>
              <m:r>
                <m:t>d</m:t>
              </m:r>
            </m:sub>
          </m:sSub>
          <m:r>
            <m:rPr>
              <m:sty m:val="p"/>
            </m:rPr>
            <m:t>.</m:t>
          </m:r>
        </m:oMath>
      </m:oMathPara>
    </w:p>
    <w:p>
      <w:pPr>
        <w:pStyle w:val="FirstParagraph"/>
      </w:pPr>
      <w:r>
        <w:t xml:space="preserve">Für eine Referenzdisaggregation</w:t>
      </w:r>
      <w:r>
        <w:t xml:space="preserve"> </w:t>
      </w:r>
      <m:oMath>
        <m:sSub>
          <m:e>
            <m:r>
              <m:t>R</m:t>
            </m:r>
          </m:e>
          <m:sub>
            <m:r>
              <m:t>T</m:t>
            </m:r>
          </m:sub>
        </m:sSub>
      </m:oMath>
      <w:r>
        <w:t xml:space="preserve"> </w:t>
      </w:r>
      <w:r>
        <w:t xml:space="preserve">mit</w:t>
      </w:r>
      <w:r>
        <w:t xml:space="preserve"> </w:t>
      </w:r>
      <m:oMath>
        <m:sSub>
          <m:e>
            <m:r>
              <m:t>P</m:t>
            </m:r>
          </m:e>
          <m:sub>
            <m:r>
              <m:t>T</m:t>
            </m:r>
          </m:sub>
        </m:sSub>
        <m:sSub>
          <m:e>
            <m:r>
              <m:t>R</m:t>
            </m:r>
          </m:e>
          <m:sub>
            <m:r>
              <m:t>T</m:t>
            </m:r>
          </m:sub>
        </m:sSub>
        <m:r>
          <m:rPr>
            <m:sty m:val="p"/>
          </m:rPr>
          <m:t>=</m:t>
        </m:r>
        <m:r>
          <m:t>I</m:t>
        </m:r>
      </m:oMath>
      <w:r>
        <w:t xml:space="preserve"> </w:t>
      </w:r>
      <w:r>
        <w:t xml:space="preserve">gilt</w:t>
      </w:r>
    </w:p>
    <w:p>
      <w:pPr>
        <w:pStyle w:val="BodyText"/>
      </w:pPr>
      <m:oMathPara>
        <m:oMathParaPr>
          <m:jc m:val="center"/>
        </m:oMathParaPr>
        <m:oMath>
          <m:sSub>
            <m:e>
              <m:r>
                <m:t>H</m:t>
              </m:r>
            </m:e>
            <m:sub>
              <m:r>
                <m:t>T</m:t>
              </m:r>
            </m:sub>
          </m:sSub>
          <m:r>
            <m:rPr>
              <m:sty m:val="p"/>
            </m:rPr>
            <m:t>=</m:t>
          </m:r>
          <m:sSub>
            <m:e>
              <m:r>
                <m:t>Γ</m:t>
              </m:r>
            </m:e>
            <m:sub>
              <m:r>
                <m:t>T</m:t>
              </m:r>
            </m:sub>
          </m:sSub>
          <m:sSub>
            <m:e>
              <m:r>
                <m:t>H</m:t>
              </m:r>
            </m:e>
            <m:sub>
              <m:r>
                <m:t>d</m:t>
              </m:r>
            </m:sub>
          </m:sSub>
          <m:sSub>
            <m:e>
              <m:r>
                <m:t>R</m:t>
              </m:r>
            </m:e>
            <m:sub>
              <m:r>
                <m:t>T</m:t>
              </m:r>
            </m:sub>
          </m:sSub>
          <m:r>
            <m:rPr>
              <m:sty m:val="p"/>
            </m:rPr>
            <m:t>.</m:t>
          </m:r>
        </m:oMath>
      </m:oMathPara>
    </w:p>
    <w:p>
      <w:pPr>
        <w:pStyle w:val="FirstParagraph"/>
      </w:pPr>
      <w:r>
        <w:t xml:space="preserve">Der Operator</w:t>
      </w:r>
      <w:r>
        <w:t xml:space="preserve"> </w:t>
      </w:r>
      <m:oMath>
        <m:sSub>
          <m:e>
            <m:r>
              <m:t>Γ</m:t>
            </m:r>
          </m:e>
          <m:sub>
            <m:r>
              <m:t>T</m:t>
            </m:r>
          </m:sub>
        </m:sSub>
      </m:oMath>
      <w:r>
        <w:t xml:space="preserve"> </w:t>
      </w:r>
      <w:r>
        <w:rPr>
          <w:b/>
          <w:bCs/>
        </w:rPr>
        <w:t xml:space="preserve">summiert</w:t>
      </w:r>
      <w:r>
        <w:t xml:space="preserve"> </w:t>
      </w:r>
      <w:r>
        <w:t xml:space="preserve">die Flüsse aller physischen Leitungen zwischen je zwei Planungszonen. Interne Leitungen erhalten keine eigene Zeile im reduzierten Schnittnetz.</w:t>
      </w:r>
    </w:p>
    <w:bookmarkEnd w:id="22"/>
    <w:bookmarkStart w:id="23" w:name="fbmc-kritische-zweige-und-ausfälle"/>
    <w:p>
      <w:pPr>
        <w:pStyle w:val="Heading2"/>
      </w:pPr>
      <w:r>
        <w:t xml:space="preserve">2.2 FBMC: kritische Zweige und Ausfälle</w:t>
      </w:r>
    </w:p>
    <w:p>
      <w:pPr>
        <w:pStyle w:val="FirstParagraph"/>
      </w:pPr>
      <w:r>
        <w:t xml:space="preserve">Ein CNEC ist ein</w:t>
      </w:r>
      <w:r>
        <w:t xml:space="preserve"> </w:t>
      </w:r>
      <w:r>
        <w:rPr>
          <w:b/>
          <w:bCs/>
        </w:rPr>
        <w:t xml:space="preserve">Critical Network Element</w:t>
      </w:r>
      <w:r>
        <w:t xml:space="preserve"> </w:t>
      </w:r>
      <w:r>
        <w:t xml:space="preserve">in Kombination mit einer relevanten</w:t>
      </w:r>
      <w:r>
        <w:t xml:space="preserve"> </w:t>
      </w:r>
      <w:r>
        <w:rPr>
          <w:b/>
          <w:bCs/>
        </w:rPr>
        <w:t xml:space="preserve">Contingency</w:t>
      </w:r>
      <w:r>
        <w:t xml:space="preserve">, also üblicherweise eine überwachte Leitung/Transformator unter Ausfall eines anderen Elements. Für einen überwachten Zweig</w:t>
      </w:r>
      <w:r>
        <w:t xml:space="preserve"> </w:t>
      </w:r>
      <m:oMath>
        <m:r>
          <m:rPr>
            <m:sty m:val="p"/>
          </m:rPr>
          <m:t>ℓ</m:t>
        </m:r>
      </m:oMath>
      <w:r>
        <w:t xml:space="preserve"> </w:t>
      </w:r>
      <w:r>
        <w:t xml:space="preserve">und Ausfall</w:t>
      </w:r>
      <w:r>
        <w:t xml:space="preserve"> </w:t>
      </w:r>
      <m:oMath>
        <m:r>
          <m:t>k</m:t>
        </m:r>
      </m:oMath>
      <w:r>
        <w:t xml:space="preserve"> </w:t>
      </w:r>
      <w:r>
        <w:t xml:space="preserve">folgt linearisiert:</w:t>
      </w:r>
    </w:p>
    <w:p>
      <w:pPr>
        <w:pStyle w:val="BodyText"/>
      </w:pPr>
      <m:oMathPara>
        <m:oMathParaPr>
          <m:jc m:val="center"/>
        </m:oMathParaPr>
        <m:oMath>
          <m:sSubSup>
            <m:e>
              <m:r>
                <m:t>f</m:t>
              </m:r>
            </m:e>
            <m:sub>
              <m:r>
                <m:rPr>
                  <m:sty m:val="p"/>
                </m:rPr>
                <m:t>ℓ</m:t>
              </m:r>
            </m:sub>
            <m:sup>
              <m:d>
                <m:dPr>
                  <m:begChr m:val="("/>
                  <m:endChr m:val=")"/>
                  <m:sepChr m:val=""/>
                  <m:grow/>
                </m:dPr>
                <m:e>
                  <m:r>
                    <m:t>k</m:t>
                  </m:r>
                </m:e>
              </m:d>
            </m:sup>
          </m:sSubSup>
          <m:r>
            <m:rPr>
              <m:sty m:val="p"/>
            </m:rPr>
            <m:t>=</m:t>
          </m:r>
          <m:sSub>
            <m:e>
              <m:r>
                <m:t>f</m:t>
              </m:r>
            </m:e>
            <m:sub>
              <m:r>
                <m:rPr>
                  <m:sty m:val="p"/>
                </m:rPr>
                <m:t>ℓ</m:t>
              </m:r>
            </m:sub>
          </m:sSub>
          <m:r>
            <m:rPr>
              <m:sty m:val="p"/>
            </m:rPr>
            <m:t>+</m:t>
          </m:r>
          <m:sSub>
            <m:e>
              <m:r>
                <m:rPr>
                  <m:sty m:val="p"/>
                </m:rPr>
                <m:t>L</m:t>
              </m:r>
              <m:r>
                <m:rPr>
                  <m:sty m:val="p"/>
                </m:rPr>
                <m:t>O</m:t>
              </m:r>
              <m:r>
                <m:rPr>
                  <m:sty m:val="p"/>
                </m:rPr>
                <m:t>D</m:t>
              </m:r>
              <m:r>
                <m:rPr>
                  <m:sty m:val="p"/>
                </m:rPr>
                <m:t>F</m:t>
              </m:r>
            </m:e>
            <m:sub>
              <m:r>
                <m:rPr>
                  <m:sty m:val="p"/>
                </m:rPr>
                <m:t>ℓ</m:t>
              </m:r>
              <m:r>
                <m:t>k</m:t>
              </m:r>
            </m:sub>
          </m:sSub>
          <m:sSub>
            <m:e>
              <m:r>
                <m:t>f</m:t>
              </m:r>
            </m:e>
            <m:sub>
              <m:r>
                <m:t>k</m:t>
              </m:r>
            </m:sub>
          </m:sSub>
          <m:r>
            <m:rPr>
              <m:sty m:val="p"/>
            </m:rPr>
            <m:t>.</m:t>
          </m:r>
        </m:oMath>
      </m:oMathPara>
    </w:p>
    <w:p>
      <w:pPr>
        <w:pStyle w:val="FirstParagraph"/>
      </w:pPr>
      <w:r>
        <w:t xml:space="preserve">Eine Zeile des CNEC-Operators</w:t>
      </w:r>
      <w:r>
        <w:t xml:space="preserve"> </w:t>
      </w:r>
      <m:oMath>
        <m:r>
          <m:t>K</m:t>
        </m:r>
        <m:r>
          <m:rPr>
            <m:sty m:val="p"/>
          </m:rPr>
          <m:t>∈</m:t>
        </m:r>
        <m:sSup>
          <m:e>
            <m:r>
              <m:rPr>
                <m:sty m:val="p"/>
                <m:scr m:val="double-struck"/>
              </m:rPr>
              <m:t>R</m:t>
            </m:r>
          </m:e>
          <m:sup>
            <m:r>
              <m:t>C</m:t>
            </m:r>
            <m:r>
              <m:rPr>
                <m:sty m:val="p"/>
              </m:rPr>
              <m:t>×</m:t>
            </m:r>
            <m:r>
              <m:t>L</m:t>
            </m:r>
          </m:sup>
        </m:sSup>
      </m:oMath>
      <w:r>
        <w:t xml:space="preserve"> </w:t>
      </w:r>
      <w:r>
        <w:t xml:space="preserve">besitzt damit in den Spalten</w:t>
      </w:r>
      <w:r>
        <w:t xml:space="preserve"> </w:t>
      </w:r>
      <m:oMath>
        <m:r>
          <m:rPr>
            <m:sty m:val="p"/>
          </m:rPr>
          <m:t>ℓ</m:t>
        </m:r>
      </m:oMath>
      <w:r>
        <w:t xml:space="preserve"> </w:t>
      </w:r>
      <w:r>
        <w:t xml:space="preserve">und</w:t>
      </w:r>
      <w:r>
        <w:t xml:space="preserve"> </w:t>
      </w:r>
      <m:oMath>
        <m:r>
          <m:t>k</m:t>
        </m:r>
      </m:oMath>
      <w:r>
        <w:t xml:space="preserve"> </w:t>
      </w:r>
      <w:r>
        <w:t xml:space="preserve">die Faktoren</w:t>
      </w:r>
      <w:r>
        <w:t xml:space="preserve"> </w:t>
      </w:r>
      <m:oMath>
        <m:r>
          <m:t>1</m:t>
        </m:r>
      </m:oMath>
      <w:r>
        <w:t xml:space="preserve"> </w:t>
      </w:r>
      <w:r>
        <w:t xml:space="preserve">und</w:t>
      </w:r>
      <w:r>
        <w:t xml:space="preserve"> </w:t>
      </w:r>
      <m:oMath>
        <m:sSub>
          <m:e>
            <m:r>
              <m:rPr>
                <m:sty m:val="p"/>
              </m:rPr>
              <m:t>L</m:t>
            </m:r>
            <m:r>
              <m:rPr>
                <m:sty m:val="p"/>
              </m:rPr>
              <m:t>O</m:t>
            </m:r>
            <m:r>
              <m:rPr>
                <m:sty m:val="p"/>
              </m:rPr>
              <m:t>D</m:t>
            </m:r>
            <m:r>
              <m:rPr>
                <m:sty m:val="p"/>
              </m:rPr>
              <m:t>F</m:t>
            </m:r>
          </m:e>
          <m:sub>
            <m:r>
              <m:rPr>
                <m:sty m:val="p"/>
              </m:rPr>
              <m:t>ℓ</m:t>
            </m:r>
            <m:r>
              <m:t>k</m:t>
            </m:r>
          </m:sub>
        </m:sSub>
      </m:oMath>
      <w:r>
        <w:t xml:space="preserve">. Ohne Ausfall ist die Zeile nur ein Selektor</w:t>
      </w:r>
      <w:r>
        <w:t xml:space="preserve"> </w:t>
      </w:r>
      <m:oMath>
        <m:sSubSup>
          <m:e>
            <m:r>
              <m:t>e</m:t>
            </m:r>
          </m:e>
          <m:sub>
            <m:r>
              <m:rPr>
                <m:sty m:val="p"/>
              </m:rPr>
              <m:t>ℓ</m:t>
            </m:r>
          </m:sub>
          <m:sup>
            <m:r>
              <m:rPr>
                <m:sty m:val="p"/>
                <m:scr m:val="sans-serif"/>
              </m:rPr>
              <m:t>T</m:t>
            </m:r>
          </m:sup>
        </m:sSubSup>
      </m:oMath>
      <w:r>
        <w:t xml:space="preserve">. Für mehrere CNECs:</w:t>
      </w:r>
    </w:p>
    <w:p>
      <w:pPr>
        <w:pStyle w:val="BodyText"/>
      </w:pPr>
      <m:oMathPara>
        <m:oMathParaPr>
          <m:jc m:val="center"/>
        </m:oMathParaPr>
        <m:oMath>
          <m:sSub>
            <m:e>
              <m:r>
                <m:t>f</m:t>
              </m:r>
            </m:e>
            <m:sub>
              <m:r>
                <m:t>C</m:t>
              </m:r>
            </m:sub>
          </m:sSub>
          <m:r>
            <m:rPr>
              <m:sty m:val="p"/>
            </m:rPr>
            <m:t>=</m:t>
          </m:r>
          <m:r>
            <m:t>K</m:t>
          </m:r>
          <m:sSub>
            <m:e>
              <m:r>
                <m:t>f</m:t>
              </m:r>
            </m:e>
            <m:sub>
              <m:r>
                <m:t>d</m:t>
              </m:r>
            </m:sub>
          </m:sSub>
          <m:r>
            <m:rPr>
              <m:sty m:val="p"/>
            </m:rPr>
            <m:t>,</m:t>
          </m:r>
          <m:r>
            <m:t>  </m:t>
          </m:r>
          <m:sSub>
            <m:e>
              <m:r>
                <m:t>H</m:t>
              </m:r>
            </m:e>
            <m:sub>
              <m:r>
                <m:t>C</m:t>
              </m:r>
            </m:sub>
          </m:sSub>
          <m:r>
            <m:rPr>
              <m:sty m:val="p"/>
            </m:rPr>
            <m:t>=</m:t>
          </m:r>
          <m:r>
            <m:t>K</m:t>
          </m:r>
          <m:sSub>
            <m:e>
              <m:r>
                <m:t>H</m:t>
              </m:r>
            </m:e>
            <m:sub>
              <m:r>
                <m:t>d</m:t>
              </m:r>
            </m:sub>
          </m:sSub>
          <m:r>
            <m:rPr>
              <m:sty m:val="p"/>
            </m:rPr>
            <m:t>.</m:t>
          </m:r>
        </m:oMath>
      </m:oMathPara>
    </w:p>
    <w:p>
      <w:pPr>
        <w:pStyle w:val="FirstParagraph"/>
      </w:pPr>
      <w:r>
        <w:t xml:space="preserve">Der kritische Unterschied:</w:t>
      </w:r>
      <w:r>
        <w:t xml:space="preserve"> </w:t>
      </w:r>
      <m:oMath>
        <m:r>
          <m:t>K</m:t>
        </m:r>
      </m:oMath>
      <w:r>
        <w:t xml:space="preserve"> </w:t>
      </w:r>
      <w:r>
        <w:rPr>
          <w:b/>
          <w:bCs/>
        </w:rPr>
        <w:t xml:space="preserve">bewahrt physische kritische Flussrestriktionen</w:t>
      </w:r>
      <w:r>
        <w:t xml:space="preserve">, statt die einzelnen Leitungsflüsse zu einem Zonenschnitt zu summieren. Eine thermisch kritische Leitung, die innerhalb einer Marktzone liegt, kann im FBMC weiterhin einen grenzüberschreitenden Handel begrenzen. Inselbildende Ausfälle oder Netztopologieänderungen benötigen eine gesonderte Modellierung, da das LODF-Standardverfahren dann nicht gilt.</w:t>
      </w:r>
    </w:p>
    <w:bookmarkEnd w:id="23"/>
    <w:bookmarkEnd w:id="24"/>
    <w:bookmarkStart w:id="27" w:name="Xfcb2976079391d5e26547e512233a4e7418324a"/>
    <w:p>
      <w:pPr>
        <w:pStyle w:val="Heading1"/>
      </w:pPr>
      <w:r>
        <w:t xml:space="preserve">3. Technologiespezifische PTDFs und Generation Shift Keys</w:t>
      </w:r>
    </w:p>
    <w:bookmarkStart w:id="25" w:name="X3979cd32a9f0bb1bacec7a0e1978cfacb6c4856"/>
    <w:p>
      <w:pPr>
        <w:pStyle w:val="Heading2"/>
      </w:pPr>
      <w:r>
        <w:t xml:space="preserve">3.1 Warum dieselbe Matrixstruktur nicht dieselbe Bedeutung hat</w:t>
      </w:r>
    </w:p>
    <w:p>
      <w:pPr>
        <w:pStyle w:val="FirstParagraph"/>
      </w:pPr>
      <w:r>
        <w:t xml:space="preserve">Sei</w:t>
      </w:r>
      <w:r>
        <w:t xml:space="preserve"> </w:t>
      </w:r>
      <m:oMath>
        <m:sSub>
          <m:e>
            <m:r>
              <m:t>P</m:t>
            </m:r>
          </m:e>
          <m:sub>
            <m:r>
              <m:t>B</m:t>
            </m:r>
          </m:sub>
        </m:sSub>
        <m:r>
          <m:rPr>
            <m:sty m:val="p"/>
          </m:rPr>
          <m:t>∈</m:t>
        </m:r>
        <m:r>
          <m:rPr>
            <m:sty m:val="p"/>
          </m:rPr>
          <m:t>{</m:t>
        </m:r>
        <m:r>
          <m:t>0</m:t>
        </m:r>
        <m:r>
          <m:rPr>
            <m:sty m:val="p"/>
          </m:rPr>
          <m:t>,</m:t>
        </m:r>
        <m:r>
          <m:t>1</m:t>
        </m:r>
        <m:sSup>
          <m:e>
            <m:r>
              <m:rPr>
                <m:sty m:val="p"/>
              </m:rPr>
              <m:t>}</m:t>
            </m:r>
          </m:e>
          <m:sup>
            <m:sSub>
              <m:e>
                <m:r>
                  <m:t>Z</m:t>
                </m:r>
              </m:e>
              <m:sub>
                <m:r>
                  <m:t>B</m:t>
                </m:r>
              </m:sub>
            </m:sSub>
            <m:r>
              <m:rPr>
                <m:sty m:val="p"/>
              </m:rPr>
              <m:t>×</m:t>
            </m:r>
            <m:r>
              <m:t>N</m:t>
            </m:r>
          </m:sup>
        </m:sSup>
      </m:oMath>
      <w:r>
        <w:t xml:space="preserve"> </w:t>
      </w:r>
      <w:r>
        <w:t xml:space="preserve">die</w:t>
      </w:r>
      <w:r>
        <w:t xml:space="preserve"> </w:t>
      </w:r>
      <w:r>
        <w:rPr>
          <w:b/>
          <w:bCs/>
        </w:rPr>
        <w:t xml:space="preserve">offizielle Marktgebotszonenpartition</w:t>
      </w:r>
      <w:r>
        <w:t xml:space="preserve"> </w:t>
      </w:r>
      <w:r>
        <w:t xml:space="preserve">und</w:t>
      </w:r>
      <w:r>
        <w:t xml:space="preserve"> </w:t>
      </w:r>
      <m:oMath>
        <m:r>
          <m:t>G</m:t>
        </m:r>
        <m:r>
          <m:rPr>
            <m:sty m:val="p"/>
          </m:rPr>
          <m:t>∈</m:t>
        </m:r>
        <m:sSup>
          <m:e>
            <m:r>
              <m:rPr>
                <m:sty m:val="p"/>
                <m:scr m:val="double-struck"/>
              </m:rPr>
              <m:t>R</m:t>
            </m:r>
          </m:e>
          <m:sup>
            <m:r>
              <m:t>N</m:t>
            </m:r>
            <m:r>
              <m:rPr>
                <m:sty m:val="p"/>
              </m:rPr>
              <m:t>×</m:t>
            </m:r>
            <m:sSub>
              <m:e>
                <m:r>
                  <m:t>Z</m:t>
                </m:r>
              </m:e>
              <m:sub>
                <m:r>
                  <m:t>B</m:t>
                </m:r>
              </m:sub>
            </m:sSub>
          </m:sup>
        </m:sSup>
      </m:oMath>
      <w:r>
        <w:t xml:space="preserve"> </w:t>
      </w:r>
      <w:r>
        <w:t xml:space="preserve">die GLSK-/GSK-Verteilung mit</w:t>
      </w:r>
    </w:p>
    <w:p>
      <w:pPr>
        <w:pStyle w:val="BodyText"/>
      </w:pPr>
      <m:oMathPara>
        <m:oMathParaPr>
          <m:jc m:val="center"/>
        </m:oMathParaPr>
        <m:oMath>
          <m:sSub>
            <m:e>
              <m:r>
                <m:t>P</m:t>
              </m:r>
            </m:e>
            <m:sub>
              <m:r>
                <m:t>B</m:t>
              </m:r>
            </m:sub>
          </m:sSub>
          <m:r>
            <m:t>G</m:t>
          </m:r>
          <m:r>
            <m:rPr>
              <m:sty m:val="p"/>
            </m:rPr>
            <m:t>=</m:t>
          </m:r>
          <m:sSub>
            <m:e>
              <m:r>
                <m:t>I</m:t>
              </m:r>
            </m:e>
            <m:sub>
              <m:sSub>
                <m:e>
                  <m:r>
                    <m:t>Z</m:t>
                  </m:r>
                </m:e>
                <m:sub>
                  <m:r>
                    <m:t>B</m:t>
                  </m:r>
                </m:sub>
              </m:sSub>
            </m:sub>
          </m:sSub>
          <m:r>
            <m:rPr>
              <m:sty m:val="p"/>
            </m:rPr>
            <m:t>.</m:t>
          </m:r>
        </m:oMath>
      </m:oMathPara>
    </w:p>
    <w:p>
      <w:pPr>
        <w:pStyle w:val="FirstParagraph"/>
      </w:pPr>
      <w:r>
        <w:t xml:space="preserve">Bei einer Nettohandelsänderung</w:t>
      </w:r>
      <w:r>
        <w:t xml:space="preserve"> </w:t>
      </w:r>
      <m:oMath>
        <m:r>
          <m:t>Δ</m:t>
        </m:r>
        <m:r>
          <m:t>N</m:t>
        </m:r>
        <m:r>
          <m:t>P</m:t>
        </m:r>
      </m:oMath>
      <w:r>
        <w:t xml:space="preserve"> </w:t>
      </w:r>
      <w:r>
        <w:t xml:space="preserve">mit</w:t>
      </w:r>
      <w:r>
        <w:t xml:space="preserve"> </w:t>
      </w:r>
      <m:oMath>
        <m:sSup>
          <m:e>
            <m:r>
              <m:rPr>
                <m:sty m:val="b"/>
              </m:rPr>
              <m:t>1</m:t>
            </m:r>
          </m:e>
          <m:sup>
            <m:r>
              <m:rPr>
                <m:sty m:val="p"/>
                <m:scr m:val="sans-serif"/>
              </m:rPr>
              <m:t>T</m:t>
            </m:r>
          </m:sup>
        </m:sSup>
        <m:r>
          <m:t>Δ</m:t>
        </m:r>
        <m:r>
          <m:t>N</m:t>
        </m:r>
        <m:r>
          <m:t>P</m:t>
        </m:r>
        <m:r>
          <m:rPr>
            <m:sty m:val="p"/>
          </m:rPr>
          <m:t>=</m:t>
        </m:r>
        <m:r>
          <m:t>0</m:t>
        </m:r>
      </m:oMath>
      <w:r>
        <w:t xml:space="preserve"> </w:t>
      </w:r>
      <w:r>
        <w:t xml:space="preserve">gilt</w:t>
      </w:r>
    </w:p>
    <w:p>
      <w:pPr>
        <w:pStyle w:val="BodyText"/>
      </w:pPr>
      <m:oMathPara>
        <m:oMathParaPr>
          <m:jc m:val="center"/>
        </m:oMathParaPr>
        <m:oMath>
          <m:r>
            <m:t>Δ</m:t>
          </m:r>
          <m:sSub>
            <m:e>
              <m:r>
                <m:t>p</m:t>
              </m:r>
            </m:e>
            <m:sub>
              <m:r>
                <m:t>d</m:t>
              </m:r>
            </m:sub>
          </m:sSub>
          <m:r>
            <m:rPr>
              <m:sty m:val="p"/>
            </m:rPr>
            <m:t>≈</m:t>
          </m:r>
          <m:r>
            <m:t>G</m:t>
          </m:r>
          <m:r>
            <m:t>Δ</m:t>
          </m:r>
          <m:r>
            <m:t>N</m:t>
          </m:r>
          <m:r>
            <m:t>P</m:t>
          </m:r>
          <m:r>
            <m:rPr>
              <m:sty m:val="p"/>
            </m:rPr>
            <m:t>,</m:t>
          </m:r>
          <m:r>
            <m:t>  </m:t>
          </m:r>
          <m:r>
            <m:t>Δ</m:t>
          </m:r>
          <m:sSub>
            <m:e>
              <m:r>
                <m:t>f</m:t>
              </m:r>
            </m:e>
            <m:sub>
              <m:r>
                <m:t>C</m:t>
              </m:r>
            </m:sub>
          </m:sSub>
          <m:r>
            <m:rPr>
              <m:sty m:val="p"/>
            </m:rPr>
            <m:t>=</m:t>
          </m:r>
          <m:r>
            <m:t>K</m:t>
          </m:r>
          <m:sSub>
            <m:e>
              <m:r>
                <m:t>H</m:t>
              </m:r>
            </m:e>
            <m:sub>
              <m:r>
                <m:t>d</m:t>
              </m:r>
            </m:sub>
          </m:sSub>
          <m:r>
            <m:t>G</m:t>
          </m:r>
          <m:r>
            <m:t>Δ</m:t>
          </m:r>
          <m:r>
            <m:t>N</m:t>
          </m:r>
          <m:r>
            <m:t>P</m:t>
          </m:r>
          <m:r>
            <m:rPr>
              <m:sty m:val="p"/>
            </m:rPr>
            <m:t>.</m:t>
          </m:r>
        </m:oMath>
      </m:oMathPara>
    </w:p>
    <w:p>
      <w:pPr>
        <w:pStyle w:val="FirstParagraph"/>
      </w:pPr>
      <w:r>
        <w:t xml:space="preserve">Entsprechend lautet die zonale, CNEC-bezogene Markt-PTDF</w:t>
      </w:r>
    </w:p>
    <w:p>
      <w:pPr>
        <w:pStyle w:val="BodyText"/>
      </w:pPr>
      <m:oMathPara>
        <m:oMathParaPr>
          <m:jc m:val="center"/>
        </m:oMathParaPr>
        <m:oMath>
          <m:borderBox>
            <m:e>
              <m:sSub>
                <m:e>
                  <m:r>
                    <m:t>Z</m:t>
                  </m:r>
                </m:e>
                <m:sub>
                  <m:r>
                    <m:rPr>
                      <m:sty m:val="p"/>
                    </m:rPr>
                    <m:t>F</m:t>
                  </m:r>
                  <m:r>
                    <m:rPr>
                      <m:sty m:val="p"/>
                    </m:rPr>
                    <m:t>B</m:t>
                  </m:r>
                </m:sub>
              </m:sSub>
              <m:r>
                <m:rPr>
                  <m:sty m:val="p"/>
                </m:rPr>
                <m:t>=</m:t>
              </m:r>
              <m:r>
                <m:t>K</m:t>
              </m:r>
              <m:sSub>
                <m:e>
                  <m:r>
                    <m:t>H</m:t>
                  </m:r>
                </m:e>
                <m:sub>
                  <m:r>
                    <m:t>d</m:t>
                  </m:r>
                </m:sub>
              </m:sSub>
              <m:r>
                <m:t>G</m:t>
              </m:r>
              <m:r>
                <m:rPr>
                  <m:sty m:val="p"/>
                </m:rPr>
                <m:t>.</m:t>
              </m:r>
            </m:e>
          </m:borderBox>
        </m:oMath>
      </m:oMathPara>
    </w:p>
    <w:p>
      <w:pPr>
        <w:pStyle w:val="FirstParagraph"/>
      </w:pPr>
      <w:r>
        <w:t xml:space="preserve">Die frühere technologiespezifische PTDF</w:t>
      </w:r>
      <w:r>
        <w:t xml:space="preserve"> </w:t>
      </w:r>
      <m:oMath>
        <m:sSubSup>
          <m:e>
            <m:r>
              <m:t>H</m:t>
            </m:r>
          </m:e>
          <m:sub>
            <m:r>
              <m:t>T</m:t>
            </m:r>
          </m:sub>
          <m:sup>
            <m:d>
              <m:dPr>
                <m:begChr m:val="("/>
                <m:endChr m:val=")"/>
                <m:sepChr m:val=""/>
                <m:grow/>
              </m:dPr>
              <m:e>
                <m:r>
                  <m:t>k</m:t>
                </m:r>
              </m:e>
            </m:d>
          </m:sup>
        </m:sSubSup>
        <m:r>
          <m:rPr>
            <m:sty m:val="p"/>
          </m:rPr>
          <m:t>=</m:t>
        </m:r>
        <m:sSub>
          <m:e>
            <m:r>
              <m:t>Γ</m:t>
            </m:r>
          </m:e>
          <m:sub>
            <m:r>
              <m:t>T</m:t>
            </m:r>
          </m:sub>
        </m:sSub>
        <m:sSub>
          <m:e>
            <m:r>
              <m:t>H</m:t>
            </m:r>
          </m:e>
          <m:sub>
            <m:r>
              <m:t>d</m:t>
            </m:r>
          </m:sub>
        </m:sSub>
        <m:sSub>
          <m:e>
            <m:r>
              <m:t>R</m:t>
            </m:r>
          </m:e>
          <m:sub>
            <m:r>
              <m:t>k</m:t>
            </m:r>
          </m:sub>
        </m:sSub>
      </m:oMath>
      <w:r>
        <w:t xml:space="preserve"> </w:t>
      </w:r>
      <w:r>
        <w:t xml:space="preserve">ist deshalb eng verwandt. Das</w:t>
      </w:r>
      <w:r>
        <w:t xml:space="preserve"> </w:t>
      </w:r>
      <m:oMath>
        <m:sSub>
          <m:e>
            <m:r>
              <m:t>R</m:t>
            </m:r>
          </m:e>
          <m:sub>
            <m:r>
              <m:t>k</m:t>
            </m:r>
          </m:sub>
        </m:sSub>
      </m:oMath>
      <w:r>
        <w:t xml:space="preserve"> </w:t>
      </w:r>
      <w:r>
        <w:t xml:space="preserve">beschreibt aber normalerweise</w:t>
      </w:r>
      <w:r>
        <w:t xml:space="preserve"> </w:t>
      </w:r>
      <w:r>
        <w:rPr>
          <w:b/>
          <w:bCs/>
        </w:rPr>
        <w:t xml:space="preserve">Niveauanteile</w:t>
      </w:r>
      <w:r>
        <w:t xml:space="preserve"> </w:t>
      </w:r>
      <w:r>
        <w:t xml:space="preserve">(wo RES-Verfügbarkeit, Last oder installierte konventionelle Leistung räumlich liegen); ein operatives GSK beschreibt</w:t>
      </w:r>
      <w:r>
        <w:t xml:space="preserve"> </w:t>
      </w:r>
      <w:r>
        <w:rPr>
          <w:b/>
          <w:bCs/>
        </w:rPr>
        <w:t xml:space="preserve">marginale Einspeisungs- und Nachfrageänderungen</w:t>
      </w:r>
      <w:r>
        <w:t xml:space="preserve"> </w:t>
      </w:r>
      <w:r>
        <w:t xml:space="preserve">zur Änderung einer</w:t>
      </w:r>
      <w:r>
        <w:t xml:space="preserve"> </w:t>
      </w:r>
      <w:r>
        <w:rPr>
          <w:b/>
          <w:bCs/>
        </w:rPr>
        <w:t xml:space="preserve">Bidding-Zone-Net-Position</w:t>
      </w:r>
      <w:r>
        <w:t xml:space="preserve">. Eine statische technologie-/kostenbasierte Verteilung kann als</w:t>
      </w:r>
      <w:r>
        <w:t xml:space="preserve"> </w:t>
      </w:r>
      <w:r>
        <w:rPr>
          <w:i/>
          <w:iCs/>
        </w:rPr>
        <w:t xml:space="preserve">hypothetisches GSK</w:t>
      </w:r>
      <w:r>
        <w:t xml:space="preserve"> </w:t>
      </w:r>
      <w:r>
        <w:t xml:space="preserve">ausprobiert werden, darf aber nicht ohne Datenqualifikation als tatsächlich verwendetes Core-GLSK bezeichnet werden. ENTSO-E weist ausdrücklich darauf hin, dass GLSKs von den TSOs erzeugt werden und stündlich variieren können [F1].</w:t>
      </w:r>
    </w:p>
    <w:bookmarkEnd w:id="25"/>
    <w:bookmarkStart w:id="26" w:name="Xa078bdcad2e5af05bda71db75658c7ce66faed4"/>
    <w:p>
      <w:pPr>
        <w:pStyle w:val="Heading2"/>
      </w:pPr>
      <w:r>
        <w:t xml:space="preserve">3.2 Drei aus unserer Studie unmittelbar verfügbare GSK-Kandidaten</w:t>
      </w:r>
    </w:p>
    <w:p>
      <w:pPr>
        <w:pStyle w:val="FirstParagraph"/>
      </w:pPr>
      <w:r>
        <w:t xml:space="preserve">Für die Knoten</w:t>
      </w:r>
      <w:r>
        <w:t xml:space="preserve"> </w:t>
      </w:r>
      <m:oMath>
        <m:r>
          <m:t>i</m:t>
        </m:r>
      </m:oMath>
      <w:r>
        <w:t xml:space="preserve"> </w:t>
      </w:r>
      <w:r>
        <w:t xml:space="preserve">einer Marktzone</w:t>
      </w:r>
      <w:r>
        <w:t xml:space="preserve"> </w:t>
      </w:r>
      <m:oMath>
        <m:r>
          <m:t>z</m:t>
        </m:r>
      </m:oMath>
      <w:r>
        <w:t xml:space="preserve"> </w:t>
      </w:r>
      <w:r>
        <w:t xml:space="preserve">können Vergleichsoperatoren gebildet werden:</w:t>
      </w:r>
    </w:p>
    <w:p>
      <w:pPr>
        <w:pStyle w:val="BodyText"/>
      </w:pPr>
      <m:oMathPara>
        <m:oMathParaPr>
          <m:jc m:val="center"/>
        </m:oMathParaPr>
        <m:oMath>
          <m:sSubSup>
            <m:e>
              <m:r>
                <m:t>G</m:t>
              </m:r>
            </m:e>
            <m:sub>
              <m:r>
                <m:t>i</m:t>
              </m:r>
              <m:r>
                <m:t>z</m:t>
              </m:r>
            </m:sub>
            <m:sup>
              <m:r>
                <m:rPr>
                  <m:sty m:val="p"/>
                </m:rPr>
                <m:t>u</m:t>
              </m:r>
              <m:r>
                <m:rPr>
                  <m:sty m:val="p"/>
                </m:rPr>
                <m:t>n</m:t>
              </m:r>
              <m:r>
                <m:rPr>
                  <m:sty m:val="p"/>
                </m:rPr>
                <m:t>i</m:t>
              </m:r>
            </m:sup>
          </m:sSubSup>
          <m:r>
            <m:rPr>
              <m:sty m:val="p"/>
            </m:rPr>
            <m:t>=</m:t>
          </m:r>
          <m:f>
            <m:fPr>
              <m:type m:val="bar"/>
            </m:fPr>
            <m:num>
              <m:r>
                <m:t>1</m:t>
              </m:r>
            </m:num>
            <m:den>
              <m:d>
                <m:dPr>
                  <m:begChr m:val="|"/>
                  <m:endChr m:val="|"/>
                  <m:sepChr m:val=""/>
                  <m:grow/>
                </m:dPr>
                <m:e>
                  <m:sSub>
                    <m:e>
                      <m:r>
                        <m:rPr>
                          <m:sty m:val="p"/>
                          <m:scr m:val="script"/>
                        </m:rPr>
                        <m:t>N</m:t>
                      </m:r>
                    </m:e>
                    <m:sub>
                      <m:r>
                        <m:t>z</m:t>
                      </m:r>
                    </m:sub>
                  </m:sSub>
                </m:e>
              </m:d>
            </m:den>
          </m:f>
          <m:r>
            <m:rPr>
              <m:sty m:val="p"/>
            </m:rPr>
            <m:t>,</m:t>
          </m:r>
          <m:r>
            <m:t>  </m:t>
          </m:r>
          <m:sSubSup>
            <m:e>
              <m:r>
                <m:t>G</m:t>
              </m:r>
            </m:e>
            <m:sub>
              <m:r>
                <m:t>i</m:t>
              </m:r>
              <m:r>
                <m:t>z</m:t>
              </m:r>
            </m:sub>
            <m:sup>
              <m:r>
                <m:rPr>
                  <m:sty m:val="p"/>
                </m:rPr>
                <m:t>c</m:t>
              </m:r>
              <m:r>
                <m:rPr>
                  <m:sty m:val="p"/>
                </m:rPr>
                <m:t>a</m:t>
              </m:r>
              <m:r>
                <m:rPr>
                  <m:sty m:val="p"/>
                </m:rPr>
                <m:t>p</m:t>
              </m:r>
            </m:sup>
          </m:sSubSup>
          <m:r>
            <m:rPr>
              <m:sty m:val="p"/>
            </m:rPr>
            <m:t>=</m:t>
          </m:r>
          <m:f>
            <m:fPr>
              <m:type m:val="bar"/>
            </m:fPr>
            <m:num>
              <m:sSub>
                <m:e>
                  <m:r>
                    <m:t>C</m:t>
                  </m:r>
                </m:e>
                <m:sub>
                  <m:r>
                    <m:t>i</m:t>
                  </m:r>
                </m:sub>
              </m:sSub>
            </m:num>
            <m:den>
              <m:nary>
                <m:naryPr>
                  <m:chr m:val="∑"/>
                  <m:limLoc m:val="undOvr"/>
                  <m:subHide m:val="off"/>
                  <m:supHide m:val="on"/>
                </m:naryPr>
                <m:sub>
                  <m:r>
                    <m:t>j</m:t>
                  </m:r>
                  <m:r>
                    <m:rPr>
                      <m:sty m:val="p"/>
                    </m:rPr>
                    <m:t>∈</m:t>
                  </m:r>
                  <m:sSub>
                    <m:e>
                      <m:r>
                        <m:rPr>
                          <m:sty m:val="p"/>
                          <m:scr m:val="script"/>
                        </m:rPr>
                        <m:t>N</m:t>
                      </m:r>
                    </m:e>
                    <m:sub>
                      <m:r>
                        <m:t>z</m:t>
                      </m:r>
                    </m:sub>
                  </m:sSub>
                </m:sub>
                <m:sup>
                  <m:r>
                    <m:t>​</m:t>
                  </m:r>
                </m:sup>
                <m:e>
                  <m:sSub>
                    <m:e>
                      <m:r>
                        <m:t>C</m:t>
                      </m:r>
                    </m:e>
                    <m:sub>
                      <m:r>
                        <m:t>j</m:t>
                      </m:r>
                    </m:sub>
                  </m:sSub>
                </m:e>
              </m:nary>
            </m:den>
          </m:f>
          <m:r>
            <m:rPr>
              <m:sty m:val="p"/>
            </m:rPr>
            <m:t>.</m:t>
          </m:r>
        </m:oMath>
      </m:oMathPara>
    </w:p>
    <w:p>
      <w:pPr>
        <w:pStyle w:val="FirstParagraph"/>
      </w:pPr>
      <w:r>
        <w:t xml:space="preserve">Ein</w:t>
      </w:r>
      <w:r>
        <w:t xml:space="preserve"> </w:t>
      </w:r>
      <w:r>
        <w:rPr>
          <w:i/>
          <w:iCs/>
        </w:rPr>
        <w:t xml:space="preserve">explizit als Research-Proxy deklarierter</w:t>
      </w:r>
      <w:r>
        <w:t xml:space="preserve"> </w:t>
      </w:r>
      <w:r>
        <w:t xml:space="preserve">Merit-Order-Schlüssel könnte etwa</w:t>
      </w:r>
    </w:p>
    <w:p>
      <w:pPr>
        <w:pStyle w:val="BodyText"/>
      </w:pPr>
      <m:oMathPara>
        <m:oMathParaPr>
          <m:jc m:val="center"/>
        </m:oMathParaPr>
        <m:oMath>
          <m:sSubSup>
            <m:e>
              <m:r>
                <m:t>G</m:t>
              </m:r>
            </m:e>
            <m:sub>
              <m:r>
                <m:t>i</m:t>
              </m:r>
              <m:r>
                <m:t>z</m:t>
              </m:r>
            </m:sub>
            <m:sup>
              <m:r>
                <m:rPr>
                  <m:sty m:val="p"/>
                </m:rPr>
                <m:t>M</m:t>
              </m:r>
              <m:r>
                <m:rPr>
                  <m:sty m:val="p"/>
                </m:rPr>
                <m:t>O</m:t>
              </m:r>
            </m:sup>
          </m:sSubSup>
          <m:r>
            <m:rPr>
              <m:sty m:val="p"/>
            </m:rPr>
            <m:t>=</m:t>
          </m:r>
          <m:f>
            <m:fPr>
              <m:type m:val="bar"/>
            </m:fPr>
            <m:num>
              <m:sSub>
                <m:e>
                  <m:r>
                    <m:t>C</m:t>
                  </m:r>
                </m:e>
                <m:sub>
                  <m:r>
                    <m:t>i</m:t>
                  </m:r>
                </m:sub>
              </m:sSub>
              <m:r>
                <m:t> </m:t>
              </m:r>
              <m:r>
                <m:t>ψ</m:t>
              </m:r>
              <m:d>
                <m:dPr>
                  <m:begChr m:val="("/>
                  <m:endChr m:val=")"/>
                  <m:sepChr m:val=""/>
                  <m:grow/>
                </m:dPr>
                <m:e>
                  <m:sSub>
                    <m:e>
                      <m:r>
                        <m:t>c</m:t>
                      </m:r>
                    </m:e>
                    <m:sub>
                      <m:r>
                        <m:t>i</m:t>
                      </m:r>
                    </m:sub>
                  </m:sSub>
                </m:e>
              </m:d>
            </m:num>
            <m:den>
              <m:nary>
                <m:naryPr>
                  <m:chr m:val="∑"/>
                  <m:limLoc m:val="undOvr"/>
                  <m:subHide m:val="off"/>
                  <m:supHide m:val="on"/>
                </m:naryPr>
                <m:sub>
                  <m:r>
                    <m:t>j</m:t>
                  </m:r>
                  <m:r>
                    <m:rPr>
                      <m:sty m:val="p"/>
                    </m:rPr>
                    <m:t>∈</m:t>
                  </m:r>
                  <m:sSub>
                    <m:e>
                      <m:r>
                        <m:rPr>
                          <m:sty m:val="p"/>
                          <m:scr m:val="script"/>
                        </m:rPr>
                        <m:t>N</m:t>
                      </m:r>
                    </m:e>
                    <m:sub>
                      <m:r>
                        <m:t>z</m:t>
                      </m:r>
                    </m:sub>
                  </m:sSub>
                </m:sub>
                <m:sup>
                  <m:r>
                    <m:t>​</m:t>
                  </m:r>
                </m:sup>
                <m:e>
                  <m:sSub>
                    <m:e>
                      <m:r>
                        <m:t>C</m:t>
                      </m:r>
                    </m:e>
                    <m:sub>
                      <m:r>
                        <m:t>j</m:t>
                      </m:r>
                    </m:sub>
                  </m:sSub>
                </m:e>
              </m:nary>
              <m:r>
                <m:t> </m:t>
              </m:r>
              <m:r>
                <m:t>ψ</m:t>
              </m:r>
              <m:d>
                <m:dPr>
                  <m:begChr m:val="("/>
                  <m:endChr m:val=")"/>
                  <m:sepChr m:val=""/>
                  <m:grow/>
                </m:dPr>
                <m:e>
                  <m:sSub>
                    <m:e>
                      <m:r>
                        <m:t>c</m:t>
                      </m:r>
                    </m:e>
                    <m:sub>
                      <m:r>
                        <m:t>j</m:t>
                      </m:r>
                    </m:sub>
                  </m:sSub>
                </m:e>
              </m:d>
            </m:den>
          </m:f>
          <m:r>
            <m:rPr>
              <m:sty m:val="p"/>
            </m:rPr>
            <m:t>,</m:t>
          </m:r>
          <m:r>
            <m:t>  </m:t>
          </m:r>
          <m:r>
            <m:t>ψ</m:t>
          </m:r>
          <m:d>
            <m:dPr>
              <m:begChr m:val="("/>
              <m:endChr m:val=")"/>
              <m:sepChr m:val=""/>
              <m:grow/>
            </m:dPr>
            <m:e>
              <m:sSub>
                <m:e>
                  <m:r>
                    <m:t>c</m:t>
                  </m:r>
                </m:e>
                <m:sub>
                  <m:r>
                    <m:t>i</m:t>
                  </m:r>
                </m:sub>
              </m:sSub>
            </m:e>
          </m:d>
          <m:r>
            <m:rPr>
              <m:sty m:val="p"/>
            </m:rPr>
            <m:t>&gt;</m:t>
          </m:r>
          <m:r>
            <m:t>0</m:t>
          </m:r>
          <m:r>
            <m:rPr>
              <m:sty m:val="p"/>
            </m:rPr>
            <m:t>,</m:t>
          </m:r>
          <m:r>
            <m:t> </m:t>
          </m:r>
          <m:r>
            <m:t>ψ</m:t>
          </m:r>
          <m:r>
            <m:rPr>
              <m:sty m:val="p"/>
            </m:rPr>
            <m:t>′</m:t>
          </m:r>
          <m:d>
            <m:dPr>
              <m:begChr m:val="("/>
              <m:endChr m:val=")"/>
              <m:sepChr m:val=""/>
              <m:grow/>
            </m:dPr>
            <m:e>
              <m:sSub>
                <m:e>
                  <m:r>
                    <m:t>c</m:t>
                  </m:r>
                </m:e>
                <m:sub>
                  <m:r>
                    <m:t>i</m:t>
                  </m:r>
                </m:sub>
              </m:sSub>
            </m:e>
          </m:d>
          <m:r>
            <m:rPr>
              <m:sty m:val="p"/>
            </m:rPr>
            <m:t>&lt;</m:t>
          </m:r>
          <m:r>
            <m:t>0</m:t>
          </m:r>
          <m:r>
            <m:rPr>
              <m:sty m:val="p"/>
            </m:rPr>
            <m:t>,</m:t>
          </m:r>
        </m:oMath>
      </m:oMathPara>
    </w:p>
    <w:p>
      <w:pPr>
        <w:pStyle w:val="FirstParagraph"/>
      </w:pPr>
      <w:r>
        <w:t xml:space="preserve">mit festen marginalen Grenzkosten</w:t>
      </w:r>
      <w:r>
        <w:t xml:space="preserve"> </w:t>
      </w:r>
      <m:oMath>
        <m:sSub>
          <m:e>
            <m:r>
              <m:t>c</m:t>
            </m:r>
          </m:e>
          <m:sub>
            <m:r>
              <m:t>i</m:t>
            </m:r>
          </m:sub>
        </m:sSub>
      </m:oMath>
      <w:r>
        <w:t xml:space="preserve"> </w:t>
      </w:r>
      <w:r>
        <w:t xml:space="preserve">benutzen. Das im Code getestete Beispiel setzt</w:t>
      </w:r>
      <w:r>
        <w:t xml:space="preserve"> </w:t>
      </w:r>
      <m:oMath>
        <m:r>
          <m:t>ψ</m:t>
        </m:r>
        <m:d>
          <m:dPr>
            <m:begChr m:val="("/>
            <m:endChr m:val=")"/>
            <m:sepChr m:val=""/>
            <m:grow/>
          </m:dPr>
          <m:e>
            <m:r>
              <m:t>c</m:t>
            </m:r>
          </m:e>
        </m:d>
        <m:r>
          <m:rPr>
            <m:sty m:val="p"/>
          </m:rPr>
          <m:t>=</m:t>
        </m:r>
        <m:r>
          <m:t>1</m:t>
        </m:r>
        <m:r>
          <m:rPr>
            <m:sty m:val="p"/>
          </m:rPr>
          <m:t>/</m:t>
        </m:r>
        <m:d>
          <m:dPr>
            <m:begChr m:val="("/>
            <m:endChr m:val=")"/>
            <m:sepChr m:val=""/>
            <m:grow/>
          </m:dPr>
          <m:e>
            <m:r>
              <m:t>1</m:t>
            </m:r>
            <m:r>
              <m:rPr>
                <m:sty m:val="p"/>
              </m:rPr>
              <m:t>+</m:t>
            </m:r>
            <m:r>
              <m:t>c</m:t>
            </m:r>
            <m:r>
              <m:rPr>
                <m:sty m:val="p"/>
              </m:rPr>
              <m:t>/</m:t>
            </m:r>
            <m:r>
              <m:t>50</m:t>
            </m:r>
          </m:e>
        </m:d>
      </m:oMath>
      <w:r>
        <w:t xml:space="preserve"> </w:t>
      </w:r>
      <w:r>
        <w:t xml:space="preserve">und ist</w:t>
      </w:r>
      <w:r>
        <w:t xml:space="preserve"> </w:t>
      </w:r>
      <w:r>
        <w:rPr>
          <w:b/>
          <w:bCs/>
        </w:rPr>
        <w:t xml:space="preserve">keine physikalische oder europäische regulatorische Formel</w:t>
      </w:r>
      <w:r>
        <w:t xml:space="preserve">. Gleichung (11) ist ferner kein tatsächlicher Merit-Order-Clearingalgorithmus mit Begrenzungen und Residualbedarf; sie ist eine glatte, positive Kostenpräferenz.</w:t>
      </w:r>
    </w:p>
    <w:p>
      <w:pPr>
        <w:pStyle w:val="BodyText"/>
      </w:pPr>
      <w:r>
        <w:rPr>
          <w:b/>
          <w:bCs/>
        </w:rPr>
        <w:t xml:space="preserve">Vorteil:</w:t>
      </w:r>
      <w:r>
        <w:t xml:space="preserve"> </w:t>
      </w:r>
      <w:r>
        <w:t xml:space="preserve">Die GSK-Hypothese kann ohne stündlich optimierten Dispatch als stabiler Sensitivitätsoperator verwendet werden.</w:t>
      </w:r>
      <w:r>
        <w:t xml:space="preserve"> </w:t>
      </w:r>
      <w:r>
        <w:rPr>
          <w:b/>
          <w:bCs/>
        </w:rPr>
        <w:t xml:space="preserve">Nachteil:</w:t>
      </w:r>
      <w:r>
        <w:t xml:space="preserve"> </w:t>
      </w:r>
      <w:r>
        <w:t xml:space="preserve">Die Kostenannahme sagt nicht zwingend voraus, an welchen Knoten sich der Betrieb bei einer Nettohandelsänderung tatsächlich anpasst. Eine feste Kernkraft- oder Gasreferenz kann ihren Einfluss überschätzen, falls Anlagen nicht flexibel sind oder nicht am marginalen Handel reagieren.</w:t>
      </w:r>
    </w:p>
    <w:bookmarkEnd w:id="26"/>
    <w:bookmarkEnd w:id="27"/>
    <w:bookmarkStart w:id="30" w:name="f0-im-tyndp-netzmodell-und-f0ram-im-fbmc"/>
    <w:p>
      <w:pPr>
        <w:pStyle w:val="Heading1"/>
      </w:pPr>
      <w:r>
        <w:t xml:space="preserve">4. F0 im TYNDP-Netzmodell und F0/RAM im FBMC</w:t>
      </w:r>
    </w:p>
    <w:p>
      <w:pPr>
        <w:pStyle w:val="FirstParagraph"/>
      </w:pPr>
      <w:r>
        <w:t xml:space="preserve">Die im bisherigen Projekt diskutierte strukturelle TYNDP-Korrektur und die operative FBMC-Nullpositionskomponente sind</w:t>
      </w:r>
      <w:r>
        <w:t xml:space="preserve"> </w:t>
      </w:r>
      <w:r>
        <w:rPr>
          <w:b/>
          <w:bCs/>
        </w:rPr>
        <w:t xml:space="preserve">nicht identisch</w:t>
      </w:r>
      <w:r>
        <w:t xml:space="preserve">, teilen aber eine exakte algebraische Zerlegung.</w:t>
      </w:r>
    </w:p>
    <w:bookmarkStart w:id="28" w:name="gemeinsame-algebraische-identität"/>
    <w:p>
      <w:pPr>
        <w:pStyle w:val="Heading2"/>
      </w:pPr>
      <w:r>
        <w:t xml:space="preserve">4.1 Gemeinsame algebraische Identität</w:t>
      </w:r>
    </w:p>
    <w:p>
      <w:pPr>
        <w:pStyle w:val="FirstParagraph"/>
      </w:pPr>
      <w:r>
        <w:t xml:space="preserve">Sei</w:t>
      </w:r>
      <w:r>
        <w:t xml:space="preserve"> </w:t>
      </w:r>
      <m:oMath>
        <m:sSubSup>
          <m:e>
            <m:r>
              <m:t>p</m:t>
            </m:r>
          </m:e>
          <m:sub>
            <m:r>
              <m:t>d</m:t>
            </m:r>
          </m:sub>
          <m:sup>
            <m:r>
              <m:rPr>
                <m:sty m:val="p"/>
              </m:rPr>
              <m:t>r</m:t>
            </m:r>
            <m:r>
              <m:rPr>
                <m:sty m:val="p"/>
              </m:rPr>
              <m:t>e</m:t>
            </m:r>
            <m:r>
              <m:rPr>
                <m:sty m:val="p"/>
              </m:rPr>
              <m:t>f</m:t>
            </m:r>
          </m:sup>
        </m:sSubSup>
      </m:oMath>
      <w:r>
        <w:t xml:space="preserve"> </w:t>
      </w:r>
      <w:r>
        <w:t xml:space="preserve">ein balancierter nodaler Referenzzustand. Seine Marktpositionsprognose lautet</w:t>
      </w:r>
      <w:r>
        <w:t xml:space="preserve"> </w:t>
      </w:r>
      <m:oMath>
        <m:r>
          <m:t>N</m:t>
        </m:r>
        <m:sSup>
          <m:e>
            <m:r>
              <m:t>P</m:t>
            </m:r>
          </m:e>
          <m:sup>
            <m:r>
              <m:rPr>
                <m:sty m:val="p"/>
              </m:rPr>
              <m:t>r</m:t>
            </m:r>
            <m:r>
              <m:rPr>
                <m:sty m:val="p"/>
              </m:rPr>
              <m:t>e</m:t>
            </m:r>
            <m:r>
              <m:rPr>
                <m:sty m:val="p"/>
              </m:rPr>
              <m:t>f</m:t>
            </m:r>
          </m:sup>
        </m:sSup>
        <m:r>
          <m:rPr>
            <m:sty m:val="p"/>
          </m:rPr>
          <m:t>=</m:t>
        </m:r>
        <m:sSub>
          <m:e>
            <m:r>
              <m:t>P</m:t>
            </m:r>
          </m:e>
          <m:sub>
            <m:r>
              <m:t>B</m:t>
            </m:r>
          </m:sub>
        </m:sSub>
        <m:sSubSup>
          <m:e>
            <m:r>
              <m:t>p</m:t>
            </m:r>
          </m:e>
          <m:sub>
            <m:r>
              <m:t>d</m:t>
            </m:r>
          </m:sub>
          <m:sup>
            <m:r>
              <m:rPr>
                <m:sty m:val="p"/>
              </m:rPr>
              <m:t>r</m:t>
            </m:r>
            <m:r>
              <m:rPr>
                <m:sty m:val="p"/>
              </m:rPr>
              <m:t>e</m:t>
            </m:r>
            <m:r>
              <m:rPr>
                <m:sty m:val="p"/>
              </m:rPr>
              <m:t>f</m:t>
            </m:r>
          </m:sup>
        </m:sSubSup>
      </m:oMath>
      <w:r>
        <w:t xml:space="preserve">. Mit einem festen detaillierten Offset</w:t>
      </w:r>
      <w:r>
        <w:t xml:space="preserve"> </w:t>
      </w:r>
      <m:oMath>
        <m:sSub>
          <m:e>
            <m:r>
              <m:t>b</m:t>
            </m:r>
          </m:e>
          <m:sub>
            <m:r>
              <m:t>d</m:t>
            </m:r>
          </m:sub>
        </m:sSub>
      </m:oMath>
      <w:r>
        <w:t xml:space="preserve">, z. B. bei vorgegebenem Phasenschieberzustand, ergibt sich:</w:t>
      </w:r>
    </w:p>
    <w:p>
      <w:pPr>
        <w:pStyle w:val="BodyText"/>
      </w:pPr>
      <m:oMathPara>
        <m:oMathParaPr>
          <m:jc m:val="center"/>
        </m:oMathParaPr>
        <m:oMath>
          <m:sSubSup>
            <m:e>
              <m:r>
                <m:t>f</m:t>
              </m:r>
            </m:e>
            <m:sub>
              <m:r>
                <m:t>C</m:t>
              </m:r>
            </m:sub>
            <m:sup>
              <m:r>
                <m:rPr>
                  <m:sty m:val="p"/>
                </m:rPr>
                <m:t>r</m:t>
              </m:r>
              <m:r>
                <m:rPr>
                  <m:sty m:val="p"/>
                </m:rPr>
                <m:t>e</m:t>
              </m:r>
              <m:r>
                <m:rPr>
                  <m:sty m:val="p"/>
                </m:rPr>
                <m:t>f</m:t>
              </m:r>
            </m:sup>
          </m:sSubSup>
          <m:r>
            <m:rPr>
              <m:sty m:val="p"/>
            </m:rPr>
            <m:t>=</m:t>
          </m:r>
          <m:r>
            <m:t>K</m:t>
          </m:r>
          <m:d>
            <m:dPr>
              <m:begChr m:val="("/>
              <m:endChr m:val=")"/>
              <m:sepChr m:val=""/>
              <m:grow/>
            </m:dPr>
            <m:e>
              <m:sSub>
                <m:e>
                  <m:r>
                    <m:t>H</m:t>
                  </m:r>
                </m:e>
                <m:sub>
                  <m:r>
                    <m:t>d</m:t>
                  </m:r>
                </m:sub>
              </m:sSub>
              <m:sSubSup>
                <m:e>
                  <m:r>
                    <m:t>p</m:t>
                  </m:r>
                </m:e>
                <m:sub>
                  <m:r>
                    <m:t>d</m:t>
                  </m:r>
                </m:sub>
                <m:sup>
                  <m:r>
                    <m:rPr>
                      <m:sty m:val="p"/>
                    </m:rPr>
                    <m:t>r</m:t>
                  </m:r>
                  <m:r>
                    <m:rPr>
                      <m:sty m:val="p"/>
                    </m:rPr>
                    <m:t>e</m:t>
                  </m:r>
                  <m:r>
                    <m:rPr>
                      <m:sty m:val="p"/>
                    </m:rPr>
                    <m:t>f</m:t>
                  </m:r>
                </m:sup>
              </m:sSubSup>
              <m:r>
                <m:rPr>
                  <m:sty m:val="p"/>
                </m:rPr>
                <m:t>+</m:t>
              </m:r>
              <m:sSub>
                <m:e>
                  <m:r>
                    <m:t>b</m:t>
                  </m:r>
                </m:e>
                <m:sub>
                  <m:r>
                    <m:t>d</m:t>
                  </m:r>
                </m:sub>
              </m:sSub>
            </m:e>
          </m:d>
          <m:r>
            <m:rPr>
              <m:sty m:val="p"/>
            </m:rPr>
            <m:t>,</m:t>
          </m:r>
          <m:r>
            <m:t>  </m:t>
          </m:r>
          <m:sSub>
            <m:e>
              <m:r>
                <m:t>Z</m:t>
              </m:r>
            </m:e>
            <m:sub>
              <m:r>
                <m:rPr>
                  <m:sty m:val="p"/>
                </m:rPr>
                <m:t>F</m:t>
              </m:r>
              <m:r>
                <m:rPr>
                  <m:sty m:val="p"/>
                </m:rPr>
                <m:t>B</m:t>
              </m:r>
            </m:sub>
          </m:sSub>
          <m:r>
            <m:rPr>
              <m:sty m:val="p"/>
            </m:rPr>
            <m:t>=</m:t>
          </m:r>
          <m:r>
            <m:t>K</m:t>
          </m:r>
          <m:sSub>
            <m:e>
              <m:r>
                <m:t>H</m:t>
              </m:r>
            </m:e>
            <m:sub>
              <m:r>
                <m:t>d</m:t>
              </m:r>
            </m:sub>
          </m:sSub>
          <m:r>
            <m:t>G</m:t>
          </m:r>
          <m:r>
            <m:rPr>
              <m:sty m:val="p"/>
            </m:rPr>
            <m:t>.</m:t>
          </m:r>
        </m:oMath>
      </m:oMathPara>
    </w:p>
    <w:p>
      <w:pPr>
        <w:pStyle w:val="FirstParagraph"/>
      </w:pPr>
      <w:r>
        <w:t xml:space="preserve">Der Fluss bei</w:t>
      </w:r>
      <w:r>
        <w:t xml:space="preserve"> </w:t>
      </w:r>
      <w:r>
        <w:rPr>
          <w:b/>
          <w:bCs/>
        </w:rPr>
        <w:t xml:space="preserve">Nullstellung der modellierten Markt-Nettopositionen</w:t>
      </w:r>
      <w:r>
        <w:t xml:space="preserve">, jedoch bei unveränderter intrazonaler Referenzstruktur, ist</w:t>
      </w:r>
    </w:p>
    <w:p>
      <w:pPr>
        <w:pStyle w:val="BodyText"/>
      </w:pPr>
      <m:oMathPara>
        <m:oMathParaPr>
          <m:jc m:val="center"/>
        </m:oMathParaPr>
        <m:oMath>
          <m:m>
            <m:mPr>
              <m:baseJc m:val="center"/>
              <m:plcHide m:val="on"/>
              <m:mcs>
                <m:mc>
                  <m:mcPr>
                    <m:mcJc m:val="right"/>
                    <m:count m:val="1"/>
                  </m:mcPr>
                </m:mc>
                <m:mc>
                  <m:mcPr>
                    <m:mcJc m:val="left"/>
                    <m:count m:val="1"/>
                  </m:mcPr>
                </m:mc>
              </m:mcs>
            </m:mPr>
            <m:mr>
              <m:e>
                <m:sSub>
                  <m:e>
                    <m:r>
                      <m:t>f</m:t>
                    </m:r>
                  </m:e>
                  <m:sub>
                    <m:r>
                      <m:t>0</m:t>
                    </m:r>
                    <m:r>
                      <m:rPr>
                        <m:sty m:val="p"/>
                      </m:rPr>
                      <m:t>,</m:t>
                    </m:r>
                    <m:r>
                      <m:rPr>
                        <m:sty m:val="p"/>
                      </m:rPr>
                      <m:t>F</m:t>
                    </m:r>
                    <m:r>
                      <m:rPr>
                        <m:sty m:val="p"/>
                      </m:rPr>
                      <m:t>B</m:t>
                    </m:r>
                  </m:sub>
                </m:sSub>
              </m:e>
              <m:e>
                <m:r>
                  <m:rPr>
                    <m:sty m:val="p"/>
                  </m:rPr>
                  <m:t>=</m:t>
                </m:r>
                <m:sSubSup>
                  <m:e>
                    <m:r>
                      <m:t>f</m:t>
                    </m:r>
                  </m:e>
                  <m:sub>
                    <m:r>
                      <m:t>C</m:t>
                    </m:r>
                  </m:sub>
                  <m:sup>
                    <m:r>
                      <m:rPr>
                        <m:sty m:val="p"/>
                      </m:rPr>
                      <m:t>r</m:t>
                    </m:r>
                    <m:r>
                      <m:rPr>
                        <m:sty m:val="p"/>
                      </m:rPr>
                      <m:t>e</m:t>
                    </m:r>
                    <m:r>
                      <m:rPr>
                        <m:sty m:val="p"/>
                      </m:rPr>
                      <m:t>f</m:t>
                    </m:r>
                  </m:sup>
                </m:sSubSup>
                <m:r>
                  <m:rPr>
                    <m:sty m:val="p"/>
                  </m:rPr>
                  <m:t>−</m:t>
                </m:r>
                <m:sSub>
                  <m:e>
                    <m:r>
                      <m:t>Z</m:t>
                    </m:r>
                  </m:e>
                  <m:sub>
                    <m:r>
                      <m:rPr>
                        <m:sty m:val="p"/>
                      </m:rPr>
                      <m:t>F</m:t>
                    </m:r>
                    <m:r>
                      <m:rPr>
                        <m:sty m:val="p"/>
                      </m:rPr>
                      <m:t>B</m:t>
                    </m:r>
                  </m:sub>
                </m:sSub>
                <m:r>
                  <m:t>N</m:t>
                </m:r>
                <m:sSup>
                  <m:e>
                    <m:r>
                      <m:t>P</m:t>
                    </m:r>
                  </m:e>
                  <m:sup>
                    <m:r>
                      <m:rPr>
                        <m:sty m:val="p"/>
                      </m:rPr>
                      <m:t>r</m:t>
                    </m:r>
                    <m:r>
                      <m:rPr>
                        <m:sty m:val="p"/>
                      </m:rPr>
                      <m:t>e</m:t>
                    </m:r>
                    <m:r>
                      <m:rPr>
                        <m:sty m:val="p"/>
                      </m:rPr>
                      <m:t>f</m:t>
                    </m:r>
                  </m:sup>
                </m:sSup>
              </m:e>
            </m:mr>
            <m:mr>
              <m:e/>
              <m:e>
                <m:r>
                  <m:rPr>
                    <m:sty m:val="p"/>
                  </m:rPr>
                  <m:t>=</m:t>
                </m:r>
                <m:r>
                  <m:t>K</m:t>
                </m:r>
                <m:sSub>
                  <m:e>
                    <m:r>
                      <m:t>H</m:t>
                    </m:r>
                  </m:e>
                  <m:sub>
                    <m:r>
                      <m:t>d</m:t>
                    </m:r>
                  </m:sub>
                </m:sSub>
                <m:d>
                  <m:dPr>
                    <m:begChr m:val="("/>
                    <m:endChr m:val=")"/>
                    <m:sepChr m:val=""/>
                    <m:grow/>
                  </m:dPr>
                  <m:e>
                    <m:r>
                      <m:t>I</m:t>
                    </m:r>
                    <m:r>
                      <m:rPr>
                        <m:sty m:val="p"/>
                      </m:rPr>
                      <m:t>−</m:t>
                    </m:r>
                    <m:r>
                      <m:t>G</m:t>
                    </m:r>
                    <m:sSub>
                      <m:e>
                        <m:r>
                          <m:t>P</m:t>
                        </m:r>
                      </m:e>
                      <m:sub>
                        <m:r>
                          <m:t>B</m:t>
                        </m:r>
                      </m:sub>
                    </m:sSub>
                  </m:e>
                </m:d>
                <m:sSubSup>
                  <m:e>
                    <m:r>
                      <m:t>p</m:t>
                    </m:r>
                  </m:e>
                  <m:sub>
                    <m:r>
                      <m:t>d</m:t>
                    </m:r>
                  </m:sub>
                  <m:sup>
                    <m:r>
                      <m:rPr>
                        <m:sty m:val="p"/>
                      </m:rPr>
                      <m:t>r</m:t>
                    </m:r>
                    <m:r>
                      <m:rPr>
                        <m:sty m:val="p"/>
                      </m:rPr>
                      <m:t>e</m:t>
                    </m:r>
                    <m:r>
                      <m:rPr>
                        <m:sty m:val="p"/>
                      </m:rPr>
                      <m:t>f</m:t>
                    </m:r>
                  </m:sup>
                </m:sSubSup>
                <m:r>
                  <m:rPr>
                    <m:sty m:val="p"/>
                  </m:rPr>
                  <m:t>+</m:t>
                </m:r>
                <m:r>
                  <m:t>K</m:t>
                </m:r>
                <m:sSub>
                  <m:e>
                    <m:r>
                      <m:t>b</m:t>
                    </m:r>
                  </m:e>
                  <m:sub>
                    <m:r>
                      <m:t>d</m:t>
                    </m:r>
                  </m:sub>
                </m:sSub>
                <m:r>
                  <m:rPr>
                    <m:sty m:val="p"/>
                  </m:rPr>
                  <m:t>.</m:t>
                </m:r>
              </m:e>
            </m:mr>
          </m:m>
        </m:oMath>
      </m:oMathPara>
    </w:p>
    <w:p>
      <w:pPr>
        <w:pStyle w:val="FirstParagraph"/>
      </w:pPr>
      <w:r>
        <w:t xml:space="preserve">Der TYNDP-Strukturfluss für seine</w:t>
      </w:r>
      <w:r>
        <w:t xml:space="preserve"> </w:t>
      </w:r>
      <w:r>
        <w:rPr>
          <w:b/>
          <w:bCs/>
        </w:rPr>
        <w:t xml:space="preserve">eigene</w:t>
      </w:r>
      <w:r>
        <w:t xml:space="preserve"> </w:t>
      </w:r>
      <w:r>
        <w:t xml:space="preserve">Busmap lautet dagegen</w:t>
      </w:r>
    </w:p>
    <w:p>
      <w:pPr>
        <w:pStyle w:val="BodyText"/>
      </w:pPr>
      <m:oMathPara>
        <m:oMathParaPr>
          <m:jc m:val="center"/>
        </m:oMathParaPr>
        <m:oMath>
          <m:sSub>
            <m:e>
              <m:r>
                <m:t>f</m:t>
              </m:r>
            </m:e>
            <m:sub>
              <m:r>
                <m:t>0</m:t>
              </m:r>
              <m:r>
                <m:rPr>
                  <m:sty m:val="p"/>
                </m:rPr>
                <m:t>,</m:t>
              </m:r>
              <m:r>
                <m:t>T</m:t>
              </m:r>
            </m:sub>
          </m:sSub>
          <m:r>
            <m:rPr>
              <m:sty m:val="p"/>
            </m:rPr>
            <m:t>=</m:t>
          </m:r>
          <m:sSub>
            <m:e>
              <m:r>
                <m:t>Γ</m:t>
              </m:r>
            </m:e>
            <m:sub>
              <m:r>
                <m:t>T</m:t>
              </m:r>
            </m:sub>
          </m:sSub>
          <m:sSub>
            <m:e>
              <m:r>
                <m:t>H</m:t>
              </m:r>
            </m:e>
            <m:sub>
              <m:r>
                <m:t>d</m:t>
              </m:r>
            </m:sub>
          </m:sSub>
          <m:d>
            <m:dPr>
              <m:begChr m:val="("/>
              <m:endChr m:val=")"/>
              <m:sepChr m:val=""/>
              <m:grow/>
            </m:dPr>
            <m:e>
              <m:r>
                <m:t>I</m:t>
              </m:r>
              <m:r>
                <m:rPr>
                  <m:sty m:val="p"/>
                </m:rPr>
                <m:t>−</m:t>
              </m:r>
              <m:sSub>
                <m:e>
                  <m:r>
                    <m:t>R</m:t>
                  </m:r>
                </m:e>
                <m:sub>
                  <m:r>
                    <m:t>T</m:t>
                  </m:r>
                </m:sub>
              </m:sSub>
              <m:sSub>
                <m:e>
                  <m:r>
                    <m:t>P</m:t>
                  </m:r>
                </m:e>
                <m:sub>
                  <m:r>
                    <m:t>T</m:t>
                  </m:r>
                </m:sub>
              </m:sSub>
            </m:e>
          </m:d>
          <m:sSubSup>
            <m:e>
              <m:r>
                <m:t>p</m:t>
              </m:r>
            </m:e>
            <m:sub>
              <m:r>
                <m:t>d</m:t>
              </m:r>
            </m:sub>
            <m:sup>
              <m:r>
                <m:rPr>
                  <m:sty m:val="p"/>
                </m:rPr>
                <m:t>r</m:t>
              </m:r>
              <m:r>
                <m:rPr>
                  <m:sty m:val="p"/>
                </m:rPr>
                <m:t>e</m:t>
              </m:r>
              <m:r>
                <m:rPr>
                  <m:sty m:val="p"/>
                </m:rPr>
                <m:t>f</m:t>
              </m:r>
            </m:sup>
          </m:sSubSup>
          <m:r>
            <m:t> </m:t>
          </m:r>
          <m:r>
            <m:rPr>
              <m:nor/>
              <m:sty m:val="p"/>
            </m:rPr>
            <m:t>(plus ggf. physikalische Offsets).</m:t>
          </m:r>
        </m:oMath>
      </m:oMathPara>
    </w:p>
    <w:p>
      <w:pPr>
        <w:pStyle w:val="FirstParagraph"/>
      </w:pPr>
      <w:r>
        <w:t xml:space="preserve">Die Formeln unterscheiden sich in (i) der Zonenpartition</w:t>
      </w:r>
      <w:r>
        <w:t xml:space="preserve"> </w:t>
      </w:r>
      <m:oMath>
        <m:sSub>
          <m:e>
            <m:r>
              <m:t>P</m:t>
            </m:r>
          </m:e>
          <m:sub>
            <m:r>
              <m:t>T</m:t>
            </m:r>
          </m:sub>
        </m:sSub>
      </m:oMath>
      <w:r>
        <w:t xml:space="preserve"> </w:t>
      </w:r>
      <w:r>
        <w:t xml:space="preserve">gegen</w:t>
      </w:r>
      <w:r>
        <w:t xml:space="preserve"> </w:t>
      </w:r>
      <m:oMath>
        <m:sSub>
          <m:e>
            <m:r>
              <m:t>P</m:t>
            </m:r>
          </m:e>
          <m:sub>
            <m:r>
              <m:t>B</m:t>
            </m:r>
          </m:sub>
        </m:sSub>
      </m:oMath>
      <w:r>
        <w:t xml:space="preserve">, (ii) dem Zuordnungsoperator</w:t>
      </w:r>
      <w:r>
        <w:t xml:space="preserve"> </w:t>
      </w:r>
      <m:oMath>
        <m:sSub>
          <m:e>
            <m:r>
              <m:t>R</m:t>
            </m:r>
          </m:e>
          <m:sub>
            <m:r>
              <m:t>T</m:t>
            </m:r>
          </m:sub>
        </m:sSub>
      </m:oMath>
      <w:r>
        <w:t xml:space="preserve"> </w:t>
      </w:r>
      <w:r>
        <w:t xml:space="preserve">gegen dem marginalen GSK</w:t>
      </w:r>
      <w:r>
        <w:t xml:space="preserve"> </w:t>
      </w:r>
      <m:oMath>
        <m:r>
          <m:t>G</m:t>
        </m:r>
      </m:oMath>
      <w:r>
        <w:t xml:space="preserve">, (iii) der Flussprojektion</w:t>
      </w:r>
      <w:r>
        <w:t xml:space="preserve"> </w:t>
      </w:r>
      <m:oMath>
        <m:sSub>
          <m:e>
            <m:r>
              <m:t>Γ</m:t>
            </m:r>
          </m:e>
          <m:sub>
            <m:r>
              <m:t>T</m:t>
            </m:r>
          </m:sub>
        </m:sSub>
      </m:oMath>
      <w:r>
        <w:t xml:space="preserve"> </w:t>
      </w:r>
      <w:r>
        <w:t xml:space="preserve">gegen dem CNEC-Operator</w:t>
      </w:r>
      <w:r>
        <w:t xml:space="preserve"> </w:t>
      </w:r>
      <m:oMath>
        <m:r>
          <m:t>K</m:t>
        </m:r>
      </m:oMath>
      <w:r>
        <w:t xml:space="preserve"> </w:t>
      </w:r>
      <w:r>
        <w:t xml:space="preserve">sowie (iv) dem zeitlichen Referenzzustand.</w:t>
      </w:r>
    </w:p>
    <w:p>
      <w:pPr>
        <w:pStyle w:val="BodyText"/>
      </w:pPr>
      <w:r>
        <w:rPr>
          <w:b/>
          <w:bCs/>
        </w:rPr>
        <w:t xml:space="preserve">Wichtige Warnung zur Terminologie:</w:t>
      </w:r>
      <w:r>
        <w:t xml:space="preserve"> </w:t>
      </w:r>
      <w:r>
        <w:t xml:space="preserve">In operativen Veröffentlichungssystemen können mehrere Nullpositions- und Referenzflussgrößen existieren; das JAO-Handbuch unterscheidet unter anderem</w:t>
      </w:r>
      <w:r>
        <w:t xml:space="preserve"> </w:t>
      </w:r>
      <m:oMath>
        <m:r>
          <m:t>F</m:t>
        </m:r>
        <m:r>
          <m:t>0</m:t>
        </m:r>
        <m:r>
          <m:t>c</m:t>
        </m:r>
        <m:r>
          <m:t>o</m:t>
        </m:r>
        <m:r>
          <m:t>r</m:t>
        </m:r>
        <m:r>
          <m:t>e</m:t>
        </m:r>
      </m:oMath>
      <w:r>
        <w:t xml:space="preserve">,</w:t>
      </w:r>
      <w:r>
        <w:t xml:space="preserve"> </w:t>
      </w:r>
      <m:oMath>
        <m:r>
          <m:t>F</m:t>
        </m:r>
        <m:r>
          <m:t>0</m:t>
        </m:r>
        <m:r>
          <m:t>a</m:t>
        </m:r>
        <m:r>
          <m:t>l</m:t>
        </m:r>
        <m:r>
          <m:t>l</m:t>
        </m:r>
      </m:oMath>
      <w:r>
        <w:t xml:space="preserve">,</w:t>
      </w:r>
      <w:r>
        <w:t xml:space="preserve"> </w:t>
      </w:r>
      <m:oMath>
        <m:sSub>
          <m:e>
            <m:r>
              <m:t>F</m:t>
            </m:r>
          </m:e>
          <m:sub>
            <m:r>
              <m:t>r</m:t>
            </m:r>
            <m:r>
              <m:t>e</m:t>
            </m:r>
            <m:r>
              <m:t>f</m:t>
            </m:r>
            <m:r>
              <m:rPr>
                <m:sty m:val="p"/>
              </m:rPr>
              <m:t>,</m:t>
            </m:r>
            <m:r>
              <m:t>i</m:t>
            </m:r>
            <m:r>
              <m:t>n</m:t>
            </m:r>
            <m:r>
              <m:t>i</m:t>
            </m:r>
            <m:r>
              <m:t>t</m:t>
            </m:r>
          </m:sub>
        </m:sSub>
      </m:oMath>
      <w:r>
        <w:t xml:space="preserve"> </w:t>
      </w:r>
      <w:r>
        <w:t xml:space="preserve">und</w:t>
      </w:r>
      <w:r>
        <w:t xml:space="preserve"> </w:t>
      </w:r>
      <m:oMath>
        <m:sSub>
          <m:e>
            <m:r>
              <m:t>F</m:t>
            </m:r>
          </m:e>
          <m:sub>
            <m:r>
              <m:t>u</m:t>
            </m:r>
            <m:r>
              <m:t>a</m:t>
            </m:r>
            <m:r>
              <m:t>f</m:t>
            </m:r>
          </m:sub>
        </m:sSub>
      </m:oMath>
      <w:r>
        <w:t xml:space="preserve">. Ein mit (13) konstruierter Forschungswert darf</w:t>
      </w:r>
      <w:r>
        <w:t xml:space="preserve"> </w:t>
      </w:r>
      <w:r>
        <w:rPr>
          <w:b/>
          <w:bCs/>
        </w:rPr>
        <w:t xml:space="preserve">nicht ohne Anpassung des Bilanzraums</w:t>
      </w:r>
      <w:r>
        <w:t xml:space="preserve"> </w:t>
      </w:r>
      <w:r>
        <w:t xml:space="preserve">als einer dieser veröffentlichten Werte ausgegeben werden [F2].</w:t>
      </w:r>
    </w:p>
    <w:bookmarkEnd w:id="28"/>
    <w:bookmarkStart w:id="29" w:name="herleitung-der-flow-based-domain"/>
    <w:p>
      <w:pPr>
        <w:pStyle w:val="Heading2"/>
      </w:pPr>
      <w:r>
        <w:t xml:space="preserve">4.2 Herleitung der Flow-Based Domain</w:t>
      </w:r>
    </w:p>
    <w:p>
      <w:pPr>
        <w:pStyle w:val="FirstParagraph"/>
      </w:pPr>
      <w:r>
        <w:t xml:space="preserve">Die affine CNEC-Flussprognose lässt sich für absolute Nettohandelspositionen</w:t>
      </w:r>
      <w:r>
        <w:t xml:space="preserve"> </w:t>
      </w:r>
      <m:oMath>
        <m:r>
          <m:t>N</m:t>
        </m:r>
        <m:r>
          <m:t>P</m:t>
        </m:r>
      </m:oMath>
      <w:r>
        <w:t xml:space="preserve"> </w:t>
      </w:r>
      <w:r>
        <w:t xml:space="preserve">darstellen als</w:t>
      </w:r>
    </w:p>
    <w:p>
      <w:pPr>
        <w:pStyle w:val="BodyText"/>
      </w:pPr>
      <m:oMathPara>
        <m:oMathParaPr>
          <m:jc m:val="center"/>
        </m:oMathParaPr>
        <m:oMath>
          <m:sSub>
            <m:e>
              <m:acc>
                <m:accPr>
                  <m:chr m:val="̂"/>
                </m:accPr>
                <m:e>
                  <m:r>
                    <m:t>f</m:t>
                  </m:r>
                </m:e>
              </m:acc>
            </m:e>
            <m:sub>
              <m:r>
                <m:t>C</m:t>
              </m:r>
            </m:sub>
          </m:sSub>
          <m:d>
            <m:dPr>
              <m:begChr m:val="("/>
              <m:endChr m:val=")"/>
              <m:sepChr m:val=""/>
              <m:grow/>
            </m:dPr>
            <m:e>
              <m:r>
                <m:t>N</m:t>
              </m:r>
              <m:r>
                <m:t>P</m:t>
              </m:r>
            </m:e>
          </m:d>
          <m:r>
            <m:rPr>
              <m:sty m:val="p"/>
            </m:rPr>
            <m:t>=</m:t>
          </m:r>
          <m:sSub>
            <m:e>
              <m:r>
                <m:t>f</m:t>
              </m:r>
            </m:e>
            <m:sub>
              <m:r>
                <m:t>0</m:t>
              </m:r>
              <m:r>
                <m:rPr>
                  <m:sty m:val="p"/>
                </m:rPr>
                <m:t>,</m:t>
              </m:r>
              <m:r>
                <m:rPr>
                  <m:sty m:val="p"/>
                </m:rPr>
                <m:t>F</m:t>
              </m:r>
              <m:r>
                <m:rPr>
                  <m:sty m:val="p"/>
                </m:rPr>
                <m:t>B</m:t>
              </m:r>
            </m:sub>
          </m:sSub>
          <m:r>
            <m:rPr>
              <m:sty m:val="p"/>
            </m:rPr>
            <m:t>+</m:t>
          </m:r>
          <m:sSub>
            <m:e>
              <m:r>
                <m:t>Z</m:t>
              </m:r>
            </m:e>
            <m:sub>
              <m:r>
                <m:rPr>
                  <m:sty m:val="p"/>
                </m:rPr>
                <m:t>F</m:t>
              </m:r>
              <m:r>
                <m:rPr>
                  <m:sty m:val="p"/>
                </m:rPr>
                <m:t>B</m:t>
              </m:r>
            </m:sub>
          </m:sSub>
          <m:r>
            <m:t>N</m:t>
          </m:r>
          <m:r>
            <m:t>P</m:t>
          </m:r>
          <m:r>
            <m:rPr>
              <m:sty m:val="p"/>
            </m:rPr>
            <m:t>.</m:t>
          </m:r>
        </m:oMath>
      </m:oMathPara>
    </w:p>
    <w:p>
      <w:pPr>
        <w:pStyle w:val="FirstParagraph"/>
      </w:pPr>
      <w:r>
        <w:t xml:space="preserve">Bei oberer thermischer Zweiggrenze</w:t>
      </w:r>
      <w:r>
        <w:t xml:space="preserve"> </w:t>
      </w:r>
      <m:oMath>
        <m:sSubSup>
          <m:e>
            <m:r>
              <m:t>F</m:t>
            </m:r>
          </m:e>
          <m:sub>
            <m:r>
              <m:t>C</m:t>
            </m:r>
          </m:sub>
          <m:sup>
            <m:r>
              <m:rPr>
                <m:sty m:val="p"/>
              </m:rPr>
              <m:t>max</m:t>
            </m:r>
          </m:sup>
        </m:sSubSup>
      </m:oMath>
      <w:r>
        <w:t xml:space="preserve"> </w:t>
      </w:r>
      <w:r>
        <w:t xml:space="preserve">und einer noch zu bestimmenden positiven Sicherheitsmarge</w:t>
      </w:r>
      <w:r>
        <w:t xml:space="preserve"> </w:t>
      </w:r>
      <m:oMath>
        <m:r>
          <m:t>F</m:t>
        </m:r>
        <m:r>
          <m:t>R</m:t>
        </m:r>
        <m:sSub>
          <m:e>
            <m:r>
              <m:t>M</m:t>
            </m:r>
          </m:e>
          <m:sub>
            <m:r>
              <m:t>C</m:t>
            </m:r>
          </m:sub>
        </m:sSub>
      </m:oMath>
      <w:r>
        <w:t xml:space="preserve"> </w:t>
      </w:r>
      <w:r>
        <w:t xml:space="preserve">ergibt sich schematisch die gerichtete Beschränkung</w:t>
      </w:r>
    </w:p>
    <w:p>
      <w:pPr>
        <w:pStyle w:val="BodyText"/>
      </w:pPr>
      <m:oMathPara>
        <m:oMathParaPr>
          <m:jc m:val="center"/>
        </m:oMathParaPr>
        <m:oMath>
          <m:sSub>
            <m:e>
              <m:r>
                <m:t>Z</m:t>
              </m:r>
            </m:e>
            <m:sub>
              <m:r>
                <m:rPr>
                  <m:sty m:val="p"/>
                </m:rPr>
                <m:t>F</m:t>
              </m:r>
              <m:r>
                <m:rPr>
                  <m:sty m:val="p"/>
                </m:rPr>
                <m:t>B</m:t>
              </m:r>
            </m:sub>
          </m:sSub>
          <m:r>
            <m:t>N</m:t>
          </m:r>
          <m:r>
            <m:t>P</m:t>
          </m:r>
          <m:r>
            <m:rPr>
              <m:sty m:val="p"/>
            </m:rPr>
            <m:t>≤</m:t>
          </m:r>
          <m:sSubSup>
            <m:e>
              <m:r>
                <m:t>F</m:t>
              </m:r>
            </m:e>
            <m:sub>
              <m:r>
                <m:t>C</m:t>
              </m:r>
            </m:sub>
            <m:sup>
              <m:r>
                <m:rPr>
                  <m:sty m:val="p"/>
                </m:rPr>
                <m:t>max</m:t>
              </m:r>
            </m:sup>
          </m:sSubSup>
          <m:r>
            <m:rPr>
              <m:sty m:val="p"/>
            </m:rPr>
            <m:t>−</m:t>
          </m:r>
          <m:r>
            <m:t>F</m:t>
          </m:r>
          <m:r>
            <m:t>R</m:t>
          </m:r>
          <m:sSub>
            <m:e>
              <m:r>
                <m:t>M</m:t>
              </m:r>
            </m:e>
            <m:sub>
              <m:r>
                <m:t>C</m:t>
              </m:r>
            </m:sub>
          </m:sSub>
          <m:r>
            <m:rPr>
              <m:sty m:val="p"/>
            </m:rPr>
            <m:t>−</m:t>
          </m:r>
          <m:sSub>
            <m:e>
              <m:r>
                <m:t>f</m:t>
              </m:r>
            </m:e>
            <m:sub>
              <m:r>
                <m:t>0</m:t>
              </m:r>
              <m:r>
                <m:rPr>
                  <m:sty m:val="p"/>
                </m:rPr>
                <m:t>,</m:t>
              </m:r>
              <m:r>
                <m:rPr>
                  <m:sty m:val="p"/>
                </m:rPr>
                <m:t>F</m:t>
              </m:r>
              <m:r>
                <m:rPr>
                  <m:sty m:val="p"/>
                </m:rPr>
                <m:t>B</m:t>
              </m:r>
            </m:sub>
          </m:sSub>
          <m:r>
            <m:rPr>
              <m:sty m:val="p"/>
            </m:rPr>
            <m:t>.</m:t>
          </m:r>
        </m:oMath>
      </m:oMathPara>
    </w:p>
    <w:p>
      <w:pPr>
        <w:pStyle w:val="FirstParagraph"/>
      </w:pPr>
      <w:r>
        <w:t xml:space="preserve">Die Gegenrichtung erhält die gespiegelte Form</w:t>
      </w:r>
    </w:p>
    <w:p>
      <w:pPr>
        <w:pStyle w:val="BodyText"/>
      </w:pPr>
      <m:oMathPara>
        <m:oMathParaPr>
          <m:jc m:val="center"/>
        </m:oMathParaPr>
        <m:oMath>
          <m:r>
            <m:rPr>
              <m:sty m:val="p"/>
            </m:rPr>
            <m:t>−</m:t>
          </m:r>
          <m:sSub>
            <m:e>
              <m:r>
                <m:t>Z</m:t>
              </m:r>
            </m:e>
            <m:sub>
              <m:r>
                <m:rPr>
                  <m:sty m:val="p"/>
                </m:rPr>
                <m:t>F</m:t>
              </m:r>
              <m:r>
                <m:rPr>
                  <m:sty m:val="p"/>
                </m:rPr>
                <m:t>B</m:t>
              </m:r>
            </m:sub>
          </m:sSub>
          <m:r>
            <m:t>N</m:t>
          </m:r>
          <m:r>
            <m:t>P</m:t>
          </m:r>
          <m:r>
            <m:rPr>
              <m:sty m:val="p"/>
            </m:rPr>
            <m:t>≤</m:t>
          </m:r>
          <m:sSubSup>
            <m:e>
              <m:r>
                <m:t>F</m:t>
              </m:r>
            </m:e>
            <m:sub>
              <m:r>
                <m:t>C</m:t>
              </m:r>
            </m:sub>
            <m:sup>
              <m:r>
                <m:rPr>
                  <m:sty m:val="p"/>
                </m:rPr>
                <m:t>max</m:t>
              </m:r>
            </m:sup>
          </m:sSubSup>
          <m:r>
            <m:rPr>
              <m:sty m:val="p"/>
            </m:rPr>
            <m:t>−</m:t>
          </m:r>
          <m:r>
            <m:t>F</m:t>
          </m:r>
          <m:r>
            <m:t>R</m:t>
          </m:r>
          <m:sSub>
            <m:e>
              <m:r>
                <m:t>M</m:t>
              </m:r>
            </m:e>
            <m:sub>
              <m:r>
                <m:t>C</m:t>
              </m:r>
            </m:sub>
          </m:sSub>
          <m:r>
            <m:rPr>
              <m:sty m:val="p"/>
            </m:rPr>
            <m:t>+</m:t>
          </m:r>
          <m:sSub>
            <m:e>
              <m:r>
                <m:t>f</m:t>
              </m:r>
            </m:e>
            <m:sub>
              <m:r>
                <m:t>0</m:t>
              </m:r>
              <m:r>
                <m:rPr>
                  <m:sty m:val="p"/>
                </m:rPr>
                <m:t>,</m:t>
              </m:r>
              <m:r>
                <m:rPr>
                  <m:sty m:val="p"/>
                </m:rPr>
                <m:t>F</m:t>
              </m:r>
              <m:r>
                <m:rPr>
                  <m:sty m:val="p"/>
                </m:rPr>
                <m:t>B</m:t>
              </m:r>
            </m:sub>
          </m:sSub>
          <m:r>
            <m:rPr>
              <m:sty m:val="p"/>
            </m:rPr>
            <m:t>.</m:t>
          </m:r>
        </m:oMath>
      </m:oMathPara>
    </w:p>
    <w:p>
      <w:pPr>
        <w:pStyle w:val="FirstParagraph"/>
      </w:pPr>
      <w:r>
        <w:t xml:space="preserve">Die rechten Seiten sind in einer einfachen DC-Modellstudie</w:t>
      </w:r>
      <w:r>
        <w:t xml:space="preserve"> </w:t>
      </w:r>
      <w:r>
        <w:rPr>
          <w:b/>
          <w:bCs/>
        </w:rPr>
        <w:t xml:space="preserve">vorläufige Restkapazitäten</w:t>
      </w:r>
      <w:r>
        <w:t xml:space="preserve">. Sie sind weder die im Core-Prozess publizierten finalen RAMs noch eine valide Nachbildung aktueller Methoden für die regulatorische Mindestkapazität. In der Praxis werden z. B. Außenhandelsbeiträge, Remedial Actions, Reliability Margins, minRAM-Anpassungen und Validierungskorrekturen in einem koordinierten Kapazitätsberechnungsprozess verarbeitet [F1, F2].</w:t>
      </w:r>
    </w:p>
    <w:p>
      <w:pPr>
        <w:pStyle w:val="BodyText"/>
      </w:pPr>
      <w:r>
        <w:t xml:space="preserve">Für einen gesamten Satz orientierter CNECs ist der vereinfachte, konvexe Marktbereich</w:t>
      </w:r>
    </w:p>
    <w:p>
      <w:pPr>
        <w:pStyle w:val="BodyText"/>
      </w:pPr>
      <m:oMathPara>
        <m:oMathParaPr>
          <m:jc m:val="center"/>
        </m:oMathParaPr>
        <m:oMath>
          <m:borderBox>
            <m:e>
              <m:sSub>
                <m:e>
                  <m:r>
                    <m:t>D</m:t>
                  </m:r>
                </m:e>
                <m:sub>
                  <m:r>
                    <m:rPr>
                      <m:sty m:val="p"/>
                    </m:rPr>
                    <m:t>F</m:t>
                  </m:r>
                  <m:r>
                    <m:rPr>
                      <m:sty m:val="p"/>
                    </m:rPr>
                    <m:t>B</m:t>
                  </m:r>
                </m:sub>
              </m:sSub>
              <m:r>
                <m:rPr>
                  <m:sty m:val="p"/>
                </m:rPr>
                <m:t>=</m:t>
              </m:r>
              <m:r>
                <m:rPr>
                  <m:sty m:val="p"/>
                </m:rPr>
                <m:t>{</m:t>
              </m:r>
              <m:r>
                <m:t>N</m:t>
              </m:r>
              <m:r>
                <m:t>P</m:t>
              </m:r>
              <m:r>
                <m:rPr>
                  <m:sty m:val="p"/>
                </m:rPr>
                <m:t>∣</m:t>
              </m:r>
              <m:sSup>
                <m:e>
                  <m:r>
                    <m:rPr>
                      <m:sty m:val="b"/>
                    </m:rPr>
                    <m:t>1</m:t>
                  </m:r>
                </m:e>
                <m:sup>
                  <m:r>
                    <m:rPr>
                      <m:sty m:val="p"/>
                      <m:scr m:val="sans-serif"/>
                    </m:rPr>
                    <m:t>T</m:t>
                  </m:r>
                </m:sup>
              </m:sSup>
              <m:r>
                <m:t>N</m:t>
              </m:r>
              <m:r>
                <m:t>P</m:t>
              </m:r>
              <m:r>
                <m:rPr>
                  <m:sty m:val="p"/>
                </m:rPr>
                <m:t>=</m:t>
              </m:r>
              <m:r>
                <m:t>0</m:t>
              </m:r>
              <m:r>
                <m:rPr>
                  <m:sty m:val="p"/>
                </m:rPr>
                <m:t>,</m:t>
              </m:r>
              <m:r>
                <m:t> </m:t>
              </m:r>
              <m:r>
                <m:t>M</m:t>
              </m:r>
              <m:r>
                <m:t>N</m:t>
              </m:r>
              <m:r>
                <m:t>P</m:t>
              </m:r>
              <m:r>
                <m:rPr>
                  <m:sty m:val="p"/>
                </m:rPr>
                <m:t>≤</m:t>
              </m:r>
              <m:r>
                <m:t>R</m:t>
              </m:r>
              <m:r>
                <m:t>A</m:t>
              </m:r>
              <m:r>
                <m:t>M</m:t>
              </m:r>
              <m:r>
                <m:rPr>
                  <m:sty m:val="p"/>
                </m:rPr>
                <m:t>}</m:t>
              </m:r>
            </m:e>
          </m:borderBox>
          <m:r>
            <m:rPr>
              <m:sty m:val="p"/>
            </m:rPr>
            <m:t>.</m:t>
          </m:r>
        </m:oMath>
      </m:oMathPara>
    </w:p>
    <w:p>
      <w:pPr>
        <w:pStyle w:val="FirstParagraph"/>
      </w:pPr>
      <w:r>
        <w:t xml:space="preserve">Dieser Polyeder ist</w:t>
      </w:r>
      <w:r>
        <w:t xml:space="preserve"> </w:t>
      </w:r>
      <w:r>
        <w:rPr>
          <w:b/>
          <w:bCs/>
        </w:rPr>
        <w:t xml:space="preserve">nicht</w:t>
      </w:r>
      <w:r>
        <w:t xml:space="preserve"> </w:t>
      </w:r>
      <w:r>
        <w:t xml:space="preserve">identisch mit unabhängigen bilateralen Leitungskapazitäten zwischen Planungszonen. Die zulässige A-B-Übertragung hängt von gleichzeitigen anderen Handelspositionen ab.</w:t>
      </w:r>
    </w:p>
    <w:bookmarkEnd w:id="29"/>
    <w:bookmarkEnd w:id="30"/>
    <w:bookmarkStart w:id="31" w:name="X4dda4aad7d6e0e3325543012d5b68cb9f0555f6"/>
    <w:p>
      <w:pPr>
        <w:pStyle w:val="Heading1"/>
      </w:pPr>
      <w:r>
        <w:t xml:space="preserve">5. Engpasskriterien der beiden Clustering-Methoden und FBMC</w:t>
      </w:r>
    </w:p>
    <w:p>
      <w:pPr>
        <w:pStyle w:val="FirstParagraph"/>
      </w:pPr>
      <w:r>
        <w:t xml:space="preserve">Unsere</w:t>
      </w:r>
      <w:r>
        <w:t xml:space="preserve"> </w:t>
      </w:r>
      <w:r>
        <w:rPr>
          <w:b/>
          <w:bCs/>
        </w:rPr>
        <w:t xml:space="preserve">Methode A</w:t>
      </w:r>
      <w:r>
        <w:t xml:space="preserve"> </w:t>
      </w:r>
      <w:r>
        <w:t xml:space="preserve">wählt kritische Leitungen auf Basis jährlicher (synthetisch gemessener) Überlastungsenergie unter vollständigem Dispatch. Sie ist der ENTSO-E-TYNDP-Methode näher als Methode B. Ihre tatsächlichen Überlastungsscores hängen jedoch von Marktergebnissen und Annahmen ab. Ein FBMC-CNEC muss deshalb</w:t>
      </w:r>
      <w:r>
        <w:t xml:space="preserve"> </w:t>
      </w:r>
      <w:r>
        <w:rPr>
          <w:b/>
          <w:bCs/>
        </w:rPr>
        <w:t xml:space="preserve">nicht</w:t>
      </w:r>
      <w:r>
        <w:t xml:space="preserve"> </w:t>
      </w:r>
      <w:r>
        <w:t xml:space="preserve">zu den am häufigsten überlasteten Leitungen gehören: Auch thermisch weitgehend freie Elemente können große</w:t>
      </w:r>
      <w:r>
        <w:t xml:space="preserve"> </w:t>
      </w:r>
      <w:r>
        <w:rPr>
          <w:i/>
          <w:iCs/>
        </w:rPr>
        <w:t xml:space="preserve">marginale Handels-Sensitivitäten</w:t>
      </w:r>
      <w:r>
        <w:t xml:space="preserve"> </w:t>
      </w:r>
      <w:r>
        <w:t xml:space="preserve">besitzen.</w:t>
      </w:r>
    </w:p>
    <w:p>
      <w:pPr>
        <w:pStyle w:val="BodyText"/>
      </w:pPr>
      <w:r>
        <w:t xml:space="preserve">Unsere</w:t>
      </w:r>
      <w:r>
        <w:t xml:space="preserve"> </w:t>
      </w:r>
      <w:r>
        <w:rPr>
          <w:b/>
          <w:bCs/>
        </w:rPr>
        <w:t xml:space="preserve">Methode B</w:t>
      </w:r>
      <w:r>
        <w:t xml:space="preserve"> </w:t>
      </w:r>
      <w:r>
        <w:t xml:space="preserve">gewichtet den gesamten RES-Last-verursachten Leitungsfluss, auch ohne Überlastung. Sie ist hilfreich, um strukturell wichtige Flusskorridore zu erfassen. Sie kann aber interne CNECs mit starkem grenzüberschreitendem Einfluss übersehen, wenn diese in den RES-Last-Screeningfällen wenig belastet sind.</w:t>
      </w:r>
    </w:p>
    <w:p>
      <w:pPr>
        <w:pStyle w:val="BodyText"/>
      </w:pPr>
      <w:r>
        <w:t xml:space="preserve">Der ergänzende</w:t>
      </w:r>
      <w:r>
        <w:t xml:space="preserve"> </w:t>
      </w:r>
      <w:r>
        <w:rPr>
          <w:b/>
          <w:bCs/>
        </w:rPr>
        <w:t xml:space="preserve">FBMC-nahe Screening-Indikator</w:t>
      </w:r>
      <w:r>
        <w:t xml:space="preserve"> </w:t>
      </w:r>
      <w:r>
        <w:t xml:space="preserve">sollte sich daher aus den</w:t>
      </w:r>
      <w:r>
        <w:t xml:space="preserve"> </w:t>
      </w:r>
      <w:r>
        <w:rPr>
          <w:i/>
          <w:iCs/>
        </w:rPr>
        <w:t xml:space="preserve">Handelssensitivitäten</w:t>
      </w:r>
      <w:r>
        <w:t xml:space="preserve"> </w:t>
      </w:r>
      <w:r>
        <w:t xml:space="preserve">ableiten, etwa</w:t>
      </w:r>
    </w:p>
    <w:p>
      <w:pPr>
        <w:pStyle w:val="BodyText"/>
      </w:pPr>
      <m:oMathPara>
        <m:oMathParaPr>
          <m:jc m:val="center"/>
        </m:oMathParaPr>
        <m:oMath>
          <m:sSubSup>
            <m:e>
              <m:r>
                <m:t>S</m:t>
              </m:r>
            </m:e>
            <m:sub>
              <m:r>
                <m:t>c</m:t>
              </m:r>
            </m:sub>
            <m:sup>
              <m:r>
                <m:rPr>
                  <m:sty m:val="p"/>
                </m:rPr>
                <m:t>F</m:t>
              </m:r>
              <m:r>
                <m:rPr>
                  <m:sty m:val="p"/>
                </m:rPr>
                <m:t>B</m:t>
              </m:r>
            </m:sup>
          </m:sSubSup>
          <m:r>
            <m:rPr>
              <m:sty m:val="p"/>
            </m:rPr>
            <m:t>=</m:t>
          </m:r>
          <m:limLow>
            <m:e>
              <m:r>
                <m:rPr>
                  <m:sty m:val="p"/>
                </m:rPr>
                <m:t>max</m:t>
              </m:r>
            </m:e>
            <m:lim>
              <m:r>
                <m:t>a</m:t>
              </m:r>
              <m:r>
                <m:rPr>
                  <m:sty m:val="p"/>
                </m:rPr>
                <m:t>≠</m:t>
              </m:r>
              <m:r>
                <m:t>b</m:t>
              </m:r>
            </m:lim>
          </m:limLow>
          <m:r>
            <m:rPr>
              <m:sty m:val="p"/>
            </m:rPr>
            <m:t>|</m:t>
          </m:r>
          <m:sSub>
            <m:e>
              <m:d>
                <m:dPr>
                  <m:begChr m:val="("/>
                  <m:endChr m:val=")"/>
                  <m:sepChr m:val=""/>
                  <m:grow/>
                </m:dPr>
                <m:e>
                  <m:sSub>
                    <m:e>
                      <m:r>
                        <m:t>Z</m:t>
                      </m:r>
                    </m:e>
                    <m:sub>
                      <m:r>
                        <m:rPr>
                          <m:sty m:val="p"/>
                        </m:rPr>
                        <m:t>F</m:t>
                      </m:r>
                      <m:r>
                        <m:rPr>
                          <m:sty m:val="p"/>
                        </m:rPr>
                        <m:t>B</m:t>
                      </m:r>
                    </m:sub>
                  </m:sSub>
                </m:e>
              </m:d>
            </m:e>
            <m:sub>
              <m:r>
                <m:t>c</m:t>
              </m:r>
              <m:r>
                <m:rPr>
                  <m:sty m:val="p"/>
                </m:rPr>
                <m:t>,</m:t>
              </m:r>
              <m:r>
                <m:t>a</m:t>
              </m:r>
            </m:sub>
          </m:sSub>
          <m:r>
            <m:rPr>
              <m:sty m:val="p"/>
            </m:rPr>
            <m:t>−</m:t>
          </m:r>
          <m:sSub>
            <m:e>
              <m:d>
                <m:dPr>
                  <m:begChr m:val="("/>
                  <m:endChr m:val=")"/>
                  <m:sepChr m:val=""/>
                  <m:grow/>
                </m:dPr>
                <m:e>
                  <m:sSub>
                    <m:e>
                      <m:r>
                        <m:t>Z</m:t>
                      </m:r>
                    </m:e>
                    <m:sub>
                      <m:r>
                        <m:rPr>
                          <m:sty m:val="p"/>
                        </m:rPr>
                        <m:t>F</m:t>
                      </m:r>
                      <m:r>
                        <m:rPr>
                          <m:sty m:val="p"/>
                        </m:rPr>
                        <m:t>B</m:t>
                      </m:r>
                    </m:sub>
                  </m:sSub>
                </m:e>
              </m:d>
            </m:e>
            <m:sub>
              <m:r>
                <m:t>c</m:t>
              </m:r>
              <m:r>
                <m:rPr>
                  <m:sty m:val="p"/>
                </m:rPr>
                <m:t>,</m:t>
              </m:r>
              <m:r>
                <m:t>b</m:t>
              </m:r>
            </m:sub>
          </m:sSub>
          <m:r>
            <m:rPr>
              <m:sty m:val="p"/>
            </m:rPr>
            <m:t>|</m:t>
          </m:r>
          <m:r>
            <m:rPr>
              <m:sty m:val="p"/>
            </m:rPr>
            <m:t>.</m:t>
          </m:r>
        </m:oMath>
      </m:oMathPara>
    </w:p>
    <w:p>
      <w:pPr>
        <w:pStyle w:val="FirstParagraph"/>
      </w:pPr>
      <w:r>
        <w:t xml:space="preserve">Dies misst, wie stark eine 1-MW-Transaktion zwischen zwei Marktgebotszonen den CNEC beeinflusst. Für die Core-CCM wird von ENTSO-E ein 5%-Filter auf maximaler Zone-zu-Zone-Sensitivität für die frühe CNEC-Selektion beschrieben [F1]. Gleichung (19) ist ein</w:t>
      </w:r>
      <w:r>
        <w:t xml:space="preserve"> </w:t>
      </w:r>
      <w:r>
        <w:rPr>
          <w:b/>
          <w:bCs/>
        </w:rPr>
        <w:t xml:space="preserve">Screening-Proxy</w:t>
      </w:r>
      <w:r>
        <w:t xml:space="preserve"> </w:t>
      </w:r>
      <w:r>
        <w:t xml:space="preserve">und ersetzt nicht die vollständigen Auswahl-, Rechen- und Betriebsregeln.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Kriterium</w:t>
            </w:r>
          </w:p>
        </w:tc>
        <w:tc>
          <w:tcPr/>
          <w:p>
            <w:pPr>
              <w:pStyle w:val="Compact"/>
              <w:jc w:val="left"/>
            </w:pPr>
            <w:r>
              <w:t xml:space="preserve">A: Überlastung</w:t>
            </w:r>
          </w:p>
        </w:tc>
        <w:tc>
          <w:tcPr/>
          <w:p>
            <w:pPr>
              <w:pStyle w:val="Compact"/>
              <w:jc w:val="left"/>
            </w:pPr>
            <w:r>
              <w:t xml:space="preserve">B: RES/Last-Belastung</w:t>
            </w:r>
          </w:p>
        </w:tc>
        <w:tc>
          <w:tcPr/>
          <w:p>
            <w:pPr>
              <w:pStyle w:val="Compact"/>
              <w:jc w:val="left"/>
            </w:pPr>
            <w:r>
              <w:t xml:space="preserve">FBMC: CNEC-/GSK-Sensitivität</w:t>
            </w:r>
          </w:p>
        </w:tc>
      </w:tr>
      <w:tr>
        <w:tc>
          <w:tcPr/>
          <w:p>
            <w:pPr>
              <w:pStyle w:val="Compact"/>
              <w:jc w:val="left"/>
            </w:pPr>
            <w:r>
              <w:t xml:space="preserve">Analysiertes Signal</w:t>
            </w:r>
          </w:p>
        </w:tc>
        <w:tc>
          <w:tcPr/>
          <w:p>
            <w:pPr>
              <w:pStyle w:val="Compact"/>
              <w:jc w:val="left"/>
            </w:pPr>
            <w:r>
              <w:t xml:space="preserve">MW oberhalb thermischer Grenze</w:t>
            </w:r>
          </w:p>
        </w:tc>
        <w:tc>
          <w:tcPr/>
          <w:p>
            <w:pPr>
              <w:pStyle w:val="Compact"/>
              <w:jc w:val="left"/>
            </w:pPr>
            <w:r>
              <w:t xml:space="preserve">MW-Transport oder relative Last</w:t>
            </w:r>
          </w:p>
        </w:tc>
        <w:tc>
          <w:tcPr/>
          <w:p>
            <w:pPr>
              <w:pStyle w:val="Compact"/>
              <w:jc w:val="left"/>
            </w:pPr>
            <m:oMath>
              <m:r>
                <m:rPr>
                  <m:sty m:val="p"/>
                </m:rPr>
                <m:t>∂</m:t>
              </m:r>
              <m:sSub>
                <m:e>
                  <m:r>
                    <m:t>f</m:t>
                  </m:r>
                </m:e>
                <m:sub>
                  <m:r>
                    <m:t>C</m:t>
                  </m:r>
                  <m:r>
                    <m:t>N</m:t>
                  </m:r>
                  <m:r>
                    <m:t>E</m:t>
                  </m:r>
                  <m:r>
                    <m:t>C</m:t>
                  </m:r>
                </m:sub>
              </m:sSub>
              <m:r>
                <m:rPr>
                  <m:sty m:val="p"/>
                </m:rPr>
                <m:t>/</m:t>
              </m:r>
              <m:r>
                <m:rPr>
                  <m:sty m:val="p"/>
                </m:rPr>
                <m:t>∂</m:t>
              </m:r>
              <m:r>
                <m:t>N</m:t>
              </m:r>
              <m:r>
                <m:t>P</m:t>
              </m:r>
            </m:oMath>
          </w:p>
        </w:tc>
      </w:tr>
      <w:tr>
        <w:tc>
          <w:tcPr/>
          <w:p>
            <w:pPr>
              <w:pStyle w:val="Compact"/>
              <w:jc w:val="left"/>
            </w:pPr>
            <w:r>
              <w:t xml:space="preserve">Dispatchbezug</w:t>
            </w:r>
          </w:p>
        </w:tc>
        <w:tc>
          <w:tcPr/>
          <w:p>
            <w:pPr>
              <w:pStyle w:val="Compact"/>
              <w:jc w:val="left"/>
            </w:pPr>
            <w:r>
              <w:t xml:space="preserve">hoch</w:t>
            </w:r>
          </w:p>
        </w:tc>
        <w:tc>
          <w:tcPr/>
          <w:p>
            <w:pPr>
              <w:pStyle w:val="Compact"/>
              <w:jc w:val="left"/>
            </w:pPr>
            <w:r>
              <w:t xml:space="preserve">gering, expliziter Bilanzausgleich</w:t>
            </w:r>
          </w:p>
        </w:tc>
        <w:tc>
          <w:tcPr/>
          <w:p>
            <w:pPr>
              <w:pStyle w:val="Compact"/>
              <w:jc w:val="left"/>
            </w:pPr>
            <w:r>
              <w:t xml:space="preserve">prognostizierter CGM/GLSK</w:t>
            </w:r>
          </w:p>
        </w:tc>
      </w:tr>
      <w:tr>
        <w:tc>
          <w:tcPr/>
          <w:p>
            <w:pPr>
              <w:pStyle w:val="Compact"/>
              <w:jc w:val="left"/>
            </w:pPr>
            <w:r>
              <w:t xml:space="preserve">Schützt interne kritische Marktleitungen?</w:t>
            </w:r>
          </w:p>
        </w:tc>
        <w:tc>
          <w:tcPr/>
          <w:p>
            <w:pPr>
              <w:pStyle w:val="Compact"/>
              <w:jc w:val="left"/>
            </w:pPr>
            <w:r>
              <w:t xml:space="preserve">nur bei expliziter Partitionserhaltung</w:t>
            </w:r>
          </w:p>
        </w:tc>
        <w:tc>
          <w:tcPr/>
          <w:p>
            <w:pPr>
              <w:pStyle w:val="Compact"/>
              <w:jc w:val="left"/>
            </w:pPr>
            <w:r>
              <w:t xml:space="preserve">nicht garantiert</w:t>
            </w:r>
          </w:p>
        </w:tc>
        <w:tc>
          <w:tcPr/>
          <w:p>
            <w:pPr>
              <w:pStyle w:val="Compact"/>
              <w:jc w:val="left"/>
            </w:pPr>
            <w:r>
              <w:t xml:space="preserve">ja, bei Auswahl als CNEC</w:t>
            </w:r>
          </w:p>
        </w:tc>
      </w:tr>
      <w:tr>
        <w:tc>
          <w:tcPr/>
          <w:p>
            <w:pPr>
              <w:pStyle w:val="Compact"/>
              <w:jc w:val="left"/>
            </w:pPr>
            <w:r>
              <w:t xml:space="preserve">Modellziel</w:t>
            </w:r>
          </w:p>
        </w:tc>
        <w:tc>
          <w:tcPr/>
          <w:p>
            <w:pPr>
              <w:pStyle w:val="Compact"/>
              <w:jc w:val="left"/>
            </w:pPr>
            <w:r>
              <w:t xml:space="preserve">langfristige Engpassrepräsentation</w:t>
            </w:r>
          </w:p>
        </w:tc>
        <w:tc>
          <w:tcPr/>
          <w:p>
            <w:pPr>
              <w:pStyle w:val="Compact"/>
              <w:jc w:val="left"/>
            </w:pPr>
            <w:r>
              <w:t xml:space="preserve">strukturelle RES-Last-Korridore</w:t>
            </w:r>
          </w:p>
        </w:tc>
        <w:tc>
          <w:tcPr/>
          <w:p>
            <w:pPr>
              <w:pStyle w:val="Compact"/>
              <w:jc w:val="left"/>
            </w:pPr>
            <w:r>
              <w:t xml:space="preserve">Marktzulässigkeitsbereich</w:t>
            </w:r>
          </w:p>
        </w:tc>
      </w:tr>
      <w:tr>
        <w:tc>
          <w:tcPr/>
          <w:p>
            <w:pPr>
              <w:pStyle w:val="Compact"/>
              <w:jc w:val="left"/>
            </w:pPr>
            <w:r>
              <w:t xml:space="preserve">Hauptrisiko</w:t>
            </w:r>
          </w:p>
        </w:tc>
        <w:tc>
          <w:tcPr/>
          <w:p>
            <w:pPr>
              <w:pStyle w:val="Compact"/>
              <w:jc w:val="left"/>
            </w:pPr>
            <w:r>
              <w:t xml:space="preserve">markt- und szenarioabhängig</w:t>
            </w:r>
          </w:p>
        </w:tc>
        <w:tc>
          <w:tcPr/>
          <w:p>
            <w:pPr>
              <w:pStyle w:val="Compact"/>
              <w:jc w:val="left"/>
            </w:pPr>
            <w:r>
              <w:t xml:space="preserve">Ausgleichskonvention</w:t>
            </w:r>
          </w:p>
        </w:tc>
        <w:tc>
          <w:tcPr/>
          <w:p>
            <w:pPr>
              <w:pStyle w:val="Compact"/>
              <w:jc w:val="left"/>
            </w:pPr>
            <w:r>
              <w:t xml:space="preserve">falsches GSK/CNEC/FRM/Referenzniveau</w:t>
            </w:r>
          </w:p>
        </w:tc>
      </w:tr>
    </w:tbl>
    <w:p>
      <w:pPr>
        <w:pStyle w:val="BodyText"/>
      </w:pPr>
      <w:r>
        <w:rPr>
          <w:b/>
          <w:bCs/>
        </w:rPr>
        <w:t xml:space="preserve">Empfehlung:</w:t>
      </w:r>
      <w:r>
        <w:t xml:space="preserve"> </w:t>
      </w:r>
      <w:r>
        <w:t xml:space="preserve">A und B bleiben die zwei primären Clusterverfahren.</w:t>
      </w:r>
      <w:r>
        <w:t xml:space="preserve"> </w:t>
      </w:r>
      <m:oMath>
        <m:sSup>
          <m:e>
            <m:r>
              <m:t>S</m:t>
            </m:r>
          </m:e>
          <m:sup>
            <m:r>
              <m:rPr>
                <m:sty m:val="p"/>
              </m:rPr>
              <m:t>F</m:t>
            </m:r>
            <m:r>
              <m:rPr>
                <m:sty m:val="p"/>
              </m:rPr>
              <m:t>B</m:t>
            </m:r>
          </m:sup>
        </m:sSup>
      </m:oMath>
      <w:r>
        <w:t xml:space="preserve"> </w:t>
      </w:r>
      <w:r>
        <w:t xml:space="preserve">wird als</w:t>
      </w:r>
      <w:r>
        <w:t xml:space="preserve"> </w:t>
      </w:r>
      <w:r>
        <w:rPr>
          <w:b/>
          <w:bCs/>
        </w:rPr>
        <w:t xml:space="preserve">unabhängiger dritter Evaluationsindikator</w:t>
      </w:r>
      <w:r>
        <w:t xml:space="preserve"> </w:t>
      </w:r>
      <w:r>
        <w:t xml:space="preserve">verwendet, nicht automatisch als dritte Busmap-Zielfunktion. Besonders kritisch ist der Anteil relevanter CNECs, der im Planungsnetz intrazonal verschwindet.</w:t>
      </w:r>
    </w:p>
    <w:bookmarkEnd w:id="31"/>
    <w:bookmarkStart w:id="32" w:name="Xd9f62f73839203f5ebc69bb888275d71224f928"/>
    <w:p>
      <w:pPr>
        <w:pStyle w:val="Heading1"/>
      </w:pPr>
      <w:r>
        <w:t xml:space="preserve">6. Räumlicher Grenzfall: Planungszonen sind keine Marktgebotszonen</w:t>
      </w:r>
    </w:p>
    <w:p>
      <w:pPr>
        <w:pStyle w:val="FirstParagraph"/>
      </w:pPr>
      <w:r>
        <w:t xml:space="preserve">Die ENTSO-E-TYNDP-Methodik sieht intern erheblich mehr zonale Planungsknoten als offiziell gehandelte Bidding Zones vor. Deshalb dürfen Spalten einer Planungs-PTDF nicht unmittelbar als operative Markt-PTDF interpretiert werden.</w:t>
      </w:r>
    </w:p>
    <w:p>
      <w:pPr>
        <w:pStyle w:val="BodyText"/>
      </w:pPr>
      <w:r>
        <w:t xml:space="preserve">Wenn alle Planungszonen vollständig jeweils innerhalb einer Marktgebotszone liegen, kann es einen zusätzlichen Aggregationsoperator</w:t>
      </w:r>
      <w:r>
        <w:t xml:space="preserve"> </w:t>
      </w:r>
      <m:oMath>
        <m:r>
          <m:t>Q</m:t>
        </m:r>
      </m:oMath>
      <w:r>
        <w:t xml:space="preserve"> </w:t>
      </w:r>
      <w:r>
        <w:t xml:space="preserve">geben:</w:t>
      </w:r>
    </w:p>
    <w:p>
      <w:pPr>
        <w:pStyle w:val="BodyText"/>
      </w:pPr>
      <m:oMathPara>
        <m:oMathParaPr>
          <m:jc m:val="center"/>
        </m:oMathParaPr>
        <m:oMath>
          <m:sSub>
            <m:e>
              <m:r>
                <m:t>P</m:t>
              </m:r>
            </m:e>
            <m:sub>
              <m:r>
                <m:t>B</m:t>
              </m:r>
            </m:sub>
          </m:sSub>
          <m:r>
            <m:rPr>
              <m:sty m:val="p"/>
            </m:rPr>
            <m:t>=</m:t>
          </m:r>
          <m:r>
            <m:t>Q</m:t>
          </m:r>
          <m:sSub>
            <m:e>
              <m:r>
                <m:t>P</m:t>
              </m:r>
            </m:e>
            <m:sub>
              <m:r>
                <m:t>T</m:t>
              </m:r>
            </m:sub>
          </m:sSub>
          <m:r>
            <m:rPr>
              <m:sty m:val="p"/>
            </m:rPr>
            <m:t>.</m:t>
          </m:r>
        </m:oMath>
      </m:oMathPara>
    </w:p>
    <w:p>
      <w:pPr>
        <w:pStyle w:val="FirstParagraph"/>
      </w:pPr>
      <w:r>
        <w:t xml:space="preserve">Falls eine Planungszone eine Bidding-Zone-Grenze schneidet, gilt (20) für eine einfache one-hot Zuordnung</w:t>
      </w:r>
      <w:r>
        <w:t xml:space="preserve"> </w:t>
      </w:r>
      <w:r>
        <w:rPr>
          <w:b/>
          <w:bCs/>
        </w:rPr>
        <w:t xml:space="preserve">nicht</w:t>
      </w:r>
      <w:r>
        <w:t xml:space="preserve">. Dann sind die beiden Partitionen getrennt im hochaufgelösten Originalnetz zu verwalten. Selbst bei existierendem</w:t>
      </w:r>
      <w:r>
        <w:t xml:space="preserve"> </w:t>
      </w:r>
      <m:oMath>
        <m:r>
          <m:t>Q</m:t>
        </m:r>
      </m:oMath>
      <w:r>
        <w:t xml:space="preserve"> </w:t>
      </w:r>
      <w:r>
        <w:t xml:space="preserve">ist der entsprechende GSK und CNEC-Operator nicht automatisch aus den TYNDP-Impedanzen oder der Zonenschnitt-PTDF rekonstruierbar.</w:t>
      </w:r>
    </w:p>
    <w:p>
      <w:pPr>
        <w:pStyle w:val="BodyText"/>
      </w:pPr>
      <w:r>
        <w:t xml:space="preserve">Ein</w:t>
      </w:r>
      <w:r>
        <w:t xml:space="preserve"> </w:t>
      </w:r>
      <w:r>
        <w:rPr>
          <w:i/>
          <w:iCs/>
        </w:rPr>
        <w:t xml:space="preserve">direkter</w:t>
      </w:r>
      <w:r>
        <w:t xml:space="preserve"> </w:t>
      </w:r>
      <w:r>
        <w:t xml:space="preserve">Import von saisonalen, gerichteten TYNDP-Ersatzleitungsgrenzen als FBMC-RAM scheitert daher mehrfach:</w:t>
      </w:r>
    </w:p>
    <w:p>
      <w:pPr>
        <w:pStyle w:val="Compact"/>
        <w:numPr>
          <w:ilvl w:val="0"/>
          <w:numId w:val="1001"/>
        </w:numPr>
      </w:pPr>
      <w:r>
        <w:t xml:space="preserve">Die Grenzen gelten für reduzierte</w:t>
      </w:r>
      <w:r>
        <w:t xml:space="preserve"> </w:t>
      </w:r>
      <w:r>
        <w:rPr>
          <w:b/>
          <w:bCs/>
        </w:rPr>
        <w:t xml:space="preserve">Interzonenschnitte</w:t>
      </w:r>
      <w:r>
        <w:t xml:space="preserve">, nicht für einzelne kritische Leitungen unter Kontingenzen.</w:t>
      </w:r>
    </w:p>
    <w:p>
      <w:pPr>
        <w:pStyle w:val="Compact"/>
        <w:numPr>
          <w:ilvl w:val="0"/>
          <w:numId w:val="1001"/>
        </w:numPr>
      </w:pPr>
      <w:r>
        <w:t xml:space="preserve">FBMC-RAM ist um Prognosebasisflüsse, Sicherheitsmargen und weitere operative Parameter angepasst.</w:t>
      </w:r>
    </w:p>
    <w:p>
      <w:pPr>
        <w:pStyle w:val="Compact"/>
        <w:numPr>
          <w:ilvl w:val="0"/>
          <w:numId w:val="1001"/>
        </w:numPr>
      </w:pPr>
      <w:r>
        <w:t xml:space="preserve">Mehrere CNECs koppeln die Handelsergebnisse aller Marktgebotszonen</w:t>
      </w:r>
      <w:r>
        <w:t xml:space="preserve"> </w:t>
      </w:r>
      <w:r>
        <w:rPr>
          <w:b/>
          <w:bCs/>
        </w:rPr>
        <w:t xml:space="preserve">gleichzeitig</w:t>
      </w:r>
      <w:r>
        <w:t xml:space="preserve">; nicht unabhängige NTC-ähnliche Box-Grenzen.</w:t>
      </w:r>
    </w:p>
    <w:p>
      <w:pPr>
        <w:pStyle w:val="Compact"/>
        <w:numPr>
          <w:ilvl w:val="0"/>
          <w:numId w:val="1001"/>
        </w:numPr>
      </w:pPr>
      <w:r>
        <w:t xml:space="preserve">Der Referenzhorizont (2035/2040/2050-Planungswetterjahre versus kurzfristige D-2-Vorhersage) ist grundsätzlich unterschiedlich.</w:t>
      </w:r>
    </w:p>
    <w:bookmarkEnd w:id="32"/>
    <w:bookmarkStart w:id="34" w:name="X4e8d9f1313ab871652c584bd47e1dea35bae6ec"/>
    <w:p>
      <w:pPr>
        <w:pStyle w:val="Heading1"/>
      </w:pPr>
      <w:r>
        <w:t xml:space="preserve">7. Wissenschaftlich bevorzugte Kopplungsarchitektur in PyPSA</w:t>
      </w:r>
    </w:p>
    <w:p>
      <w:pPr>
        <w:pStyle w:val="FirstParagraph"/>
      </w:pPr>
      <w:r>
        <w:t xml:space="preserve">Die robuste Lösung ist</w:t>
      </w:r>
      <w:r>
        <w:t xml:space="preserve"> </w:t>
      </w:r>
      <w:r>
        <w:rPr>
          <w:b/>
          <w:bCs/>
        </w:rPr>
        <w:t xml:space="preserve">keine Verschmelzung</w:t>
      </w:r>
      <w:r>
        <w:t xml:space="preserve"> </w:t>
      </w:r>
      <w:r>
        <w:t xml:space="preserve">von TYNDP-Ersatzleitungskapazitäten mit dem Core-Marktbereich, sondern ein</w:t>
      </w:r>
      <w:r>
        <w:t xml:space="preserve"> </w:t>
      </w:r>
      <w:r>
        <w:rPr>
          <w:i/>
          <w:iCs/>
        </w:rPr>
        <w:t xml:space="preserve">dualer Ergebniszweig</w:t>
      </w:r>
      <w:r>
        <w:t xml:space="preserve"> </w:t>
      </w:r>
      <w:r>
        <w:t xml:space="preserve">aus demselben hochaufgelösten Referenznetz:</w:t>
      </w:r>
    </w:p>
    <w:p>
      <w:pPr>
        <w:pStyle w:val="BodyText"/>
      </w:pPr>
      <w:r>
        <w:rPr>
          <w:b/>
          <w:bCs/>
        </w:rPr>
        <w:t xml:space="preserve">Planungszweig:</w:t>
      </w:r>
      <w:r>
        <w:t xml:space="preserve"> </w:t>
      </w:r>
      <m:oMath>
        <m:sSub>
          <m:e>
            <m:r>
              <m:t>H</m:t>
            </m:r>
          </m:e>
          <m:sub>
            <m:r>
              <m:t>d</m:t>
            </m:r>
          </m:sub>
        </m:sSub>
        <m:r>
          <m:rPr>
            <m:sty m:val="p"/>
          </m:rPr>
          <m:t>,</m:t>
        </m:r>
        <m:sSub>
          <m:e>
            <m:r>
              <m:t>p</m:t>
            </m:r>
          </m:e>
          <m:sub>
            <m:r>
              <m:t>d</m:t>
            </m:r>
          </m:sub>
        </m:sSub>
        <m:d>
          <m:dPr>
            <m:begChr m:val="("/>
            <m:endChr m:val=")"/>
            <m:sepChr m:val=""/>
            <m:grow/>
          </m:dPr>
          <m:e>
            <m:r>
              <m:t>t</m:t>
            </m:r>
          </m:e>
        </m:d>
        <m:r>
          <m:rPr>
            <m:sty m:val="p"/>
          </m:rPr>
          <m:t>→</m:t>
        </m:r>
      </m:oMath>
      <w:r>
        <w:t xml:space="preserve"> </w:t>
      </w:r>
      <w:r>
        <w:t xml:space="preserve">Cluster A/B</w:t>
      </w:r>
      <w:r>
        <w:t xml:space="preserve"> </w:t>
      </w:r>
      <m:oMath>
        <m:r>
          <m:rPr>
            <m:sty m:val="p"/>
          </m:rPr>
          <m:t>→</m:t>
        </m:r>
        <m:d>
          <m:dPr>
            <m:begChr m:val="("/>
            <m:endChr m:val=")"/>
            <m:sepChr m:val=""/>
            <m:grow/>
          </m:dPr>
          <m:e>
            <m:sSub>
              <m:e>
                <m:r>
                  <m:t>P</m:t>
                </m:r>
              </m:e>
              <m:sub>
                <m:r>
                  <m:t>T</m:t>
                </m:r>
              </m:sub>
            </m:sSub>
            <m:r>
              <m:rPr>
                <m:sty m:val="p"/>
              </m:rPr>
              <m:t>,</m:t>
            </m:r>
            <m:sSub>
              <m:e>
                <m:r>
                  <m:t>Γ</m:t>
                </m:r>
              </m:e>
              <m:sub>
                <m:r>
                  <m:t>T</m:t>
                </m:r>
              </m:sub>
            </m:sSub>
          </m:e>
        </m:d>
      </m:oMath>
      <w:r>
        <w:t xml:space="preserve"> </w:t>
      </w:r>
      <m:oMath>
        <m:r>
          <m:rPr>
            <m:sty m:val="p"/>
          </m:rPr>
          <m:t>→</m:t>
        </m:r>
      </m:oMath>
      <w:r>
        <w:t xml:space="preserve"> </w:t>
      </w:r>
      <w:r>
        <w:t xml:space="preserve">Ersatzimpedanzen,</w:t>
      </w:r>
      <w:r>
        <w:t xml:space="preserve"> </w:t>
      </w:r>
      <m:oMath>
        <m:sSub>
          <m:e>
            <m:r>
              <m:t>F</m:t>
            </m:r>
          </m:e>
          <m:sub>
            <m:r>
              <m:t>0</m:t>
            </m:r>
          </m:sub>
        </m:sSub>
      </m:oMath>
      <w:r>
        <w:t xml:space="preserve">, saisonale Interzonengrenzen.</w:t>
      </w:r>
    </w:p>
    <w:p>
      <w:pPr>
        <w:pStyle w:val="BodyText"/>
      </w:pPr>
      <w:r>
        <w:rPr>
          <w:b/>
          <w:bCs/>
        </w:rPr>
        <w:t xml:space="preserve">FBMC-Zweig:</w:t>
      </w:r>
      <w:r>
        <w:t xml:space="preserve"> </w:t>
      </w:r>
      <m:oMath>
        <m:sSub>
          <m:e>
            <m:r>
              <m:t>H</m:t>
            </m:r>
          </m:e>
          <m:sub>
            <m:r>
              <m:t>d</m:t>
            </m:r>
          </m:sub>
        </m:sSub>
        <m:r>
          <m:rPr>
            <m:sty m:val="p"/>
          </m:rPr>
          <m:t>,</m:t>
        </m:r>
        <m:sSubSup>
          <m:e>
            <m:r>
              <m:t>p</m:t>
            </m:r>
          </m:e>
          <m:sub>
            <m:r>
              <m:t>d</m:t>
            </m:r>
          </m:sub>
          <m:sup>
            <m:r>
              <m:t>r</m:t>
            </m:r>
            <m:r>
              <m:t>e</m:t>
            </m:r>
            <m:r>
              <m:t>f</m:t>
            </m:r>
          </m:sup>
        </m:sSubSup>
        <m:d>
          <m:dPr>
            <m:begChr m:val="("/>
            <m:endChr m:val=")"/>
            <m:sepChr m:val=""/>
            <m:grow/>
          </m:dPr>
          <m:e>
            <m:r>
              <m:t>t</m:t>
            </m:r>
          </m:e>
        </m:d>
        <m:r>
          <m:rPr>
            <m:sty m:val="p"/>
          </m:rPr>
          <m:t>,</m:t>
        </m:r>
        <m:sSub>
          <m:e>
            <m:r>
              <m:t>P</m:t>
            </m:r>
          </m:e>
          <m:sub>
            <m:r>
              <m:t>B</m:t>
            </m:r>
          </m:sub>
        </m:sSub>
        <m:r>
          <m:rPr>
            <m:sty m:val="p"/>
          </m:rPr>
          <m:t>,</m:t>
        </m:r>
        <m:sSub>
          <m:e>
            <m:r>
              <m:t>G</m:t>
            </m:r>
          </m:e>
          <m:sub>
            <m:r>
              <m:t>t</m:t>
            </m:r>
          </m:sub>
        </m:sSub>
        <m:r>
          <m:rPr>
            <m:sty m:val="p"/>
          </m:rPr>
          <m:t>→</m:t>
        </m:r>
      </m:oMath>
      <w:r>
        <w:t xml:space="preserve"> </w:t>
      </w:r>
      <w:r>
        <w:t xml:space="preserve">CNEC/LODF-Operator</w:t>
      </w:r>
      <w:r>
        <w:t xml:space="preserve"> </w:t>
      </w:r>
      <m:oMath>
        <m:sSub>
          <m:e>
            <m:r>
              <m:t>K</m:t>
            </m:r>
          </m:e>
          <m:sub>
            <m:r>
              <m:t>t</m:t>
            </m:r>
          </m:sub>
        </m:sSub>
      </m:oMath>
      <w:r>
        <w:t xml:space="preserve"> </w:t>
      </w:r>
      <m:oMath>
        <m:r>
          <m:rPr>
            <m:sty m:val="p"/>
          </m:rPr>
          <m:t>→</m:t>
        </m:r>
        <m:sSub>
          <m:e>
            <m:r>
              <m:t>Z</m:t>
            </m:r>
          </m:e>
          <m:sub>
            <m:r>
              <m:t>F</m:t>
            </m:r>
            <m:r>
              <m:t>B</m:t>
            </m:r>
            <m:r>
              <m:rPr>
                <m:sty m:val="p"/>
              </m:rPr>
              <m:t>,</m:t>
            </m:r>
            <m:r>
              <m:t>t</m:t>
            </m:r>
          </m:sub>
        </m:sSub>
        <m:r>
          <m:rPr>
            <m:sty m:val="p"/>
          </m:rPr>
          <m:t>,</m:t>
        </m:r>
        <m:sSub>
          <m:e>
            <m:r>
              <m:t>f</m:t>
            </m:r>
          </m:e>
          <m:sub>
            <m:r>
              <m:t>0</m:t>
            </m:r>
            <m:r>
              <m:rPr>
                <m:sty m:val="p"/>
              </m:rPr>
              <m:t>,</m:t>
            </m:r>
            <m:r>
              <m:t>F</m:t>
            </m:r>
            <m:r>
              <m:t>B</m:t>
            </m:r>
            <m:r>
              <m:rPr>
                <m:sty m:val="p"/>
              </m:rPr>
              <m:t>,</m:t>
            </m:r>
            <m:r>
              <m:t>t</m:t>
            </m:r>
          </m:sub>
        </m:sSub>
        <m:r>
          <m:rPr>
            <m:sty m:val="p"/>
          </m:rPr>
          <m:t>,</m:t>
        </m:r>
        <m:r>
          <m:t>R</m:t>
        </m:r>
        <m:r>
          <m:t>A</m:t>
        </m:r>
        <m:sSub>
          <m:e>
            <m:r>
              <m:t>M</m:t>
            </m:r>
          </m:e>
          <m:sub>
            <m:r>
              <m:t>t</m:t>
            </m:r>
          </m:sub>
        </m:sSub>
      </m:oMath>
      <w:r>
        <w:t xml:space="preserve"> </w:t>
      </w:r>
      <m:oMath>
        <m:r>
          <m:rPr>
            <m:sty m:val="p"/>
          </m:rPr>
          <m:t>→</m:t>
        </m:r>
      </m:oMath>
      <w:r>
        <w:t xml:space="preserve"> </w:t>
      </w:r>
      <w:r>
        <w:t xml:space="preserve">experimenteller FB-Polyeder und Marktsimulation.</w:t>
      </w:r>
    </w:p>
    <w:p>
      <w:pPr>
        <w:pStyle w:val="BodyText"/>
      </w:pPr>
      <w:r>
        <w:t xml:space="preserve">Die Datenbasis kann dieselbe sein; die</w:t>
      </w:r>
      <w:r>
        <w:t xml:space="preserve"> </w:t>
      </w:r>
      <w:r>
        <w:rPr>
          <w:b/>
          <w:bCs/>
        </w:rPr>
        <w:t xml:space="preserve">Operatoren und Gültigkeitsbedingungen bleiben unabhängig</w:t>
      </w:r>
      <w:r>
        <w:t xml:space="preserve">. In einer langfristigen Planung können hypothetische zukünftige FB-Domänen unter Szenarioannahmen berechnet werden, dürfen jedoch nicht mit publizierten Day-Ahead-RAM-Werten gleichgesetzt werden.</w:t>
      </w:r>
    </w:p>
    <w:bookmarkStart w:id="33" w:name="vergleichsmetriken"/>
    <w:p>
      <w:pPr>
        <w:pStyle w:val="Heading2"/>
      </w:pPr>
      <w:r>
        <w:t xml:space="preserve">7.1 Vergleichsmetriken</w:t>
      </w:r>
    </w:p>
    <w:p>
      <w:pPr>
        <w:pStyle w:val="FirstParagraph"/>
      </w:pPr>
      <w:r>
        <w:t xml:space="preserve">Ein belastbarer Test sollte vier getrennte Fehlerfamilien liefern:</w:t>
      </w:r>
    </w:p>
    <w:p>
      <w:pPr>
        <w:pStyle w:val="Compact"/>
        <w:numPr>
          <w:ilvl w:val="0"/>
          <w:numId w:val="1002"/>
        </w:numPr>
      </w:pPr>
      <w:r>
        <w:rPr>
          <w:b/>
          <w:bCs/>
        </w:rPr>
        <w:t xml:space="preserve">Flussäquivalenz</w:t>
      </w:r>
      <w:r>
        <w:t xml:space="preserve">: RMSE von</w:t>
      </w:r>
      <w:r>
        <w:t xml:space="preserve"> </w:t>
      </w:r>
      <m:oMath>
        <m:sSub>
          <m:e>
            <m:r>
              <m:t>Γ</m:t>
            </m:r>
          </m:e>
          <m:sub>
            <m:r>
              <m:t>T</m:t>
            </m:r>
          </m:sub>
        </m:sSub>
        <m:sSub>
          <m:e>
            <m:r>
              <m:t>f</m:t>
            </m:r>
          </m:e>
          <m:sub>
            <m:r>
              <m:t>d</m:t>
            </m:r>
          </m:sub>
        </m:sSub>
      </m:oMath>
      <w:r>
        <w:t xml:space="preserve"> </w:t>
      </w:r>
      <w:r>
        <w:t xml:space="preserve">gegen das reduzierte Ersatzmodell, auf nicht verwendeten Stunden.</w:t>
      </w:r>
    </w:p>
    <w:p>
      <w:pPr>
        <w:pStyle w:val="Compact"/>
        <w:numPr>
          <w:ilvl w:val="0"/>
          <w:numId w:val="1002"/>
        </w:numPr>
      </w:pPr>
      <w:r>
        <w:rPr>
          <w:b/>
          <w:bCs/>
        </w:rPr>
        <w:t xml:space="preserve">GSK-Modellfehler</w:t>
      </w:r>
      <w:r>
        <w:t xml:space="preserve">:</w:t>
      </w:r>
      <w:r>
        <w:t xml:space="preserve"> </w:t>
      </w:r>
      <m:oMath>
        <m:r>
          <m:t>K</m:t>
        </m:r>
        <m:sSub>
          <m:e>
            <m:r>
              <m:t>H</m:t>
            </m:r>
          </m:e>
          <m:sub>
            <m:r>
              <m:t>d</m:t>
            </m:r>
          </m:sub>
        </m:sSub>
        <m:r>
          <m:t>Δ</m:t>
        </m:r>
        <m:sSup>
          <m:e>
            <m:r>
              <m:t>p</m:t>
            </m:r>
          </m:e>
          <m:sup>
            <m:r>
              <m:rPr>
                <m:sty m:val="p"/>
              </m:rPr>
              <m:t>a</m:t>
            </m:r>
            <m:r>
              <m:rPr>
                <m:sty m:val="p"/>
              </m:rPr>
              <m:t>c</m:t>
            </m:r>
            <m:r>
              <m:rPr>
                <m:sty m:val="p"/>
              </m:rPr>
              <m:t>t</m:t>
            </m:r>
            <m:r>
              <m:rPr>
                <m:sty m:val="p"/>
              </m:rPr>
              <m:t>u</m:t>
            </m:r>
            <m:r>
              <m:rPr>
                <m:sty m:val="p"/>
              </m:rPr>
              <m:t>a</m:t>
            </m:r>
            <m:r>
              <m:rPr>
                <m:sty m:val="p"/>
              </m:rPr>
              <m:t>l</m:t>
            </m:r>
          </m:sup>
        </m:sSup>
      </m:oMath>
      <w:r>
        <w:t xml:space="preserve"> </w:t>
      </w:r>
      <w:r>
        <w:t xml:space="preserve">gegen</w:t>
      </w:r>
      <w:r>
        <w:t xml:space="preserve"> </w:t>
      </w:r>
      <m:oMath>
        <m:r>
          <m:t>K</m:t>
        </m:r>
        <m:sSub>
          <m:e>
            <m:r>
              <m:t>H</m:t>
            </m:r>
          </m:e>
          <m:sub>
            <m:r>
              <m:t>d</m:t>
            </m:r>
          </m:sub>
        </m:sSub>
        <m:r>
          <m:t>G</m:t>
        </m:r>
        <m:r>
          <m:t>Δ</m:t>
        </m:r>
        <m:r>
          <m:t>N</m:t>
        </m:r>
        <m:r>
          <m:t>P</m:t>
        </m:r>
      </m:oMath>
      <w:r>
        <w:t xml:space="preserve"> </w:t>
      </w:r>
      <w:r>
        <w:t xml:space="preserve">auf beobachteten plausiblen Handelsverschiebungen.</w:t>
      </w:r>
    </w:p>
    <w:p>
      <w:pPr>
        <w:pStyle w:val="Compact"/>
        <w:numPr>
          <w:ilvl w:val="0"/>
          <w:numId w:val="1002"/>
        </w:numPr>
      </w:pPr>
      <w:r>
        <w:rPr>
          <w:b/>
          <w:bCs/>
        </w:rPr>
        <w:t xml:space="preserve">CNEC-Sicherheitsfehler</w:t>
      </w:r>
      <w:r>
        <w:t xml:space="preserve">: Anteil der vom experimentellen FB-Polyeder erlaubten Handelspositionen, die im detaillierten N-1-Modell Überlastungen verursachen (bei identischer Basis und zulässigen RAs).</w:t>
      </w:r>
    </w:p>
    <w:p>
      <w:pPr>
        <w:pStyle w:val="Compact"/>
        <w:numPr>
          <w:ilvl w:val="0"/>
          <w:numId w:val="1002"/>
        </w:numPr>
      </w:pPr>
      <w:r>
        <w:rPr>
          <w:b/>
          <w:bCs/>
        </w:rPr>
        <w:t xml:space="preserve">Marktwirkung</w:t>
      </w:r>
      <w:r>
        <w:t xml:space="preserve">: Kosten-/Wohlfahrts- und Preisunterschiede eines FBMC-Marktlaufs zu einem durch denselben Datenstand qualifizierten Referenzfall.</w:t>
      </w:r>
    </w:p>
    <w:p>
      <w:pPr>
        <w:pStyle w:val="FirstParagraph"/>
      </w:pPr>
      <w:r>
        <w:t xml:space="preserve">Eine reine RMS-Flussmetrik genügt für FBMC nicht: Kleine Fehler auf stark begrenzenden CNECs können große Wirkungen auf den Marktbereich besitzen.</w:t>
      </w:r>
    </w:p>
    <w:bookmarkEnd w:id="33"/>
    <w:bookmarkEnd w:id="34"/>
    <w:bookmarkStart w:id="35" w:name="reproduzierbarer-synthetischer-vergleich"/>
    <w:p>
      <w:pPr>
        <w:pStyle w:val="Heading1"/>
      </w:pPr>
      <w:r>
        <w:t xml:space="preserve">8. Reproduzierbarer synthetischer Vergleich</w:t>
      </w:r>
    </w:p>
    <w:p>
      <w:pPr>
        <w:pStyle w:val="FirstParagraph"/>
      </w:pPr>
      <w:r>
        <w:t xml:space="preserve">Die neu implementierte Erweiterung verwendet das</w:t>
      </w:r>
      <w:r>
        <w:t xml:space="preserve"> </w:t>
      </w:r>
      <w:r>
        <w:rPr>
          <w:b/>
          <w:bCs/>
        </w:rPr>
        <w:t xml:space="preserve">gleiche frei konstruierte 9-Knoten-/15-Leitungs-Netz</w:t>
      </w:r>
      <w:r>
        <w:t xml:space="preserve"> </w:t>
      </w:r>
      <w:r>
        <w:t xml:space="preserve">wie der bisherige Methodenbericht. Die Marktpartition besteht für dieses Zusatzexperiment aus</w:t>
      </w:r>
      <w:r>
        <w:t xml:space="preserve"> </w:t>
      </w:r>
      <w:r>
        <w:rPr>
          <w:b/>
          <w:bCs/>
        </w:rPr>
        <w:t xml:space="preserve">drei</w:t>
      </w:r>
      <w:r>
        <w:t xml:space="preserve"> </w:t>
      </w:r>
      <w:r>
        <w:t xml:space="preserve">Bidding Zones, unabhängig von den A/B-Planungsbusmaps mit fünf Zonen. Der Referenzzustand besteht aus skalierten mittleren synthetischen Einspeisungen; der Netzparameterstand ist fest. Alle N-0-Zweige und die für die BODF gültigen geordneten N-1-Zweigpaare werden überwacht. Die vorläufige Marge ist pauschal 10% der Demonstrations-Zweiggrenze. Ein ausdrücklich vereinfachter Handelssensitivitätsfilter nutzt die Schwelle 5%.</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GSK-Proxy</w:t>
            </w:r>
          </w:p>
        </w:tc>
        <w:tc>
          <w:tcPr/>
          <w:p>
            <w:pPr>
              <w:pStyle w:val="Compact"/>
              <w:jc w:val="right"/>
            </w:pPr>
            <w:r>
              <w:t xml:space="preserve">Kandidaten-CNECs N-0/N-1</w:t>
            </w:r>
          </w:p>
        </w:tc>
        <w:tc>
          <w:tcPr/>
          <w:p>
            <w:pPr>
              <w:pStyle w:val="Compact"/>
              <w:jc w:val="right"/>
            </w:pPr>
            <m:oMath>
              <m:sSubSup>
                <m:e>
                  <m:r>
                    <m:t>S</m:t>
                  </m:r>
                </m:e>
                <m:sub>
                  <m:r>
                    <m:t>c</m:t>
                  </m:r>
                </m:sub>
                <m:sup>
                  <m:r>
                    <m:t>F</m:t>
                  </m:r>
                  <m:r>
                    <m:t>B</m:t>
                  </m:r>
                </m:sup>
              </m:sSubSup>
              <m:r>
                <m:rPr>
                  <m:sty m:val="p"/>
                </m:rPr>
                <m:t>≥</m:t>
              </m:r>
              <m:r>
                <m:t>5</m:t>
              </m:r>
              <m:r>
                <m:rPr>
                  <m:sty m:val="p"/>
                </m:rPr>
                <m:t>%</m:t>
              </m:r>
            </m:oMath>
          </w:p>
        </w:tc>
        <w:tc>
          <w:tcPr/>
          <w:p>
            <w:pPr>
              <w:pStyle w:val="Compact"/>
              <w:jc w:val="right"/>
            </w:pPr>
            <w:r>
              <w:t xml:space="preserve">RMSE Nullpositionsfluss [MW]</w:t>
            </w:r>
          </w:p>
        </w:tc>
        <w:tc>
          <w:tcPr/>
          <w:p>
            <w:pPr>
              <w:pStyle w:val="Compact"/>
              <w:jc w:val="right"/>
            </w:pPr>
            <w:r>
              <w:t xml:space="preserve">Bilateral A→B [MW]</w:t>
            </w:r>
          </w:p>
        </w:tc>
        <w:tc>
          <w:tcPr/>
          <w:p>
            <w:pPr>
              <w:pStyle w:val="Compact"/>
              <w:jc w:val="right"/>
            </w:pPr>
            <w:r>
              <w:t xml:space="preserve">Bilateral A→C [MW]</w:t>
            </w:r>
          </w:p>
        </w:tc>
      </w:tr>
      <w:tr>
        <w:tc>
          <w:tcPr/>
          <w:p>
            <w:pPr>
              <w:pStyle w:val="Compact"/>
              <w:jc w:val="left"/>
            </w:pPr>
            <w:r>
              <w:t xml:space="preserve">Gleichmäßig</w:t>
            </w:r>
          </w:p>
        </w:tc>
        <w:tc>
          <w:tcPr/>
          <w:p>
            <w:pPr>
              <w:pStyle w:val="Compact"/>
              <w:jc w:val="right"/>
            </w:pPr>
            <w:r>
              <w:t xml:space="preserve">225</w:t>
            </w:r>
          </w:p>
        </w:tc>
        <w:tc>
          <w:tcPr/>
          <w:p>
            <w:pPr>
              <w:pStyle w:val="Compact"/>
              <w:jc w:val="right"/>
            </w:pPr>
            <w:r>
              <w:t xml:space="preserve">166</w:t>
            </w:r>
          </w:p>
        </w:tc>
        <w:tc>
          <w:tcPr/>
          <w:p>
            <w:pPr>
              <w:pStyle w:val="Compact"/>
              <w:jc w:val="right"/>
            </w:pPr>
            <w:r>
              <w:t xml:space="preserve">5,380</w:t>
            </w:r>
          </w:p>
        </w:tc>
        <w:tc>
          <w:tcPr/>
          <w:p>
            <w:pPr>
              <w:pStyle w:val="Compact"/>
              <w:jc w:val="right"/>
            </w:pPr>
            <w:r>
              <w:t xml:space="preserve">88,770</w:t>
            </w:r>
          </w:p>
        </w:tc>
        <w:tc>
          <w:tcPr/>
          <w:p>
            <w:pPr>
              <w:pStyle w:val="Compact"/>
              <w:jc w:val="right"/>
            </w:pPr>
            <w:r>
              <w:t xml:space="preserve">74,140</w:t>
            </w:r>
          </w:p>
        </w:tc>
      </w:tr>
      <w:tr>
        <w:tc>
          <w:tcPr/>
          <w:p>
            <w:pPr>
              <w:pStyle w:val="Compact"/>
              <w:jc w:val="left"/>
            </w:pPr>
            <w:r>
              <w:t xml:space="preserve">Kapazitätsgewichtet</w:t>
            </w:r>
          </w:p>
        </w:tc>
        <w:tc>
          <w:tcPr/>
          <w:p>
            <w:pPr>
              <w:pStyle w:val="Compact"/>
              <w:jc w:val="right"/>
            </w:pPr>
            <w:r>
              <w:t xml:space="preserve">225</w:t>
            </w:r>
          </w:p>
        </w:tc>
        <w:tc>
          <w:tcPr/>
          <w:p>
            <w:pPr>
              <w:pStyle w:val="Compact"/>
              <w:jc w:val="right"/>
            </w:pPr>
            <w:r>
              <w:t xml:space="preserve">198</w:t>
            </w:r>
          </w:p>
        </w:tc>
        <w:tc>
          <w:tcPr/>
          <w:p>
            <w:pPr>
              <w:pStyle w:val="Compact"/>
              <w:jc w:val="right"/>
            </w:pPr>
            <w:r>
              <w:t xml:space="preserve">5,092</w:t>
            </w:r>
          </w:p>
        </w:tc>
        <w:tc>
          <w:tcPr/>
          <w:p>
            <w:pPr>
              <w:pStyle w:val="Compact"/>
              <w:jc w:val="right"/>
            </w:pPr>
            <w:r>
              <w:t xml:space="preserve">84,184</w:t>
            </w:r>
          </w:p>
        </w:tc>
        <w:tc>
          <w:tcPr/>
          <w:p>
            <w:pPr>
              <w:pStyle w:val="Compact"/>
              <w:jc w:val="right"/>
            </w:pPr>
            <w:r>
              <w:t xml:space="preserve">76,605</w:t>
            </w:r>
          </w:p>
        </w:tc>
      </w:tr>
      <w:tr>
        <w:tc>
          <w:tcPr/>
          <w:p>
            <w:pPr>
              <w:pStyle w:val="Compact"/>
              <w:jc w:val="left"/>
            </w:pPr>
            <w:r>
              <w:t xml:space="preserve">Merit-Order-Proxy</w:t>
            </w:r>
          </w:p>
        </w:tc>
        <w:tc>
          <w:tcPr/>
          <w:p>
            <w:pPr>
              <w:pStyle w:val="Compact"/>
              <w:jc w:val="right"/>
            </w:pPr>
            <w:r>
              <w:t xml:space="preserve">225</w:t>
            </w:r>
          </w:p>
        </w:tc>
        <w:tc>
          <w:tcPr/>
          <w:p>
            <w:pPr>
              <w:pStyle w:val="Compact"/>
              <w:jc w:val="right"/>
            </w:pPr>
            <w:r>
              <w:t xml:space="preserve">211</w:t>
            </w:r>
          </w:p>
        </w:tc>
        <w:tc>
          <w:tcPr/>
          <w:p>
            <w:pPr>
              <w:pStyle w:val="Compact"/>
              <w:jc w:val="right"/>
            </w:pPr>
            <w:r>
              <w:t xml:space="preserve">4,874</w:t>
            </w:r>
          </w:p>
        </w:tc>
        <w:tc>
          <w:tcPr/>
          <w:p>
            <w:pPr>
              <w:pStyle w:val="Compact"/>
              <w:jc w:val="right"/>
            </w:pPr>
            <w:r>
              <w:t xml:space="preserve">69,359</w:t>
            </w:r>
          </w:p>
        </w:tc>
        <w:tc>
          <w:tcPr/>
          <w:p>
            <w:pPr>
              <w:pStyle w:val="Compact"/>
              <w:jc w:val="right"/>
            </w:pPr>
            <w:r>
              <w:t xml:space="preserve">65,475</w:t>
            </w:r>
          </w:p>
        </w:tc>
      </w:tr>
    </w:tbl>
    <w:p>
      <w:pPr>
        <w:pStyle w:val="BodyText"/>
      </w:pPr>
      <w:r>
        <w:t xml:space="preserve">Die bilateralen Zahlen sind</w:t>
      </w:r>
      <w:r>
        <w:t xml:space="preserve"> </w:t>
      </w:r>
      <w:r>
        <w:rPr>
          <w:b/>
          <w:bCs/>
        </w:rPr>
        <w:t xml:space="preserve">eindimensionale Schnitte</w:t>
      </w:r>
      <w:r>
        <w:t xml:space="preserve"> </w:t>
      </w:r>
      <w:r>
        <w:t xml:space="preserve">des</w:t>
      </w:r>
      <w:r>
        <w:t xml:space="preserve"> </w:t>
      </w:r>
      <w:r>
        <w:rPr>
          <w:i/>
          <w:iCs/>
        </w:rPr>
        <w:t xml:space="preserve">vereinfachten</w:t>
      </w:r>
      <w:r>
        <w:t xml:space="preserve"> </w:t>
      </w:r>
      <w:r>
        <w:t xml:space="preserve">FB-Polyeders für einen Handel zwischen jeweils zwei Zonen und alle anderen Nettohandelspositionen gleich null. Sie dürfen nicht gleichzeitig ausgeschöpft oder mit echten veröffentlichen Core-Kapazitäten verglichen werden.</w:t>
      </w:r>
      <w:r>
        <w:t xml:space="preserve"> </w:t>
      </w:r>
      <m:oMath>
        <m:sSubSup>
          <m:e>
            <m:r>
              <m:t>S</m:t>
            </m:r>
          </m:e>
          <m:sub>
            <m:r>
              <m:t>c</m:t>
            </m:r>
          </m:sub>
          <m:sup>
            <m:r>
              <m:t>F</m:t>
            </m:r>
            <m:r>
              <m:t>B</m:t>
            </m:r>
          </m:sup>
        </m:sSubSup>
        <m:r>
          <m:rPr>
            <m:sty m:val="p"/>
          </m:rPr>
          <m:t>≥</m:t>
        </m:r>
        <m:r>
          <m:t>5</m:t>
        </m:r>
        <m:r>
          <m:rPr>
            <m:sty m:val="p"/>
          </m:rPr>
          <m:t>%</m:t>
        </m:r>
      </m:oMath>
      <w:r>
        <w:t xml:space="preserve"> </w:t>
      </w:r>
      <w:r>
        <w:t xml:space="preserve">ist nur ein Forschungsindikator. Der Nullpositionsfluss-RMSE misst die Größe des Offsets,</w:t>
      </w:r>
      <w:r>
        <w:t xml:space="preserve"> </w:t>
      </w:r>
      <w:r>
        <w:rPr>
          <w:b/>
          <w:bCs/>
        </w:rPr>
        <w:t xml:space="preserve">nicht</w:t>
      </w:r>
      <w:r>
        <w:t xml:space="preserve"> </w:t>
      </w:r>
      <w:r>
        <w:t xml:space="preserve">dessen Vorhersagefehler oder die Qualität des GSK. Dass Merit Order hier die kleinere Offset-Norm hat, ist deshalb</w:t>
      </w:r>
      <w:r>
        <w:t xml:space="preserve"> </w:t>
      </w:r>
      <w:r>
        <w:rPr>
          <w:b/>
          <w:bCs/>
        </w:rPr>
        <w:t xml:space="preserve">keine Güteaussage</w:t>
      </w:r>
      <w:r>
        <w:t xml:space="preserve"> </w:t>
      </w:r>
      <w:r>
        <w:t xml:space="preserve">für das operative Market Coupling.</w:t>
      </w:r>
    </w:p>
    <w:p>
      <w:pPr>
        <w:pStyle w:val="BodyText"/>
      </w:pPr>
      <w:r>
        <w:t xml:space="preserve">Die Beispielrechnung zeigt jedoch etwas Grundsätzliches:</w:t>
      </w:r>
      <w:r>
        <w:t xml:space="preserve"> </w:t>
      </w:r>
      <w:r>
        <w:rPr>
          <w:b/>
          <w:bCs/>
        </w:rPr>
        <w:t xml:space="preserve">Dieselbe Netztopologie und derselbe nodale Referenzzustand können durch Änderung der GSKs merklich andere Marktbereiche ergeben.</w:t>
      </w:r>
      <w:r>
        <w:t xml:space="preserve"> </w:t>
      </w:r>
      <w:r>
        <w:t xml:space="preserve">Das ist der wichtigste operationelle Testfall für unsere wirtschaftlich gewichtete PTDF-Hypothese.</w:t>
      </w:r>
    </w:p>
    <w:bookmarkEnd w:id="35"/>
    <w:bookmarkStart w:id="36" w:name="X8baff8fb407214e5112fe1383379d65bbf15247"/>
    <w:p>
      <w:pPr>
        <w:pStyle w:val="Heading1"/>
      </w:pPr>
      <w:r>
        <w:t xml:space="preserve">9. Softwaredesign und reproduzierbare Ausführung</w:t>
      </w:r>
    </w:p>
    <w:p>
      <w:pPr>
        <w:pStyle w:val="FirstParagraph"/>
      </w:pPr>
      <w:r>
        <w:t xml:space="preserve">Die bestehende Architektur</w:t>
      </w:r>
      <w:r>
        <w:t xml:space="preserve"> </w:t>
      </w:r>
      <w:r>
        <w:rPr>
          <w:rStyle w:val="VerbatimChar"/>
        </w:rPr>
        <w:t xml:space="preserve">tyndp_reduce</w:t>
      </w:r>
      <w:r>
        <w:t xml:space="preserve"> </w:t>
      </w:r>
      <w:r>
        <w:t xml:space="preserve">bleibt erhalten und erhält die pure-NumPy/SciPy-Erweiterung</w:t>
      </w:r>
      <w:r>
        <w:t xml:space="preserve"> </w:t>
      </w:r>
      <w:r>
        <w:rPr>
          <w:rStyle w:val="VerbatimChar"/>
        </w:rPr>
        <w:t xml:space="preserve">fbmc_bridge.py</w:t>
      </w:r>
      <w:r>
        <w:t xml:space="preserve">. Sie enthält:</w:t>
      </w:r>
    </w:p>
    <w:p>
      <w:pPr>
        <w:pStyle w:val="Compact"/>
        <w:numPr>
          <w:ilvl w:val="0"/>
          <w:numId w:val="1003"/>
        </w:numPr>
      </w:pPr>
      <w:r>
        <w:rPr>
          <w:rStyle w:val="VerbatimChar"/>
        </w:rPr>
        <w:t xml:space="preserve">market_partition</w:t>
      </w:r>
      <w:r>
        <w:t xml:space="preserve">: getrennte Bidding-Zone-Knotenzuordnung</w:t>
      </w:r>
      <w:r>
        <w:t xml:space="preserve"> </w:t>
      </w:r>
      <m:oMath>
        <m:sSub>
          <m:e>
            <m:r>
              <m:t>P</m:t>
            </m:r>
          </m:e>
          <m:sub>
            <m:r>
              <m:t>B</m:t>
            </m:r>
          </m:sub>
        </m:sSub>
      </m:oMath>
      <w:r>
        <w:t xml:space="preserve">;</w:t>
      </w:r>
    </w:p>
    <w:p>
      <w:pPr>
        <w:pStyle w:val="Compact"/>
        <w:numPr>
          <w:ilvl w:val="0"/>
          <w:numId w:val="1003"/>
        </w:numPr>
      </w:pPr>
      <w:r>
        <w:rPr>
          <w:rStyle w:val="VerbatimChar"/>
        </w:rPr>
        <w:t xml:space="preserve">gsk_uniform</w:t>
      </w:r>
      <w:r>
        <w:t xml:space="preserve">,</w:t>
      </w:r>
      <w:r>
        <w:t xml:space="preserve"> </w:t>
      </w:r>
      <w:r>
        <w:rPr>
          <w:rStyle w:val="VerbatimChar"/>
        </w:rPr>
        <w:t xml:space="preserve">gsk_from_positive_weights</w:t>
      </w:r>
      <w:r>
        <w:t xml:space="preserve">,</w:t>
      </w:r>
      <w:r>
        <w:t xml:space="preserve"> </w:t>
      </w:r>
      <w:r>
        <w:rPr>
          <w:rStyle w:val="VerbatimChar"/>
        </w:rPr>
        <w:t xml:space="preserve">validate_gsk</w:t>
      </w:r>
      <w:r>
        <w:t xml:space="preserve">: GSK-Kandidaten und strenge</w:t>
      </w:r>
      <w:r>
        <w:t xml:space="preserve"> </w:t>
      </w:r>
      <m:oMath>
        <m:sSub>
          <m:e>
            <m:r>
              <m:t>P</m:t>
            </m:r>
          </m:e>
          <m:sub>
            <m:r>
              <m:t>B</m:t>
            </m:r>
          </m:sub>
        </m:sSub>
        <m:r>
          <m:t>G</m:t>
        </m:r>
        <m:r>
          <m:rPr>
            <m:sty m:val="p"/>
          </m:rPr>
          <m:t>=</m:t>
        </m:r>
        <m:r>
          <m:t>I</m:t>
        </m:r>
      </m:oMath>
      <w:r>
        <w:t xml:space="preserve">-Prüfung;</w:t>
      </w:r>
    </w:p>
    <w:p>
      <w:pPr>
        <w:pStyle w:val="Compact"/>
        <w:numPr>
          <w:ilvl w:val="0"/>
          <w:numId w:val="1003"/>
        </w:numPr>
      </w:pPr>
      <w:r>
        <w:rPr>
          <w:rStyle w:val="VerbatimChar"/>
        </w:rPr>
        <w:t xml:space="preserve">cnec_operator</w:t>
      </w:r>
      <w:r>
        <w:t xml:space="preserve">: N-0/N-1-Zweigoperator</w:t>
      </w:r>
      <w:r>
        <w:t xml:space="preserve"> </w:t>
      </w:r>
      <m:oMath>
        <m:r>
          <m:t>K</m:t>
        </m:r>
      </m:oMath>
      <w:r>
        <w:t xml:space="preserve"> </w:t>
      </w:r>
      <w:r>
        <w:t xml:space="preserve">über die bestehende BODF-Routine; inselbildende Ausfälle werden abgewiesen;</w:t>
      </w:r>
    </w:p>
    <w:p>
      <w:pPr>
        <w:pStyle w:val="Compact"/>
        <w:numPr>
          <w:ilvl w:val="0"/>
          <w:numId w:val="1003"/>
        </w:numPr>
      </w:pPr>
      <w:r>
        <w:rPr>
          <w:rStyle w:val="VerbatimChar"/>
        </w:rPr>
        <w:t xml:space="preserve">build_domain</w:t>
      </w:r>
      <w:r>
        <w:t xml:space="preserve">: Berechnung von</w:t>
      </w:r>
      <w:r>
        <w:t xml:space="preserve"> </w:t>
      </w:r>
      <m:oMath>
        <m:r>
          <m:t>K</m:t>
        </m:r>
        <m:sSub>
          <m:e>
            <m:r>
              <m:t>H</m:t>
            </m:r>
          </m:e>
          <m:sub>
            <m:r>
              <m:t>d</m:t>
            </m:r>
          </m:sub>
        </m:sSub>
        <m:r>
          <m:t>G</m:t>
        </m:r>
      </m:oMath>
      <w:r>
        <w:t xml:space="preserve">, exakter Referenzflussidentität, Nullpositionsfluss und gerichteten,</w:t>
      </w:r>
      <w:r>
        <w:t xml:space="preserve"> </w:t>
      </w:r>
      <w:r>
        <w:rPr>
          <w:b/>
          <w:bCs/>
        </w:rPr>
        <w:t xml:space="preserve">nicht regulatorisch qualifizierten</w:t>
      </w:r>
      <w:r>
        <w:t xml:space="preserve"> </w:t>
      </w:r>
      <w:r>
        <w:t xml:space="preserve">RAM-Proxy-Grenzen;</w:t>
      </w:r>
    </w:p>
    <w:p>
      <w:pPr>
        <w:pStyle w:val="Compact"/>
        <w:numPr>
          <w:ilvl w:val="0"/>
          <w:numId w:val="1003"/>
        </w:numPr>
      </w:pPr>
      <w:r>
        <w:rPr>
          <w:rStyle w:val="VerbatimChar"/>
        </w:rPr>
        <w:t xml:space="preserve">select_sensitive_cnecs</w:t>
      </w:r>
      <w:r>
        <w:t xml:space="preserve">: maximale Zone-zu-Zone-Sensitivität (slack-invariant) als Vorselektion;</w:t>
      </w:r>
    </w:p>
    <w:p>
      <w:pPr>
        <w:pStyle w:val="Compact"/>
        <w:numPr>
          <w:ilvl w:val="0"/>
          <w:numId w:val="1003"/>
        </w:numPr>
      </w:pPr>
      <w:r>
        <w:rPr>
          <w:rStyle w:val="VerbatimChar"/>
        </w:rPr>
        <w:t xml:space="preserve">bilateral_capacity</w:t>
      </w:r>
      <w:r>
        <w:t xml:space="preserve">: einseitige Marktbereich-Schnittgröße bei festem Außenhandel;</w:t>
      </w:r>
    </w:p>
    <w:p>
      <w:pPr>
        <w:pStyle w:val="Compact"/>
        <w:numPr>
          <w:ilvl w:val="0"/>
          <w:numId w:val="1003"/>
        </w:numPr>
      </w:pPr>
      <w:r>
        <w:rPr>
          <w:rStyle w:val="VerbatimChar"/>
        </w:rPr>
        <w:t xml:space="preserve">maximise_net_position</w:t>
      </w:r>
      <w:r>
        <w:t xml:space="preserve">: grundlegendes LP über den vollständigen Forschungs-Polyeder.</w:t>
      </w:r>
    </w:p>
    <w:p>
      <w:pPr>
        <w:pStyle w:val="FirstParagraph"/>
      </w:pPr>
      <w:r>
        <w:t xml:space="preserve">Beispielaufruf im erweiterten Projektordner:</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AttributeTok"/>
        </w:rPr>
        <w:t xml:space="preserve">-e</w:t>
      </w:r>
      <w:r>
        <w:rPr>
          <w:rStyle w:val="NormalTok"/>
        </w:rPr>
        <w:t xml:space="preserve"> </w:t>
      </w:r>
      <w:r>
        <w:rPr>
          <w:rStyle w:val="StringTok"/>
        </w:rPr>
        <w:t xml:space="preserve">'.[test]'</w:t>
      </w:r>
      <w:r>
        <w:br/>
      </w:r>
      <w:r>
        <w:rPr>
          <w:rStyle w:val="ExtensionTok"/>
        </w:rPr>
        <w:t xml:space="preserve">pytest</w:t>
      </w:r>
      <w:r>
        <w:rPr>
          <w:rStyle w:val="NormalTok"/>
        </w:rPr>
        <w:t xml:space="preserve"> </w:t>
      </w:r>
      <w:r>
        <w:rPr>
          <w:rStyle w:val="AttributeTok"/>
        </w:rPr>
        <w:t xml:space="preserve">-q</w:t>
      </w:r>
      <w:r>
        <w:br/>
      </w:r>
      <w:r>
        <w:rPr>
          <w:rStyle w:val="ExtensionTok"/>
        </w:rPr>
        <w:t xml:space="preserve">python</w:t>
      </w:r>
      <w:r>
        <w:rPr>
          <w:rStyle w:val="NormalTok"/>
        </w:rPr>
        <w:t xml:space="preserve"> examples/run_fbmc_bridge.py</w:t>
      </w:r>
    </w:p>
    <w:p>
      <w:pPr>
        <w:pStyle w:val="FirstParagraph"/>
      </w:pPr>
      <w:r>
        <w:t xml:space="preserve">Der Beispielcode schreibt</w:t>
      </w:r>
      <w:r>
        <w:t xml:space="preserve"> </w:t>
      </w:r>
      <w:r>
        <w:rPr>
          <w:rStyle w:val="VerbatimChar"/>
        </w:rPr>
        <w:t xml:space="preserve">outputs/fbmc/fbmc_gsk_comparison.csv</w:t>
      </w:r>
      <w:r>
        <w:t xml:space="preserve"> </w:t>
      </w:r>
      <w:r>
        <w:t xml:space="preserve">und für alle drei GSK-Proxys einen gerichteten Zeilenexport</w:t>
      </w:r>
      <w:r>
        <w:t xml:space="preserve"> </w:t>
      </w:r>
      <w:r>
        <w:rPr>
          <w:rStyle w:val="VerbatimChar"/>
        </w:rPr>
        <w:t xml:space="preserve">outputs/fbmc/fbmc_domain_&lt;gsk&gt;.csv</w:t>
      </w:r>
      <w:r>
        <w:t xml:space="preserve">.</w:t>
      </w:r>
      <w:r>
        <w:t xml:space="preserve"> </w:t>
      </w:r>
      <w:r>
        <w:rPr>
          <w:b/>
          <w:bCs/>
        </w:rPr>
        <w:t xml:space="preserve">Teststand: 16 kombinierte mathematische Kerntests bestanden; PyPSA selbst ist in der hiesigen Ausführungsumgebung nicht installiert.</w:t>
      </w:r>
    </w:p>
    <w:p>
      <w:pPr>
        <w:pStyle w:val="BodyText"/>
      </w:pPr>
      <w:r>
        <w:rPr>
          <w:b/>
          <w:bCs/>
        </w:rPr>
        <w:t xml:space="preserve">Produktionsintegration:</w:t>
      </w:r>
      <w:r>
        <w:t xml:space="preserve"> </w:t>
      </w:r>
      <w:r>
        <w:t xml:space="preserve">Die offizielle PyPSA-Dokumentation bietet bereits Beispiele für (a) nodale und zonale PTDF/GSK-Transformation inklusive CNEC, RAM und N-1 [P1] und (b) Markt-Clearing mit einem zusätzlichen</w:t>
      </w:r>
      <w:r>
        <w:t xml:space="preserve"> </w:t>
      </w:r>
      <w:r>
        <w:rPr>
          <w:rStyle w:val="VerbatimChar"/>
        </w:rPr>
        <w:t xml:space="preserve">pool</w:t>
      </w:r>
      <w:r>
        <w:t xml:space="preserve">-Bus, Zone-zu-Pool-Links sowie</w:t>
      </w:r>
      <w:r>
        <w:t xml:space="preserve"> </w:t>
      </w:r>
      <w:r>
        <w:rPr>
          <w:rStyle w:val="VerbatimChar"/>
        </w:rPr>
        <w:t xml:space="preserve">linopy</w:t>
      </w:r>
      <w:r>
        <w:t xml:space="preserve">-Constraints</w:t>
      </w:r>
      <w:r>
        <w:t xml:space="preserve"> </w:t>
      </w:r>
      <m:oMath>
        <m:sSub>
          <m:e>
            <m:r>
              <m:t>Z</m:t>
            </m:r>
          </m:e>
          <m:sub>
            <m:r>
              <m:t>F</m:t>
            </m:r>
            <m:r>
              <m:t>B</m:t>
            </m:r>
          </m:sub>
        </m:sSub>
        <m:r>
          <m:t>N</m:t>
        </m:r>
        <m:r>
          <m:t>P</m:t>
        </m:r>
        <m:r>
          <m:rPr>
            <m:sty m:val="p"/>
          </m:rPr>
          <m:t>≤</m:t>
        </m:r>
        <m:r>
          <m:t>R</m:t>
        </m:r>
        <m:r>
          <m:t>A</m:t>
        </m:r>
        <m:r>
          <m:t>M</m:t>
        </m:r>
      </m:oMath>
      <w:r>
        <w:t xml:space="preserve"> </w:t>
      </w:r>
      <w:r>
        <w:t xml:space="preserve">[P2]. Dieses Muster sollte verwendet werden, statt Marktnettopositionen als passive Leitungen des TYNDP-Ersatznetzes zu missdeuten. Der bereitgestellte Kern berechnet die Matrizen; eine aktuelle und reale PyPSA-Linopy-Integration muss vor einer Produktionsfreigabe eigens in einer gepinnten Umgebung geprüft werden.</w:t>
      </w:r>
    </w:p>
    <w:bookmarkEnd w:id="36"/>
    <w:bookmarkStart w:id="37" w:name="grenzen-bewertung-und-arbeitsprogramm"/>
    <w:p>
      <w:pPr>
        <w:pStyle w:val="Heading1"/>
      </w:pPr>
      <w:r>
        <w:t xml:space="preserve">10. Grenzen, Bewertung und Arbeitsprogramm</w:t>
      </w:r>
    </w:p>
    <w:p>
      <w:pPr>
        <w:pStyle w:val="FirstParagraph"/>
      </w:pPr>
      <w:r>
        <w:rPr>
          <w:b/>
          <w:bCs/>
        </w:rPr>
        <w:t xml:space="preserve">Sehr hohe konzeptionelle Kompatibilität:</w:t>
      </w:r>
      <w:r>
        <w:t xml:space="preserve"> </w:t>
      </w:r>
      <w:r>
        <w:t xml:space="preserve">Die GSK-Abbildung ist algebraisch der früheren technologieabhängigen PTDF-Abbildung ähnlich; der Differenzterm der detaillierten Referenzverteilung liefert einen sauber definierbaren Nullpositionsfluss.</w:t>
      </w:r>
    </w:p>
    <w:p>
      <w:pPr>
        <w:pStyle w:val="BodyText"/>
      </w:pPr>
      <w:r>
        <w:rPr>
          <w:b/>
          <w:bCs/>
        </w:rPr>
        <w:t xml:space="preserve">Keine automatische physikalische Äquivalenz:</w:t>
      </w:r>
      <w:r>
        <w:t xml:space="preserve"> </w:t>
      </w:r>
      <w:r>
        <w:t xml:space="preserve">Eine technologiespezifische Referenz-PTDF muss keine positive-Reaktanzen-PTDF einer festen reduzierten Topologie sein. Ein vermaschtes Ersatznetz kann die CNEC-Sensitivitäten des detaillierten Netzes zudem nicht ohne weitere Informationen vollständig bewahren.</w:t>
      </w:r>
    </w:p>
    <w:p>
      <w:pPr>
        <w:pStyle w:val="BodyText"/>
      </w:pPr>
      <w:r>
        <w:rPr>
          <w:b/>
          <w:bCs/>
        </w:rPr>
        <w:t xml:space="preserve">Keine direkte RAM-Übertragbarkeit:</w:t>
      </w:r>
      <w:r>
        <w:t xml:space="preserve"> </w:t>
      </w:r>
      <w:r>
        <w:t xml:space="preserve">TYNDP-Kapazitäten sind Planungsersatzparameter. FBMC-RAM ist das Ergebnis eines spezifischen operativen Kapazitätsberechnungs- und Validierungsprozesses. Die beiden dürfen nicht stillschweigend ineinander umgerechnet werden.</w:t>
      </w:r>
    </w:p>
    <w:p>
      <w:pPr>
        <w:pStyle w:val="BodyText"/>
      </w:pPr>
      <w:r>
        <w:rPr>
          <w:b/>
          <w:bCs/>
        </w:rPr>
        <w:t xml:space="preserve">Priorisierte, kurze nächste Route:</w:t>
      </w:r>
      <w:r>
        <w:t xml:space="preserve"> </w:t>
      </w:r>
      <w:r>
        <w:t xml:space="preserve">(1) Beide Busmaps A/B beibehalten; (2) Marktgebotszonenpartition unabhängig hinzufügen; (3) für reale CNEC-Daten sowie beobachtete NP-Änderungen technologie-/kapazitäts-/kostenbasierte GSKs benchmarken; (4) die von</w:t>
      </w:r>
      <w:r>
        <w:t xml:space="preserve"> </w:t>
      </w:r>
      <m:oMath>
        <m:r>
          <m:t>K</m:t>
        </m:r>
        <m:sSub>
          <m:e>
            <m:r>
              <m:t>H</m:t>
            </m:r>
          </m:e>
          <m:sub>
            <m:r>
              <m:t>d</m:t>
            </m:r>
          </m:sub>
        </m:sSub>
        <m:r>
          <m:t>G</m:t>
        </m:r>
      </m:oMath>
      <w:r>
        <w:t xml:space="preserve"> </w:t>
      </w:r>
      <w:r>
        <w:t xml:space="preserve">induzierten zulässigen Domänen gegen eine detaillierte Security-Prüfung validieren; (5) anschließend ein kleines PyPSA/Linopy-Zonal-Clearing aufbauen, ohne den TYNDP-Planungszweig zu verändern.</w:t>
      </w:r>
    </w:p>
    <w:p>
      <w:pPr>
        <w:pStyle w:val="BodyText"/>
      </w:pPr>
      <w:r>
        <w:rPr>
          <w:b/>
          <w:bCs/>
        </w:rPr>
        <w:t xml:space="preserve">Status:</w:t>
      </w:r>
      <w:r>
        <w:t xml:space="preserve"> </w:t>
      </w:r>
      <w:r>
        <w:t xml:space="preserve">Mathematischer Zusammenhang</w:t>
      </w:r>
      <w:r>
        <w:t xml:space="preserve"> </w:t>
      </w:r>
      <w:r>
        <w:rPr>
          <w:b/>
          <w:bCs/>
        </w:rPr>
        <w:t xml:space="preserve">hergeleitet</w:t>
      </w:r>
      <w:r>
        <w:t xml:space="preserve">, prototypische FBMC-Kernoperatoren</w:t>
      </w:r>
      <w:r>
        <w:t xml:space="preserve"> </w:t>
      </w:r>
      <w:r>
        <w:rPr>
          <w:b/>
          <w:bCs/>
        </w:rPr>
        <w:t xml:space="preserve">implementiert und synthetisch getestet</w:t>
      </w:r>
      <w:r>
        <w:t xml:space="preserve">.</w:t>
      </w:r>
      <w:r>
        <w:t xml:space="preserve"> </w:t>
      </w:r>
      <w:r>
        <w:rPr>
          <w:b/>
          <w:bCs/>
        </w:rPr>
        <w:t xml:space="preserve">Keine</w:t>
      </w:r>
      <w:r>
        <w:t xml:space="preserve"> </w:t>
      </w:r>
      <w:r>
        <w:t xml:space="preserve">regulatorisch exakte Core-Replikation, kein TSO-CGM, kein reales CNEC-/GLSK-/JAO-Dataset und kein produktives PyPSA-FBMC-Clearing in dieser Umgebung.</w:t>
      </w:r>
    </w:p>
    <w:bookmarkEnd w:id="37"/>
    <w:bookmarkStart w:id="44" w:name="dokumentierte-quellen"/>
    <w:p>
      <w:pPr>
        <w:pStyle w:val="Heading1"/>
      </w:pPr>
      <w:r>
        <w:t xml:space="preserve">11. Dokumentierte Quellen</w:t>
      </w:r>
    </w:p>
    <w:p>
      <w:pPr>
        <w:pStyle w:val="Compact"/>
        <w:numPr>
          <w:ilvl w:val="0"/>
          <w:numId w:val="1004"/>
        </w:numPr>
      </w:pPr>
      <w:r>
        <w:rPr>
          <w:b/>
          <w:bCs/>
        </w:rPr>
        <w:t xml:space="preserve">[T] ENTSO-E (2026):</w:t>
      </w:r>
      <w:r>
        <w:t xml:space="preserve"> </w:t>
      </w:r>
      <w:r>
        <w:rPr>
          <w:i/>
          <w:iCs/>
        </w:rPr>
        <w:t xml:space="preserve">TYNDP 2026 Identification of System Needs Methodology</w:t>
      </w:r>
      <w:r>
        <w:t xml:space="preserve">, Konsultationsfassung, Kapitel 3.8 und Anhang 6.1.</w:t>
      </w:r>
      <w:r>
        <w:t xml:space="preserve"> </w:t>
      </w:r>
      <w:hyperlink r:id="rId38">
        <w:r>
          <w:rPr>
            <w:rStyle w:val="Hyperlink"/>
          </w:rPr>
          <w:t xml:space="preserve">https://eepublicdownloads.blob.core.windows.net/public-cdn-container/clean-documents/tyndp-documents/TYNDP2026/TYNDP_2026_identification_of_system_needs_methodology_for_consultation.pdf</w:t>
        </w:r>
      </w:hyperlink>
    </w:p>
    <w:p>
      <w:pPr>
        <w:pStyle w:val="Compact"/>
        <w:numPr>
          <w:ilvl w:val="0"/>
          <w:numId w:val="1004"/>
        </w:numPr>
      </w:pPr>
      <w:r>
        <w:rPr>
          <w:b/>
          <w:bCs/>
        </w:rPr>
        <w:t xml:space="preserve">[F1] ENTSO-E:</w:t>
      </w:r>
      <w:r>
        <w:t xml:space="preserve"> </w:t>
      </w:r>
      <w:r>
        <w:rPr>
          <w:i/>
          <w:iCs/>
        </w:rPr>
        <w:t xml:space="preserve">Core CCR: Day-ahead capacity calculation process explained</w:t>
      </w:r>
      <w:r>
        <w:t xml:space="preserve">.</w:t>
      </w:r>
      <w:r>
        <w:t xml:space="preserve"> </w:t>
      </w:r>
      <w:hyperlink r:id="rId39">
        <w:r>
          <w:rPr>
            <w:rStyle w:val="Hyperlink"/>
          </w:rPr>
          <w:t xml:space="preserve">https://www.entsoe.eu/bites/ccr-core/day-ahead/</w:t>
        </w:r>
      </w:hyperlink>
    </w:p>
    <w:p>
      <w:pPr>
        <w:pStyle w:val="Compact"/>
        <w:numPr>
          <w:ilvl w:val="0"/>
          <w:numId w:val="1004"/>
        </w:numPr>
      </w:pPr>
      <w:r>
        <w:rPr>
          <w:b/>
          <w:bCs/>
        </w:rPr>
        <w:t xml:space="preserve">[F2] JAO:</w:t>
      </w:r>
      <w:r>
        <w:t xml:space="preserve"> </w:t>
      </w:r>
      <w:r>
        <w:rPr>
          <w:i/>
          <w:iCs/>
        </w:rPr>
        <w:t xml:space="preserve">CORE – Publication Tool for DA CCM</w:t>
      </w:r>
      <w:r>
        <w:t xml:space="preserve">, Handbuch, insbesondere Referenzfluss-, F0- und RAM-Felder.</w:t>
      </w:r>
      <w:r>
        <w:t xml:space="preserve"> </w:t>
      </w:r>
      <w:hyperlink r:id="rId40">
        <w:r>
          <w:rPr>
            <w:rStyle w:val="Hyperlink"/>
          </w:rPr>
          <w:t xml:space="preserve">https://www.jao.eu/sites/default/files/news/mail/Core_PublicationTool_Handbook.pdf</w:t>
        </w:r>
      </w:hyperlink>
    </w:p>
    <w:p>
      <w:pPr>
        <w:pStyle w:val="Compact"/>
        <w:numPr>
          <w:ilvl w:val="0"/>
          <w:numId w:val="1004"/>
        </w:numPr>
      </w:pPr>
      <w:r>
        <w:rPr>
          <w:b/>
          <w:bCs/>
        </w:rPr>
        <w:t xml:space="preserve">[F3] ACER:</w:t>
      </w:r>
      <w:r>
        <w:t xml:space="preserve"> </w:t>
      </w:r>
      <w:r>
        <w:rPr>
          <w:i/>
          <w:iCs/>
        </w:rPr>
        <w:t xml:space="preserve">Capacity Allocation and Congestion Management: Regional Methodologies, Core Day-ahead</w:t>
      </w:r>
      <w:r>
        <w:t xml:space="preserve">.</w:t>
      </w:r>
      <w:r>
        <w:t xml:space="preserve"> </w:t>
      </w:r>
      <w:hyperlink r:id="rId41">
        <w:r>
          <w:rPr>
            <w:rStyle w:val="Hyperlink"/>
          </w:rPr>
          <w:t xml:space="preserve">https://www.acer.europa.eu/electricity/implementation-monitoring/cacm</w:t>
        </w:r>
      </w:hyperlink>
    </w:p>
    <w:p>
      <w:pPr>
        <w:pStyle w:val="Compact"/>
        <w:numPr>
          <w:ilvl w:val="0"/>
          <w:numId w:val="1004"/>
        </w:numPr>
      </w:pPr>
      <w:r>
        <w:rPr>
          <w:b/>
          <w:bCs/>
        </w:rPr>
        <w:t xml:space="preserve">[P1] PyPSA-Dokumentation:</w:t>
      </w:r>
      <w:r>
        <w:t xml:space="preserve"> </w:t>
      </w:r>
      <w:r>
        <w:rPr>
          <w:i/>
          <w:iCs/>
        </w:rPr>
        <w:t xml:space="preserve">Determining Flow-Based Domains</w:t>
      </w:r>
      <w:r>
        <w:t xml:space="preserve">.</w:t>
      </w:r>
      <w:r>
        <w:t xml:space="preserve"> </w:t>
      </w:r>
      <w:hyperlink r:id="rId42">
        <w:r>
          <w:rPr>
            <w:rStyle w:val="Hyperlink"/>
          </w:rPr>
          <w:t xml:space="preserve">https://docs.pypsa.org/latest/examples/fbmc-building-domain/</w:t>
        </w:r>
      </w:hyperlink>
    </w:p>
    <w:p>
      <w:pPr>
        <w:pStyle w:val="Compact"/>
        <w:numPr>
          <w:ilvl w:val="0"/>
          <w:numId w:val="1004"/>
        </w:numPr>
      </w:pPr>
      <w:r>
        <w:rPr>
          <w:b/>
          <w:bCs/>
        </w:rPr>
        <w:t xml:space="preserve">[P2] PyPSA-Dokumentation:</w:t>
      </w:r>
      <w:r>
        <w:t xml:space="preserve"> </w:t>
      </w:r>
      <w:r>
        <w:rPr>
          <w:i/>
          <w:iCs/>
        </w:rPr>
        <w:t xml:space="preserve">Flow-Based Market Coupling</w:t>
      </w:r>
      <w:r>
        <w:t xml:space="preserve">.</w:t>
      </w:r>
      <w:r>
        <w:t xml:space="preserve"> </w:t>
      </w:r>
      <w:hyperlink r:id="rId43">
        <w:r>
          <w:rPr>
            <w:rStyle w:val="Hyperlink"/>
          </w:rPr>
          <w:t xml:space="preserve">https://docs.pypsa.org/stable/examples/fbmc-simple-example/</w:t>
        </w:r>
      </w:hyperlink>
    </w:p>
    <w:p>
      <w:pPr>
        <w:pStyle w:val="Compact"/>
        <w:numPr>
          <w:ilvl w:val="0"/>
          <w:numId w:val="1004"/>
        </w:numPr>
      </w:pPr>
      <w:r>
        <w:rPr>
          <w:b/>
          <w:bCs/>
        </w:rPr>
        <w:t xml:space="preserve">[I] Vorheriger interner Projektbericht:</w:t>
      </w:r>
      <w:r>
        <w:t xml:space="preserve"> </w:t>
      </w:r>
      <w:r>
        <w:rPr>
          <w:i/>
          <w:iCs/>
        </w:rPr>
        <w:t xml:space="preserve">Vergleich und Softwaredesign TYNDP-naher Netzreduktionsmethoden mit PyPSA</w:t>
      </w:r>
      <w:r>
        <w:t xml:space="preserve">, 16.10.2026; die Untersuchungen des aktuellen Gesprächs und das beigefügte Projekt</w:t>
      </w:r>
      <w:r>
        <w:t xml:space="preserve"> </w:t>
      </w:r>
      <w:r>
        <w:rPr>
          <w:rStyle w:val="VerbatimChar"/>
        </w:rPr>
        <w:t xml:space="preserve">tyndp_reduce</w:t>
      </w:r>
      <w:r>
        <w:t xml:space="preserve">.</w:t>
      </w:r>
    </w:p>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2" Target="https://docs.pypsa.org/latest/examples/fbmc-building-domain/" TargetMode="External" /><Relationship Type="http://schemas.openxmlformats.org/officeDocument/2006/relationships/hyperlink" Id="rId43" Target="https://docs.pypsa.org/stable/examples/fbmc-simple-example/" TargetMode="External" /><Relationship Type="http://schemas.openxmlformats.org/officeDocument/2006/relationships/hyperlink" Id="rId38" Target="https://eepublicdownloads.blob.core.windows.net/public-cdn-container/clean-documents/tyndp-documents/TYNDP2026/TYNDP_2026_identification_of_system_needs_methodology_for_consultation.pdf" TargetMode="External" /><Relationship Type="http://schemas.openxmlformats.org/officeDocument/2006/relationships/hyperlink" Id="rId41" Target="https://www.acer.europa.eu/electricity/implementation-monitoring/cacm" TargetMode="External" /><Relationship Type="http://schemas.openxmlformats.org/officeDocument/2006/relationships/hyperlink" Id="rId39" Target="https://www.entsoe.eu/bites/ccr-core/day-ahead/" TargetMode="External" /><Relationship Type="http://schemas.openxmlformats.org/officeDocument/2006/relationships/hyperlink" Id="rId40" Target="https://www.jao.eu/sites/default/files/news/mail/Core_PublicationTool_Handbook.pdf" TargetMode="External" /></Relationships>
</file>

<file path=word/_rels/footnotes.xml.rels><?xml version="1.0" encoding="UTF-8"?><Relationships xmlns="http://schemas.openxmlformats.org/package/2006/relationships"><Relationship Type="http://schemas.openxmlformats.org/officeDocument/2006/relationships/hyperlink" Id="rId42" Target="https://docs.pypsa.org/latest/examples/fbmc-building-domain/" TargetMode="External" /><Relationship Type="http://schemas.openxmlformats.org/officeDocument/2006/relationships/hyperlink" Id="rId43" Target="https://docs.pypsa.org/stable/examples/fbmc-simple-example/" TargetMode="External" /><Relationship Type="http://schemas.openxmlformats.org/officeDocument/2006/relationships/hyperlink" Id="rId38" Target="https://eepublicdownloads.blob.core.windows.net/public-cdn-container/clean-documents/tyndp-documents/TYNDP2026/TYNDP_2026_identification_of_system_needs_methodology_for_consultation.pdf" TargetMode="External" /><Relationship Type="http://schemas.openxmlformats.org/officeDocument/2006/relationships/hyperlink" Id="rId41" Target="https://www.acer.europa.eu/electricity/implementation-monitoring/cacm" TargetMode="External" /><Relationship Type="http://schemas.openxmlformats.org/officeDocument/2006/relationships/hyperlink" Id="rId39" Target="https://www.entsoe.eu/bites/ccr-core/day-ahead/" TargetMode="External" /><Relationship Type="http://schemas.openxmlformats.org/officeDocument/2006/relationships/hyperlink" Id="rId40" Target="https://www.jao.eu/sites/default/files/news/mail/Core_PublicationTool_Handbook.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Wissenschaftliches Addendum: Flow-Based Market Coupling und TYNDP-nahe Netzreduktion</dc:title>
  <dc:creator>Mathematische Methoden- und Softwarearchitektur</dc:creator>
  <dc:language>de-DE</dc:language>
  <cp:keywords/>
  <dcterms:created xsi:type="dcterms:W3CDTF">2026-10-16T17:25:29Z</dcterms:created>
  <dcterms:modified xsi:type="dcterms:W3CDTF">2026-10-16T17:25:29Z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True</vt:lpwstr>
  </property>
  <property fmtid="{D5CDD505-2E9C-101B-9397-08002B2CF9AE}" pid="3" name="date">
    <vt:lpwstr>16. Oktober 2026</vt:lpwstr>
  </property>
  <property fmtid="{D5CDD505-2E9C-101B-9397-08002B2CF9AE}" pid="4" name="fontsize">
    <vt:lpwstr>10pt</vt:lpwstr>
  </property>
  <property fmtid="{D5CDD505-2E9C-101B-9397-08002B2CF9AE}" pid="5" name="geometry">
    <vt:lpwstr>margin=24mm</vt:lpwstr>
  </property>
  <property fmtid="{D5CDD505-2E9C-101B-9397-08002B2CF9AE}" pid="6" name="linkcolor">
    <vt:lpwstr>blue</vt:lpwstr>
  </property>
  <property fmtid="{D5CDD505-2E9C-101B-9397-08002B2CF9AE}" pid="7" name="numbersections">
    <vt:lpwstr>True</vt:lpwstr>
  </property>
  <property fmtid="{D5CDD505-2E9C-101B-9397-08002B2CF9AE}" pid="8" name="subtitle">
    <vt:lpwstr>Technologiespezifische PTDFs, GSK, CNEC, RAM, No-Load-Flows und PyPSA-Implementierung</vt:lpwstr>
  </property>
  <property fmtid="{D5CDD505-2E9C-101B-9397-08002B2CF9AE}" pid="9" name="toc">
    <vt:lpwstr>True</vt:lpwstr>
  </property>
  <property fmtid="{D5CDD505-2E9C-101B-9397-08002B2CF9AE}" pid="10" name="toc-depth">
    <vt:lpwstr>2</vt:lpwstr>
  </property>
  <property fmtid="{D5CDD505-2E9C-101B-9397-08002B2CF9AE}" pid="11" name="urlcolor">
    <vt:lpwstr>blue</vt:lpwstr>
  </property>
</Properties>
</file>