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Netzreduktion</w:t>
      </w:r>
      <w:r>
        <w:t xml:space="preserve"> </w:t>
      </w:r>
      <w:r>
        <w:t xml:space="preserve">im</w:t>
      </w:r>
      <w:r>
        <w:t xml:space="preserve"> </w:t>
      </w:r>
      <w:r>
        <w:t xml:space="preserve">ENTSO-E</w:t>
      </w:r>
      <w:r>
        <w:t xml:space="preserve"> </w:t>
      </w:r>
      <w:r>
        <w:t xml:space="preserve">TYNDP</w:t>
      </w:r>
      <w:r>
        <w:t xml:space="preserve"> </w:t>
      </w:r>
      <w:r>
        <w:t xml:space="preserve">2026:</w:t>
      </w:r>
      <w:r>
        <w:t xml:space="preserve"> </w:t>
      </w:r>
      <w:r>
        <w:t xml:space="preserve">Wissenschaftlicher</w:t>
      </w:r>
      <w:r>
        <w:t xml:space="preserve"> </w:t>
      </w:r>
      <w:r>
        <w:t xml:space="preserve">Methodenvergleich</w:t>
      </w:r>
    </w:p>
    <w:p>
      <w:pPr>
        <w:pStyle w:val="Subtitle"/>
      </w:pPr>
      <w:r>
        <w:t xml:space="preserve">IoSN-Baseline,</w:t>
      </w:r>
      <w:r>
        <w:t xml:space="preserve"> </w:t>
      </w:r>
      <w:r>
        <w:t xml:space="preserve">PTDF-Aggregation,</w:t>
      </w:r>
      <w:r>
        <w:t xml:space="preserve"> </w:t>
      </w:r>
      <w:r>
        <w:t xml:space="preserve">technologiespezifische</w:t>
      </w:r>
      <w:r>
        <w:t xml:space="preserve"> </w:t>
      </w:r>
      <w:r>
        <w:t xml:space="preserve">Verteilungen,</w:t>
      </w:r>
      <w:r>
        <w:t xml:space="preserve"> </w:t>
      </w:r>
      <w:r>
        <w:t xml:space="preserve">elektrische</w:t>
      </w:r>
      <w:r>
        <w:t xml:space="preserve"> </w:t>
      </w:r>
      <w:r>
        <w:t xml:space="preserve">Äquivalenz,</w:t>
      </w:r>
      <w:r>
        <w:t xml:space="preserve"> </w:t>
      </w:r>
      <w:r>
        <w:t xml:space="preserve">N-1-Sicherheit</w:t>
      </w:r>
      <w:r>
        <w:t xml:space="preserve"> </w:t>
      </w:r>
      <w:r>
        <w:t xml:space="preserve">und</w:t>
      </w:r>
      <w:r>
        <w:t xml:space="preserve"> </w:t>
      </w:r>
      <w:r>
        <w:t xml:space="preserve">Flow-Based</w:t>
      </w:r>
      <w:r>
        <w:t xml:space="preserve"> </w:t>
      </w:r>
      <w:r>
        <w:t xml:space="preserve">Market</w:t>
      </w:r>
      <w:r>
        <w:t xml:space="preserve"> </w:t>
      </w:r>
      <w:r>
        <w:t xml:space="preserve">Coupling</w:t>
      </w:r>
    </w:p>
    <w:p>
      <w:pPr>
        <w:pStyle w:val="Author"/>
      </w:pPr>
      <w:r>
        <w:t xml:space="preserve">Wissenschaftlicher</w:t>
      </w:r>
      <w:r>
        <w:t xml:space="preserve"> </w:t>
      </w:r>
      <w:r>
        <w:t xml:space="preserve">Konsolidierungsbericht</w:t>
      </w:r>
      <w:r>
        <w:t xml:space="preserve"> </w:t>
      </w:r>
      <w:r>
        <w:t xml:space="preserve">—</w:t>
      </w:r>
      <w:r>
        <w:t xml:space="preserve"> </w:t>
      </w:r>
      <w:r>
        <w:t xml:space="preserve">Revision</w:t>
      </w:r>
      <w:r>
        <w:t xml:space="preserve"> </w:t>
      </w:r>
      <w:r>
        <w:t xml:space="preserve">1</w:t>
      </w:r>
    </w:p>
    <w:p>
      <w:pPr>
        <w:pStyle w:val="Date"/>
      </w:pPr>
      <w:r>
        <w:t xml:space="preserve">16.</w:t>
      </w:r>
      <w:r>
        <w:t xml:space="preserve"> </w:t>
      </w:r>
      <w:r>
        <w:t xml:space="preserve">Oktober</w:t>
      </w:r>
      <w:r>
        <w:t xml:space="preserve"> </w:t>
      </w:r>
      <w:r>
        <w:t xml:space="preserve">2026</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20" w:name="zusammenfassung-und-kernaussagen"/>
    <w:p>
      <w:pPr>
        <w:pStyle w:val="Heading1"/>
      </w:pPr>
      <w:r>
        <w:t xml:space="preserve">Zusammenfassung und Kernaussagen</w:t>
      </w:r>
    </w:p>
    <w:p>
      <w:pPr>
        <w:pStyle w:val="FirstParagraph"/>
      </w:pPr>
      <w:r>
        <w:t xml:space="preserve">Diese Revision ersetzt die bisher getrennt geführten wissenschaftlichen Aussagen zum ENTSO-E-Netzreduktionsverfahren, zu zwei Clustering-Ansätzen (A und B), zu technologiespezifischen PTDFs, zu Referenzverteilungen (gleichmäßig, leistungsgewichtet und Merit Order), zur elektrischen Ersatznetzkalibrierung, zu N-1-sicheren Kapazitäten, zur dualen LODF-Theorie und zu Flow-Based Market Coupling (FBMC). Ihr Ziel ist eine</w:t>
      </w:r>
      <w:r>
        <w:t xml:space="preserve"> </w:t>
      </w:r>
      <w:r>
        <w:rPr>
          <w:b/>
          <w:bCs/>
        </w:rPr>
        <w:t xml:space="preserve">wissenschaftlich überprüfbare, intern konsistente Gesamtdarstellung</w:t>
      </w:r>
      <w:r>
        <w:t xml:space="preserve">. Der korrespondierende Band II definiert die PyPSA-Implementierung und die Verifikationsstufen.</w:t>
      </w:r>
    </w:p>
    <w:p>
      <w:pPr>
        <w:pStyle w:val="BodyText"/>
      </w:pPr>
      <w:r>
        <w:rPr>
          <w:b/>
          <w:bCs/>
        </w:rPr>
        <w:t xml:space="preserve">Zentrale Ergebnisse:</w:t>
      </w:r>
    </w:p>
    <w:p>
      <w:pPr>
        <w:pStyle w:val="Compact"/>
        <w:numPr>
          <w:ilvl w:val="0"/>
          <w:numId w:val="1001"/>
        </w:numPr>
      </w:pPr>
      <w:r>
        <w:t xml:space="preserve">Die</w:t>
      </w:r>
      <w:r>
        <w:t xml:space="preserve"> </w:t>
      </w:r>
      <w:r>
        <w:rPr>
          <w:b/>
          <w:bCs/>
        </w:rPr>
        <w:t xml:space="preserve">IoSN-Referenzmethodik</w:t>
      </w:r>
      <w:r>
        <w:t xml:space="preserve"> </w:t>
      </w:r>
      <w:r>
        <w:t xml:space="preserve">gemäß ENTSO-E,</w:t>
      </w:r>
      <w:r>
        <w:t xml:space="preserve"> </w:t>
      </w:r>
      <w:r>
        <w:rPr>
          <w:i/>
          <w:iCs/>
        </w:rPr>
        <w:t xml:space="preserve">TYNDP 2026 Identification of System Needs Methodology</w:t>
      </w:r>
      <w:r>
        <w:t xml:space="preserve">, Konsultationsfassung vom 25. Februar 2026, Kap. 3.8.1–3.8.4 und Anhang 6.1, priorisiert kritische Leitungen über aufgelaufene Überlastungsenergie aus Marktsimulationen und detaillierten stündlichen Leistungsflüssen. Nach der Zonierung werden Ersatzimpedanzen und Nullbilanzflusskorrekturen kalibriert und saisonale, richtungsabhängige N-1-Ersatzkapazitäten geschätzt. Die Veröffentlichung liefert nicht den vollständigen deterministischen Optimierungsalgorithmus [E1].</w:t>
      </w:r>
    </w:p>
    <w:p>
      <w:pPr>
        <w:pStyle w:val="Compact"/>
        <w:numPr>
          <w:ilvl w:val="0"/>
          <w:numId w:val="1001"/>
        </w:numPr>
      </w:pPr>
      <w:r>
        <w:rPr>
          <w:b/>
          <w:bCs/>
        </w:rPr>
        <w:t xml:space="preserve">Methode A</w:t>
      </w:r>
      <w:r>
        <w:t xml:space="preserve"> </w:t>
      </w:r>
      <w:r>
        <w:t xml:space="preserve">reproduziert diese Auswahlidee so eng wie öffentlich möglich;</w:t>
      </w:r>
      <w:r>
        <w:t xml:space="preserve"> </w:t>
      </w:r>
      <w:r>
        <w:rPr>
          <w:b/>
          <w:bCs/>
        </w:rPr>
        <w:t xml:space="preserve">Methode B</w:t>
      </w:r>
      <w:r>
        <w:t xml:space="preserve"> </w:t>
      </w:r>
      <w:r>
        <w:t xml:space="preserve">ersetzt den Überlastungsindikator durch die allgemeine RES-/Last-induzierte Leitungsbeanspruchung. B ist eine begründete Forschungsalternative,</w:t>
      </w:r>
      <w:r>
        <w:t xml:space="preserve"> </w:t>
      </w:r>
      <w:r>
        <w:rPr>
          <w:b/>
          <w:bCs/>
        </w:rPr>
        <w:t xml:space="preserve">keine</w:t>
      </w:r>
      <w:r>
        <w:t xml:space="preserve"> </w:t>
      </w:r>
      <w:r>
        <w:t xml:space="preserve">von ENTSO-E definierte Originalmethode.</w:t>
      </w:r>
    </w:p>
    <w:p>
      <w:pPr>
        <w:pStyle w:val="Compact"/>
        <w:numPr>
          <w:ilvl w:val="0"/>
          <w:numId w:val="1001"/>
        </w:numPr>
      </w:pPr>
      <w:r>
        <w:t xml:space="preserve">Eine Busmap induziert zwei algebraische Operatoren: Knotenaggregation</w:t>
      </w:r>
      <w:r>
        <w:t xml:space="preserve"> </w:t>
      </w:r>
      <m:oMath>
        <m:r>
          <m:t>P</m:t>
        </m:r>
      </m:oMath>
      <w:r>
        <w:t xml:space="preserve"> </w:t>
      </w:r>
      <w:r>
        <w:t xml:space="preserve">und Zweigflussaggregation</w:t>
      </w:r>
      <w:r>
        <w:t xml:space="preserve"> </w:t>
      </w:r>
      <m:oMath>
        <m:r>
          <m:t>Γ</m:t>
        </m:r>
      </m:oMath>
      <w:r>
        <w:t xml:space="preserve">. Die Identität</w:t>
      </w:r>
      <w:r>
        <w:t xml:space="preserve"> </w:t>
      </w:r>
      <m:oMath>
        <m:sSub>
          <m:e>
            <m:r>
              <m:t>A</m:t>
            </m:r>
          </m:e>
          <m:sub>
            <m:r>
              <m:t>z</m:t>
            </m:r>
          </m:sub>
        </m:sSub>
        <m:r>
          <m:t>Γ</m:t>
        </m:r>
        <m:r>
          <m:rPr>
            <m:sty m:val="p"/>
          </m:rPr>
          <m:t>=</m:t>
        </m:r>
        <m:r>
          <m:t>P</m:t>
        </m:r>
        <m:sSub>
          <m:e>
            <m:r>
              <m:t>A</m:t>
            </m:r>
          </m:e>
          <m:sub>
            <m:r>
              <m:t>d</m:t>
            </m:r>
          </m:sub>
        </m:sSub>
      </m:oMath>
      <w:r>
        <w:t xml:space="preserve"> </w:t>
      </w:r>
      <w:r>
        <w:t xml:space="preserve">beweist die</w:t>
      </w:r>
      <w:r>
        <w:t xml:space="preserve"> </w:t>
      </w:r>
      <w:r>
        <w:rPr>
          <w:b/>
          <w:bCs/>
        </w:rPr>
        <w:t xml:space="preserve">exakte Erhaltung der zonalen Wirkleistungsbilanz</w:t>
      </w:r>
      <w:r>
        <w:t xml:space="preserve">; die elektrischen Maschengleichungen des Ersatznetzes folgen daraus ausdrücklich</w:t>
      </w:r>
      <w:r>
        <w:t xml:space="preserve"> </w:t>
      </w:r>
      <w:r>
        <w:rPr>
          <w:b/>
          <w:bCs/>
        </w:rPr>
        <w:t xml:space="preserve">nicht</w:t>
      </w:r>
      <w:r>
        <w:t xml:space="preserve">.</w:t>
      </w:r>
    </w:p>
    <w:p>
      <w:pPr>
        <w:pStyle w:val="Compact"/>
        <w:numPr>
          <w:ilvl w:val="0"/>
          <w:numId w:val="1001"/>
        </w:numPr>
      </w:pPr>
      <w:r>
        <w:t xml:space="preserve">Technologiespezifische effektive PTDFs</w:t>
      </w:r>
      <w:r>
        <w:t xml:space="preserve"> </w:t>
      </w:r>
      <m:oMath>
        <m:sSubSup>
          <m:e>
            <m:r>
              <m:t>H</m:t>
            </m:r>
          </m:e>
          <m:sub>
            <m:r>
              <m:t>z</m:t>
            </m:r>
          </m:sub>
          <m:sup>
            <m:d>
              <m:dPr>
                <m:begChr m:val="("/>
                <m:endChr m:val=")"/>
                <m:sepChr m:val=""/>
                <m:grow/>
              </m:dPr>
              <m:e>
                <m:r>
                  <m:t>k</m:t>
                </m:r>
              </m:e>
            </m:d>
          </m:sup>
        </m:sSubSup>
        <m:r>
          <m:rPr>
            <m:sty m:val="p"/>
          </m:rPr>
          <m:t>=</m:t>
        </m:r>
        <m:r>
          <m:t>Γ</m:t>
        </m:r>
        <m:sSub>
          <m:e>
            <m:r>
              <m:t>H</m:t>
            </m:r>
          </m:e>
          <m:sub>
            <m:r>
              <m:t>d</m:t>
            </m:r>
          </m:sub>
        </m:sSub>
        <m:sSub>
          <m:e>
            <m:r>
              <m:t>R</m:t>
            </m:r>
          </m:e>
          <m:sub>
            <m:r>
              <m:t>k</m:t>
            </m:r>
          </m:sub>
        </m:sSub>
      </m:oMath>
      <w:r>
        <w:t xml:space="preserve"> </w:t>
      </w:r>
      <w:r>
        <w:t xml:space="preserve">werden aus</w:t>
      </w:r>
      <w:r>
        <w:t xml:space="preserve"> </w:t>
      </w:r>
      <w:r>
        <w:rPr>
          <w:b/>
          <w:bCs/>
        </w:rPr>
        <w:t xml:space="preserve">einer einzigen physikalischen nodalen PTDF</w:t>
      </w:r>
      <w:r>
        <w:t xml:space="preserve"> </w:t>
      </w:r>
      <w:r>
        <w:t xml:space="preserve">und technologieabhängigen räumlichen Gewichten abgeleitet. Eine zeitabhängige strukturelle Flusskorrektur lässt sich exakt gegenüber einer gewählten Referenzzerlegung formulieren; ein für das Ersatznetz konstanter</w:t>
      </w:r>
      <w:r>
        <w:t xml:space="preserve"> </w:t>
      </w:r>
      <m:oMath>
        <m:sSub>
          <m:e>
            <m:r>
              <m:t>F</m:t>
            </m:r>
          </m:e>
          <m:sub>
            <m:r>
              <m:t>0</m:t>
            </m:r>
          </m:sub>
        </m:sSub>
      </m:oMath>
      <w:r>
        <w:t xml:space="preserve"> </w:t>
      </w:r>
      <w:r>
        <w:t xml:space="preserve">ist dagegen ein identifizierter Modellparameter.</w:t>
      </w:r>
    </w:p>
    <w:p>
      <w:pPr>
        <w:pStyle w:val="Compact"/>
        <w:numPr>
          <w:ilvl w:val="0"/>
          <w:numId w:val="1001"/>
        </w:numPr>
      </w:pPr>
      <w:r>
        <w:t xml:space="preserve">Die</w:t>
      </w:r>
      <w:r>
        <w:t xml:space="preserve"> </w:t>
      </w:r>
      <w:r>
        <w:rPr>
          <w:b/>
          <w:bCs/>
        </w:rPr>
        <w:t xml:space="preserve">N-1-Sicherheitsregion</w:t>
      </w:r>
      <w:r>
        <w:t xml:space="preserve"> </w:t>
      </w:r>
      <w:r>
        <w:t xml:space="preserve">kann bei fixierter intrazonaler Verteilung direkt aus der detaillierten PTDF, der LODF und den Leitungsgrenzen als gekoppeltes Polyeder konstruiert werden. Einzelne zonale Link-Kapazitäten, auch wenn sie als exakte bilaterale Grenzwerte berechnet wurden, ersetzen dieses Polyeder nicht.</w:t>
      </w:r>
    </w:p>
    <w:p>
      <w:pPr>
        <w:pStyle w:val="Compact"/>
        <w:numPr>
          <w:ilvl w:val="0"/>
          <w:numId w:val="1001"/>
        </w:numPr>
      </w:pPr>
      <w:r>
        <w:t xml:space="preserve">Die Woodbury-Identität und die duale Kreisflusstheorie sind alternative effiziente</w:t>
      </w:r>
      <w:r>
        <w:t xml:space="preserve"> </w:t>
      </w:r>
      <w:r>
        <w:rPr>
          <w:b/>
          <w:bCs/>
        </w:rPr>
        <w:t xml:space="preserve">Berechnungswege der Kontingenzsensitivitäten</w:t>
      </w:r>
      <w:r>
        <w:t xml:space="preserve">, keine zusätzlichen physikalischen Sicherheitsmodelle. Die leitungsspezifischen/robusten Derating-Ideen nach Gazafroudi–Neumann–Brown sind wissenschaftliche Vergleichsmethoden [N1, N2].</w:t>
      </w:r>
    </w:p>
    <w:p>
      <w:pPr>
        <w:pStyle w:val="Compact"/>
        <w:numPr>
          <w:ilvl w:val="0"/>
          <w:numId w:val="1001"/>
        </w:numPr>
      </w:pPr>
      <w:r>
        <w:t xml:space="preserve">FBMC und IoSN-Zonenreduktion verwenden dieselbe nodale Physik, aber verschiedene Operatoren, Zonenbegriffe und Sicherheitssemantiken. Die Analogie zwischen</w:t>
      </w:r>
      <w:r>
        <w:t xml:space="preserve"> </w:t>
      </w:r>
      <m:oMath>
        <m:r>
          <m:t>Γ</m:t>
        </m:r>
        <m:sSub>
          <m:e>
            <m:r>
              <m:t>H</m:t>
            </m:r>
          </m:e>
          <m:sub>
            <m:r>
              <m:t>d</m:t>
            </m:r>
          </m:sub>
        </m:sSub>
        <m:r>
          <m:t>R</m:t>
        </m:r>
      </m:oMath>
      <w:r>
        <w:t xml:space="preserve"> </w:t>
      </w:r>
      <w:r>
        <w:t xml:space="preserve">und</w:t>
      </w:r>
      <w:r>
        <w:t xml:space="preserve"> </w:t>
      </w:r>
      <m:oMath>
        <m:r>
          <m:t>K</m:t>
        </m:r>
        <m:sSub>
          <m:e>
            <m:r>
              <m:t>H</m:t>
            </m:r>
          </m:e>
          <m:sub>
            <m:r>
              <m:t>d</m:t>
            </m:r>
          </m:sub>
        </m:sSub>
        <m:r>
          <m:t>G</m:t>
        </m:r>
      </m:oMath>
      <w:r>
        <w:t xml:space="preserve"> </w:t>
      </w:r>
      <w:r>
        <w:t xml:space="preserve">ist exakt auf der Ebene linearer Sensitivitäten,</w:t>
      </w:r>
      <w:r>
        <w:t xml:space="preserve"> </w:t>
      </w:r>
      <w:r>
        <w:rPr>
          <w:b/>
          <w:bCs/>
        </w:rPr>
        <w:t xml:space="preserve">nicht</w:t>
      </w:r>
      <w:r>
        <w:t xml:space="preserve"> </w:t>
      </w:r>
      <w:r>
        <w:t xml:space="preserve">auf der Ebene der Kapazitätsbegriffe (IoSN-Ersatzkapazität vs. operativer RAM).</w:t>
      </w:r>
    </w:p>
    <w:p>
      <w:pPr>
        <w:pStyle w:val="FirstParagraph"/>
      </w:pPr>
      <w:r>
        <w:rPr>
          <w:b/>
          <w:bCs/>
        </w:rPr>
        <w:t xml:space="preserve">Erkenntnisstatus:</w:t>
      </w:r>
      <w:r>
        <w:t xml:space="preserve"> </w:t>
      </w:r>
      <w:r>
        <w:t xml:space="preserve">[D] direkt im IoSN-Dokument beschrieben; [R] explizite mathematische Rekonstruktion; [E] eigener Entwurf; [L] aus externer wissenschaftlicher Literatur begründbar; [S] synthetisch getestet; [O] nicht spezifiziert bzw. noch nicht realnetzvalidiert. Jede Gleichung wird im Folgenden einer dieser Kategorien zugeordnet. Wissenschaftliche Literatur und PyPSA-Dokumentation werden</w:t>
      </w:r>
      <w:r>
        <w:t xml:space="preserve"> </w:t>
      </w:r>
      <w:r>
        <w:rPr>
          <w:b/>
          <w:bCs/>
        </w:rPr>
        <w:t xml:space="preserve">nicht</w:t>
      </w:r>
      <w:r>
        <w:t xml:space="preserve"> </w:t>
      </w:r>
      <w:r>
        <w:t xml:space="preserve">als Quelle für eine vermeintlich offizielle IoSN-Definition verwendet.</w:t>
      </w:r>
    </w:p>
    <w:bookmarkEnd w:id="20"/>
    <w:bookmarkStart w:id="24" w:name="X44b99dfec72be2acf4769b13b9965031c3c4c47"/>
    <w:p>
      <w:pPr>
        <w:pStyle w:val="Heading1"/>
      </w:pPr>
      <w:r>
        <w:t xml:space="preserve">1. Untersuchungsgegenstand, Quellenhierarchie und Grenzen</w:t>
      </w:r>
    </w:p>
    <w:bookmarkStart w:id="21" w:name="verbindliche-iosn-referenz"/>
    <w:p>
      <w:pPr>
        <w:pStyle w:val="Heading2"/>
      </w:pPr>
      <w:r>
        <w:t xml:space="preserve">1.1 Verbindliche IoSN-Referenz</w:t>
      </w:r>
    </w:p>
    <w:p>
      <w:pPr>
        <w:pStyle w:val="FirstParagraph"/>
      </w:pPr>
      <w:r>
        <w:rPr>
          <w:b/>
          <w:bCs/>
        </w:rPr>
        <w:t xml:space="preserve">[D]</w:t>
      </w:r>
      <w:r>
        <w:t xml:space="preserve"> </w:t>
      </w:r>
      <w:r>
        <w:t xml:space="preserve">Die alleinige methodische Autorität für den</w:t>
      </w:r>
      <w:r>
        <w:t xml:space="preserve"> </w:t>
      </w:r>
      <w:r>
        <w:rPr>
          <w:i/>
          <w:iCs/>
        </w:rPr>
        <w:t xml:space="preserve">Abgleich mit der ENTSO-E-Netzreduktion</w:t>
      </w:r>
      <w:r>
        <w:t xml:space="preserve"> </w:t>
      </w:r>
      <w:r>
        <w:t xml:space="preserve">ist [E1], Abschnitt 3.8 (Zonal Clustering, Network Reduction, Outputs und Market Data Split), Abschnitt 3.9 (interne Restriktionen) und Anhang 6.1 (Clustering, Impedanzoptimierung und N-1-Ersatzkapazitäten). Kapitel 3.7 (Wetterfälle) und Kapitel 3.1 (Planungsmodell) liefern den Kontext. [E1] trägt ausdrücklich den Status</w:t>
      </w:r>
      <w:r>
        <w:t xml:space="preserve"> </w:t>
      </w:r>
      <w:r>
        <w:rPr>
          <w:i/>
          <w:iCs/>
        </w:rPr>
        <w:t xml:space="preserve">Version for Public Consultation</w:t>
      </w:r>
      <w:r>
        <w:t xml:space="preserve">, datiert 25.02.2026. Die im Folgenden formulierten alternativen mathematischen Verfahren sind daher</w:t>
      </w:r>
      <w:r>
        <w:t xml:space="preserve"> </w:t>
      </w:r>
      <w:r>
        <w:rPr>
          <w:b/>
          <w:bCs/>
        </w:rPr>
        <w:t xml:space="preserve">nicht als ENTSO-E-Vorgaben</w:t>
      </w:r>
      <w:r>
        <w:t xml:space="preserve"> </w:t>
      </w:r>
      <w:r>
        <w:t xml:space="preserve">zu lesen.</w:t>
      </w:r>
    </w:p>
    <w:p>
      <w:pPr>
        <w:pStyle w:val="BodyText"/>
      </w:pPr>
      <w:r>
        <w:rPr>
          <w:b/>
          <w:bCs/>
        </w:rPr>
        <w:t xml:space="preserve">[D]</w:t>
      </w:r>
      <w:r>
        <w:t xml:space="preserve"> </w:t>
      </w:r>
      <w:r>
        <w:t xml:space="preserve">Die dokumentierte Zonierung dient einer physikalisch sinnvollen, rechenbaren Näherung des pan-europäischen Verbundnetzes. ENTSO-E berichtet</w:t>
      </w:r>
      <w:r>
        <w:t xml:space="preserve"> </w:t>
      </w:r>
      <w:r>
        <w:rPr>
          <w:b/>
          <w:bCs/>
        </w:rPr>
        <w:t xml:space="preserve">102 Zonen</w:t>
      </w:r>
      <w:r>
        <w:t xml:space="preserve">, darunter 11 für Deutschland und 16 für Frankreich; es sind Planungszonen, nicht identisch mit den Core-Gebotszonen. Die Zonen sollen wesentlich über Engpässe, synchrone Flussmuster und Begrenzung der Zonenanzahl bestimmt werden. Weitere Kriterien sind Konnektivität, sinnvolle Zonengrößen und PECD-Bezug [E1, S. 23–27].</w:t>
      </w:r>
    </w:p>
    <w:bookmarkEnd w:id="21"/>
    <w:bookmarkStart w:id="22" w:name="getrennte-wissenschaftliche-bezüge"/>
    <w:p>
      <w:pPr>
        <w:pStyle w:val="Heading2"/>
      </w:pPr>
      <w:r>
        <w:t xml:space="preserve">1.2 Getrennte wissenschaftliche Bezüge</w:t>
      </w:r>
    </w:p>
    <w:p>
      <w:pPr>
        <w:pStyle w:val="FirstParagraph"/>
      </w:pPr>
      <w:r>
        <w:t xml:space="preserve">Die Theorie zu Kreisfluss-LODFs und zu Woodbury wird in [N1], der Vergleich der N-1-Approximationen in [N2] verankert. PyPSA-Funktionen werden in [P1]–[P3] zitiert. Operative FBMC-Begriffe werden als</w:t>
      </w:r>
      <w:r>
        <w:t xml:space="preserve"> </w:t>
      </w:r>
      <w:r>
        <w:rPr>
          <w:b/>
          <w:bCs/>
        </w:rPr>
        <w:t xml:space="preserve">eigener Anwendungsbereich</w:t>
      </w:r>
      <w:r>
        <w:t xml:space="preserve"> </w:t>
      </w:r>
      <w:r>
        <w:t xml:space="preserve">betrachtet; das IoSN-Dokument definiert keinen vollständigen Core-Day-Ahead-Capacity-Calculation-Prozess.</w:t>
      </w:r>
    </w:p>
    <w:bookmarkEnd w:id="22"/>
    <w:bookmarkStart w:id="23" w:name="abgrenzung-des-nachweises"/>
    <w:p>
      <w:pPr>
        <w:pStyle w:val="Heading2"/>
      </w:pPr>
      <w:r>
        <w:t xml:space="preserve">1.3 Abgrenzung des Nachweises</w:t>
      </w:r>
    </w:p>
    <w:p>
      <w:pPr>
        <w:pStyle w:val="FirstParagraph"/>
      </w:pPr>
      <w:r>
        <w:t xml:space="preserve">Die Herleitungen beziehen sich auf verlustlose, stationäre Wirkleistungsflüsse in DC-Näherung. Wirk- und Blindleistung sind nicht synonym; thermische AC-Grenzen in MVA/A sind für ein DC-Modell auf explizite MW-Proxys abzubilden. Nicht eingeschlossen sind AC-Spannungsgüte, Blindleistung, nichtlineare Verlustmodelle, Kurzschluss- und Stabilitätsäquivalenz. HVDC-Terminalverluste, Trafo-Taps, PSTs und Netzinseln müssen als Sonderfälle ausdrücklich behandelt werden. Ein niedriger Fluss-RMSE belegt weder dynamische Äquivalenz noch N-1-Sicherheit.</w:t>
      </w:r>
    </w:p>
    <w:bookmarkEnd w:id="23"/>
    <w:bookmarkEnd w:id="24"/>
    <w:bookmarkStart w:id="27" w:name="Xaf3969671dcd14e3d7d34fc5afbcd3722f2699e"/>
    <w:p>
      <w:pPr>
        <w:pStyle w:val="Heading1"/>
      </w:pPr>
      <w:r>
        <w:t xml:space="preserve">2. Einheitliche Notation und detaillierte elektrische Physik</w:t>
      </w:r>
    </w:p>
    <w:bookmarkStart w:id="25" w:name="netzgraph-und-dc-flussmodell"/>
    <w:p>
      <w:pPr>
        <w:pStyle w:val="Heading2"/>
      </w:pPr>
      <w:r>
        <w:t xml:space="preserve">2.1 Netzgraph und DC-Flussmodell</w:t>
      </w:r>
    </w:p>
    <w:p>
      <w:pPr>
        <w:pStyle w:val="FirstParagraph"/>
      </w:pPr>
      <w:r>
        <w:t xml:space="preserve">Sei</w:t>
      </w:r>
      <w:r>
        <w:t xml:space="preserve"> </w:t>
      </w:r>
      <m:oMath>
        <m:sSub>
          <m:e>
            <m:r>
              <m:t>G</m:t>
            </m:r>
          </m:e>
          <m:sub>
            <m:r>
              <m:t>d</m:t>
            </m:r>
          </m:sub>
        </m:sSub>
        <m:r>
          <m:rPr>
            <m:sty m:val="p"/>
          </m:rPr>
          <m:t>=</m:t>
        </m:r>
        <m:d>
          <m:dPr>
            <m:begChr m:val="("/>
            <m:endChr m:val=")"/>
            <m:sepChr m:val=""/>
            <m:grow/>
          </m:dPr>
          <m:e>
            <m:r>
              <m:rPr>
                <m:sty m:val="p"/>
                <m:scr m:val="script"/>
              </m:rPr>
              <m:t>N</m:t>
            </m:r>
            <m:r>
              <m:rPr>
                <m:sty m:val="p"/>
              </m:rPr>
              <m:t>,</m:t>
            </m:r>
            <m:r>
              <m:rPr>
                <m:sty m:val="p"/>
                <m:scr m:val="script"/>
              </m:rPr>
              <m:t>L</m:t>
            </m:r>
          </m:e>
        </m:d>
      </m:oMath>
      <w:r>
        <w:t xml:space="preserve"> </w:t>
      </w:r>
      <w:r>
        <w:t xml:space="preserve">ein zusammenhängender passiver AC-Teilgraph mit</w:t>
      </w:r>
      <w:r>
        <w:t xml:space="preserve"> </w:t>
      </w:r>
      <m:oMath>
        <m:r>
          <m:t>N</m:t>
        </m:r>
      </m:oMath>
      <w:r>
        <w:t xml:space="preserve"> </w:t>
      </w:r>
      <w:r>
        <w:t xml:space="preserve">Knoten,</w:t>
      </w:r>
      <w:r>
        <w:t xml:space="preserve"> </w:t>
      </w:r>
      <m:oMath>
        <m:r>
          <m:t>L</m:t>
        </m:r>
      </m:oMath>
      <w:r>
        <w:t xml:space="preserve"> </w:t>
      </w:r>
      <w:r>
        <w:t xml:space="preserve">Zweigen, orientierter Inzidenz</w:t>
      </w:r>
      <w:r>
        <w:t xml:space="preserve"> </w:t>
      </w:r>
      <m:oMath>
        <m:sSub>
          <m:e>
            <m:r>
              <m:t>A</m:t>
            </m:r>
          </m:e>
          <m:sub>
            <m:r>
              <m:t>d</m:t>
            </m:r>
          </m:sub>
        </m:sSub>
        <m:r>
          <m:rPr>
            <m:sty m:val="p"/>
          </m:rPr>
          <m:t>∈</m:t>
        </m:r>
        <m:sSup>
          <m:e>
            <m:r>
              <m:rPr>
                <m:sty m:val="p"/>
                <m:scr m:val="double-struck"/>
              </m:rPr>
              <m:t>R</m:t>
            </m:r>
          </m:e>
          <m:sup>
            <m:r>
              <m:t>N</m:t>
            </m:r>
            <m:r>
              <m:rPr>
                <m:sty m:val="p"/>
              </m:rPr>
              <m:t>×</m:t>
            </m:r>
            <m:r>
              <m:t>L</m:t>
            </m:r>
          </m:sup>
        </m:sSup>
      </m:oMath>
      <w:r>
        <w:t xml:space="preserve">, Zweigreaktanzen</w:t>
      </w:r>
      <w:r>
        <w:t xml:space="preserve"> </w:t>
      </w:r>
      <m:oMath>
        <m:sSub>
          <m:e>
            <m:r>
              <m:t>x</m:t>
            </m:r>
          </m:e>
          <m:sub>
            <m:r>
              <m:rPr>
                <m:sty m:val="p"/>
              </m:rPr>
              <m:t>ℓ</m:t>
            </m:r>
          </m:sub>
        </m:sSub>
        <m:r>
          <m:rPr>
            <m:sty m:val="p"/>
          </m:rPr>
          <m:t>&gt;</m:t>
        </m:r>
        <m:r>
          <m:t>0</m:t>
        </m:r>
      </m:oMath>
      <w:r>
        <w:t xml:space="preserve"> </w:t>
      </w:r>
      <w:r>
        <w:t xml:space="preserve">und</w:t>
      </w:r>
      <w:r>
        <w:t xml:space="preserve"> </w:t>
      </w:r>
      <m:oMath>
        <m:sSub>
          <m:e>
            <m:r>
              <m:t>B</m:t>
            </m:r>
          </m:e>
          <m:sub>
            <m:r>
              <m:t>d</m:t>
            </m:r>
          </m:sub>
        </m:sSub>
        <m:r>
          <m:rPr>
            <m:sty m:val="p"/>
          </m:rPr>
          <m:t>=</m:t>
        </m:r>
        <m:r>
          <m:rPr>
            <m:sty m:val="p"/>
          </m:rPr>
          <m:t>d</m:t>
        </m:r>
        <m:r>
          <m:rPr>
            <m:sty m:val="p"/>
          </m:rPr>
          <m:t>i</m:t>
        </m:r>
        <m:r>
          <m:rPr>
            <m:sty m:val="p"/>
          </m:rPr>
          <m:t>a</m:t>
        </m:r>
        <m:r>
          <m:rPr>
            <m:sty m:val="p"/>
          </m:rPr>
          <m:t>g</m:t>
        </m:r>
        <m:d>
          <m:dPr>
            <m:begChr m:val="("/>
            <m:endChr m:val=")"/>
            <m:sepChr m:val=""/>
            <m:grow/>
          </m:dPr>
          <m:e>
            <m:r>
              <m:t>1</m:t>
            </m:r>
            <m:r>
              <m:rPr>
                <m:sty m:val="p"/>
              </m:rPr>
              <m:t>/</m:t>
            </m:r>
            <m:sSub>
              <m:e>
                <m:r>
                  <m:t>x</m:t>
                </m:r>
              </m:e>
              <m:sub>
                <m:r>
                  <m:rPr>
                    <m:sty m:val="p"/>
                  </m:rPr>
                  <m:t>ℓ</m:t>
                </m:r>
              </m:sub>
            </m:sSub>
          </m:e>
        </m:d>
      </m:oMath>
      <w:r>
        <w:t xml:space="preserve">. Ein Zweig</w:t>
      </w:r>
      <w:r>
        <w:t xml:space="preserve"> </w:t>
      </w:r>
      <m:oMath>
        <m:r>
          <m:t>i</m:t>
        </m:r>
        <m:r>
          <m:rPr>
            <m:sty m:val="p"/>
          </m:rPr>
          <m:t>→</m:t>
        </m:r>
        <m:r>
          <m:t>j</m:t>
        </m:r>
      </m:oMath>
      <w:r>
        <w:t xml:space="preserve"> </w:t>
      </w:r>
      <w:r>
        <w:t xml:space="preserve">hat in</w:t>
      </w:r>
      <w:r>
        <w:t xml:space="preserve"> </w:t>
      </w:r>
      <m:oMath>
        <m:sSub>
          <m:e>
            <m:r>
              <m:t>A</m:t>
            </m:r>
          </m:e>
          <m:sub>
            <m:r>
              <m:t>d</m:t>
            </m:r>
          </m:sub>
        </m:sSub>
      </m:oMath>
      <w:r>
        <w:t xml:space="preserve"> </w:t>
      </w:r>
      <w:r>
        <w:t xml:space="preserve">am Abgang</w:t>
      </w:r>
      <w:r>
        <w:t xml:space="preserve"> </w:t>
      </w:r>
      <m:oMath>
        <m:r>
          <m:rPr>
            <m:sty m:val="p"/>
          </m:rPr>
          <m:t>+</m:t>
        </m:r>
        <m:r>
          <m:t>1</m:t>
        </m:r>
      </m:oMath>
      <w:r>
        <w:t xml:space="preserve"> </w:t>
      </w:r>
      <w:r>
        <w:t xml:space="preserve">und am Zugang</w:t>
      </w:r>
      <w:r>
        <w:t xml:space="preserve"> </w:t>
      </w:r>
      <m:oMath>
        <m:r>
          <m:rPr>
            <m:sty m:val="p"/>
          </m:rPr>
          <m:t>−</m:t>
        </m:r>
        <m:r>
          <m:t>1</m:t>
        </m:r>
      </m:oMath>
      <w:r>
        <w:t xml:space="preserve">. Der nodale Laplace-Operator lautet</w:t>
      </w:r>
      <w:r>
        <w:t xml:space="preserve"> </w:t>
      </w:r>
      <m:oMath>
        <m:sSub>
          <m:e>
            <m:r>
              <m:t>L</m:t>
            </m:r>
          </m:e>
          <m:sub>
            <m:r>
              <m:t>d</m:t>
            </m:r>
          </m:sub>
        </m:sSub>
        <m:r>
          <m:rPr>
            <m:sty m:val="p"/>
          </m:rPr>
          <m:t>=</m:t>
        </m:r>
        <m:sSub>
          <m:e>
            <m:r>
              <m:t>A</m:t>
            </m:r>
          </m:e>
          <m:sub>
            <m:r>
              <m:t>d</m:t>
            </m:r>
          </m:sub>
        </m:sSub>
        <m:sSub>
          <m:e>
            <m:r>
              <m:t>B</m:t>
            </m:r>
          </m:e>
          <m:sub>
            <m:r>
              <m:t>d</m:t>
            </m:r>
          </m:sub>
        </m:sSub>
        <m:sSubSup>
          <m:e>
            <m:r>
              <m:t>A</m:t>
            </m:r>
          </m:e>
          <m:sub>
            <m:r>
              <m:t>d</m:t>
            </m:r>
          </m:sub>
          <m:sup>
            <m:r>
              <m:rPr>
                <m:sty m:val="p"/>
                <m:scr m:val="sans-serif"/>
              </m:rPr>
              <m:t>T</m:t>
            </m:r>
          </m:sup>
        </m:sSubSup>
      </m:oMath>
      <w:r>
        <w:t xml:space="preserve">.</w:t>
      </w:r>
    </w:p>
    <w:p>
      <w:pPr>
        <w:pStyle w:val="BodyText"/>
      </w:pPr>
      <w:r>
        <w:rPr>
          <w:b/>
          <w:bCs/>
        </w:rPr>
        <w:t xml:space="preserve">(G1) Kirchhoff-Gleichungen [R/L].</w:t>
      </w:r>
    </w:p>
    <w:p>
      <w:pPr>
        <w:pStyle w:val="BodyText"/>
      </w:pPr>
      <m:oMathPara>
        <m:oMathParaPr>
          <m:jc m:val="center"/>
        </m:oMathParaPr>
        <m:oMath>
          <m:sSub>
            <m:e>
              <m:r>
                <m:t>L</m:t>
              </m:r>
            </m:e>
            <m:sub>
              <m:r>
                <m:t>d</m:t>
              </m:r>
            </m:sub>
          </m:sSub>
          <m:sSub>
            <m:e>
              <m:r>
                <m:t>θ</m:t>
              </m:r>
            </m:e>
            <m:sub>
              <m:r>
                <m:t>t</m:t>
              </m:r>
            </m:sub>
          </m:sSub>
          <m:r>
            <m:rPr>
              <m:sty m:val="p"/>
            </m:rPr>
            <m:t>=</m:t>
          </m:r>
          <m:sSub>
            <m:e>
              <m:r>
                <m:t>p</m:t>
              </m:r>
            </m:e>
            <m:sub>
              <m:r>
                <m:t>d</m:t>
              </m:r>
              <m:r>
                <m:rPr>
                  <m:sty m:val="p"/>
                </m:rPr>
                <m:t>,</m:t>
              </m:r>
              <m:r>
                <m:t>t</m:t>
              </m:r>
            </m:sub>
          </m:sSub>
          <m:r>
            <m:rPr>
              <m:sty m:val="p"/>
            </m:rPr>
            <m:t>,</m:t>
          </m:r>
          <m:r>
            <m:t>  </m:t>
          </m:r>
          <m:sSub>
            <m:e>
              <m:r>
                <m:t>f</m:t>
              </m:r>
            </m:e>
            <m:sub>
              <m:r>
                <m:t>d</m:t>
              </m:r>
              <m:r>
                <m:rPr>
                  <m:sty m:val="p"/>
                </m:rPr>
                <m:t>,</m:t>
              </m:r>
              <m:r>
                <m:t>t</m:t>
              </m:r>
            </m:sub>
          </m:sSub>
          <m:r>
            <m:rPr>
              <m:sty m:val="p"/>
            </m:rPr>
            <m:t>=</m:t>
          </m:r>
          <m:sSub>
            <m:e>
              <m:r>
                <m:t>B</m:t>
              </m:r>
            </m:e>
            <m:sub>
              <m:r>
                <m:t>d</m:t>
              </m:r>
            </m:sub>
          </m:sSub>
          <m:sSubSup>
            <m:e>
              <m:r>
                <m:t>A</m:t>
              </m:r>
            </m:e>
            <m:sub>
              <m:r>
                <m:t>d</m:t>
              </m:r>
            </m:sub>
            <m:sup>
              <m:r>
                <m:rPr>
                  <m:sty m:val="p"/>
                  <m:scr m:val="sans-serif"/>
                </m:rPr>
                <m:t>T</m:t>
              </m:r>
            </m:sup>
          </m:sSubSup>
          <m:sSub>
            <m:e>
              <m:r>
                <m:t>θ</m:t>
              </m:r>
            </m:e>
            <m:sub>
              <m:r>
                <m:t>t</m:t>
              </m:r>
            </m:sub>
          </m:sSub>
          <m:r>
            <m:rPr>
              <m:sty m:val="p"/>
            </m:rPr>
            <m:t>,</m:t>
          </m:r>
          <m:r>
            <m:t>  </m:t>
          </m:r>
          <m:sSub>
            <m:e>
              <m:r>
                <m:t>A</m:t>
              </m:r>
            </m:e>
            <m:sub>
              <m:r>
                <m:t>d</m:t>
              </m:r>
            </m:sub>
          </m:sSub>
          <m:sSub>
            <m:e>
              <m:r>
                <m:t>f</m:t>
              </m:r>
            </m:e>
            <m:sub>
              <m:r>
                <m:t>d</m:t>
              </m:r>
              <m:r>
                <m:rPr>
                  <m:sty m:val="p"/>
                </m:rPr>
                <m:t>,</m:t>
              </m:r>
              <m:r>
                <m:t>t</m:t>
              </m:r>
            </m:sub>
          </m:sSub>
          <m:r>
            <m:rPr>
              <m:sty m:val="p"/>
            </m:rPr>
            <m:t>=</m:t>
          </m:r>
          <m:sSub>
            <m:e>
              <m:r>
                <m:t>p</m:t>
              </m:r>
            </m:e>
            <m:sub>
              <m:r>
                <m:t>d</m:t>
              </m:r>
              <m:r>
                <m:rPr>
                  <m:sty m:val="p"/>
                </m:rPr>
                <m:t>,</m:t>
              </m:r>
              <m:r>
                <m:t>t</m:t>
              </m:r>
            </m:sub>
          </m:sSub>
          <m:r>
            <m:rPr>
              <m:sty m:val="p"/>
            </m:rPr>
            <m:t>.</m:t>
          </m:r>
        </m:oMath>
      </m:oMathPara>
    </w:p>
    <w:p>
      <w:pPr>
        <w:pStyle w:val="FirstParagraph"/>
      </w:pPr>
      <w:r>
        <w:t xml:space="preserve">Voraussetzung ist</w:t>
      </w:r>
      <w:r>
        <w:t xml:space="preserve"> </w:t>
      </w:r>
      <m:oMath>
        <m:sSup>
          <m:e>
            <m:r>
              <m:rPr>
                <m:sty m:val="b"/>
              </m:rPr>
              <m:t>1</m:t>
            </m:r>
          </m:e>
          <m:sup>
            <m:r>
              <m:rPr>
                <m:sty m:val="p"/>
                <m:scr m:val="sans-serif"/>
              </m:rPr>
              <m:t>T</m:t>
            </m:r>
          </m:sup>
        </m:sSup>
        <m:sSub>
          <m:e>
            <m:r>
              <m:t>p</m:t>
            </m:r>
          </m:e>
          <m:sub>
            <m:r>
              <m:t>d</m:t>
            </m:r>
            <m:r>
              <m:rPr>
                <m:sty m:val="p"/>
              </m:rPr>
              <m:t>,</m:t>
            </m:r>
            <m:r>
              <m:t>t</m:t>
            </m:r>
          </m:sub>
        </m:sSub>
        <m:r>
          <m:rPr>
            <m:sty m:val="p"/>
          </m:rPr>
          <m:t>=</m:t>
        </m:r>
        <m:r>
          <m:t>0</m:t>
        </m:r>
      </m:oMath>
      <w:r>
        <w:t xml:space="preserve"> </w:t>
      </w:r>
      <w:r>
        <w:t xml:space="preserve">innerhalb jeder AC-Insel. Mit reduzierter Faktorisierung oder Pseudoinverser</w:t>
      </w:r>
      <w:r>
        <w:t xml:space="preserve"> </w:t>
      </w:r>
      <m:oMath>
        <m:sSubSup>
          <m:e>
            <m:r>
              <m:t>L</m:t>
            </m:r>
          </m:e>
          <m:sub>
            <m:r>
              <m:t>d</m:t>
            </m:r>
          </m:sub>
          <m:sup>
            <m:r>
              <m:rPr>
                <m:sty m:val="p"/>
              </m:rPr>
              <m:t>†</m:t>
            </m:r>
          </m:sup>
        </m:sSubSup>
      </m:oMath>
      <w:r>
        <w:t xml:space="preserve"> </w:t>
      </w:r>
      <w:r>
        <w:t xml:space="preserve">folgt die nodale PTDF</w:t>
      </w:r>
      <w:r>
        <w:t xml:space="preserve"> </w:t>
      </w:r>
      <m:oMath>
        <m:sSub>
          <m:e>
            <m:r>
              <m:t>H</m:t>
            </m:r>
          </m:e>
          <m:sub>
            <m:r>
              <m:t>d</m:t>
            </m:r>
          </m:sub>
        </m:sSub>
        <m:r>
          <m:rPr>
            <m:sty m:val="p"/>
          </m:rPr>
          <m:t>=</m:t>
        </m:r>
        <m:sSub>
          <m:e>
            <m:r>
              <m:t>B</m:t>
            </m:r>
          </m:e>
          <m:sub>
            <m:r>
              <m:t>d</m:t>
            </m:r>
          </m:sub>
        </m:sSub>
        <m:sSubSup>
          <m:e>
            <m:r>
              <m:t>A</m:t>
            </m:r>
          </m:e>
          <m:sub>
            <m:r>
              <m:t>d</m:t>
            </m:r>
          </m:sub>
          <m:sup>
            <m:r>
              <m:rPr>
                <m:sty m:val="p"/>
                <m:scr m:val="sans-serif"/>
              </m:rPr>
              <m:t>T</m:t>
            </m:r>
          </m:sup>
        </m:sSubSup>
        <m:sSubSup>
          <m:e>
            <m:r>
              <m:t>L</m:t>
            </m:r>
          </m:e>
          <m:sub>
            <m:r>
              <m:t>d</m:t>
            </m:r>
          </m:sub>
          <m:sup>
            <m:r>
              <m:rPr>
                <m:sty m:val="p"/>
              </m:rPr>
              <m:t>†</m:t>
            </m:r>
          </m:sup>
        </m:sSubSup>
      </m:oMath>
      <w:r>
        <w:t xml:space="preserve"> </w:t>
      </w:r>
      <w:r>
        <w:t xml:space="preserve">und</w:t>
      </w:r>
    </w:p>
    <w:p>
      <w:pPr>
        <w:pStyle w:val="BodyText"/>
      </w:pPr>
      <w:r>
        <w:rPr>
          <w:b/>
          <w:bCs/>
        </w:rPr>
        <w:t xml:space="preserve">(G2) Detaillierte Flussabbildung [R/L].</w:t>
      </w:r>
    </w:p>
    <w:p>
      <w:pPr>
        <w:pStyle w:val="BodyText"/>
      </w:pPr>
      <m:oMathPara>
        <m:oMathParaPr>
          <m:jc m:val="center"/>
        </m:oMathParaPr>
        <m:oMath>
          <m:sSub>
            <m:e>
              <m:r>
                <m:t>f</m:t>
              </m:r>
            </m:e>
            <m:sub>
              <m:r>
                <m:t>d</m:t>
              </m:r>
              <m:r>
                <m:rPr>
                  <m:sty m:val="p"/>
                </m:rPr>
                <m:t>,</m:t>
              </m:r>
              <m:r>
                <m:t>t</m:t>
              </m:r>
            </m:sub>
          </m:sSub>
          <m:r>
            <m:rPr>
              <m:sty m:val="p"/>
            </m:rPr>
            <m:t>=</m:t>
          </m:r>
          <m:sSub>
            <m:e>
              <m:r>
                <m:t>H</m:t>
              </m:r>
            </m:e>
            <m:sub>
              <m:r>
                <m:t>d</m:t>
              </m:r>
            </m:sub>
          </m:sSub>
          <m:sSub>
            <m:e>
              <m:r>
                <m:t>p</m:t>
              </m:r>
            </m:e>
            <m:sub>
              <m:r>
                <m:t>d</m:t>
              </m:r>
              <m:r>
                <m:rPr>
                  <m:sty m:val="p"/>
                </m:rPr>
                <m:t>,</m:t>
              </m:r>
              <m:r>
                <m:t>t</m:t>
              </m:r>
            </m:sub>
          </m:sSub>
          <m:r>
            <m:rPr>
              <m:sty m:val="p"/>
            </m:rPr>
            <m:t>+</m:t>
          </m:r>
          <m:sSubSup>
            <m:e>
              <m:r>
                <m:t>b</m:t>
              </m:r>
            </m:e>
            <m:sub>
              <m:r>
                <m:t>t</m:t>
              </m:r>
            </m:sub>
            <m:sup>
              <m:r>
                <m:t>ϕ</m:t>
              </m:r>
            </m:sup>
          </m:sSubSup>
          <m:r>
            <m:rPr>
              <m:sty m:val="p"/>
            </m:rPr>
            <m:t>,</m:t>
          </m:r>
          <m:r>
            <m:t>  </m:t>
          </m:r>
          <m:sSup>
            <m:e>
              <m:r>
                <m:rPr>
                  <m:sty m:val="b"/>
                </m:rPr>
                <m:t>1</m:t>
              </m:r>
            </m:e>
            <m:sup>
              <m:r>
                <m:rPr>
                  <m:sty m:val="p"/>
                  <m:scr m:val="sans-serif"/>
                </m:rPr>
                <m:t>T</m:t>
              </m:r>
            </m:sup>
          </m:sSup>
          <m:sSub>
            <m:e>
              <m:r>
                <m:t>p</m:t>
              </m:r>
            </m:e>
            <m:sub>
              <m:r>
                <m:t>d</m:t>
              </m:r>
              <m:r>
                <m:rPr>
                  <m:sty m:val="p"/>
                </m:rPr>
                <m:t>,</m:t>
              </m:r>
              <m:r>
                <m:t>t</m:t>
              </m:r>
            </m:sub>
          </m:sSub>
          <m:r>
            <m:rPr>
              <m:sty m:val="p"/>
            </m:rPr>
            <m:t>=</m:t>
          </m:r>
          <m:r>
            <m:t>0</m:t>
          </m:r>
          <m:r>
            <m:rPr>
              <m:sty m:val="p"/>
            </m:rPr>
            <m:t>.</m:t>
          </m:r>
        </m:oMath>
      </m:oMathPara>
    </w:p>
    <w:p>
      <w:pPr>
        <w:pStyle w:val="FirstParagraph"/>
      </w:pPr>
      <m:oMath>
        <m:sSubSup>
          <m:e>
            <m:r>
              <m:t>b</m:t>
            </m:r>
          </m:e>
          <m:sub>
            <m:r>
              <m:t>t</m:t>
            </m:r>
          </m:sub>
          <m:sup>
            <m:r>
              <m:t>ϕ</m:t>
            </m:r>
          </m:sup>
        </m:sSubSup>
      </m:oMath>
      <w:r>
        <w:t xml:space="preserve"> </w:t>
      </w:r>
      <w:r>
        <w:t xml:space="preserve">ist ein</w:t>
      </w:r>
      <w:r>
        <w:t xml:space="preserve"> </w:t>
      </w:r>
      <w:r>
        <w:rPr>
          <w:b/>
          <w:bCs/>
        </w:rPr>
        <w:t xml:space="preserve">vorher berechneter physikalischer Offset</w:t>
      </w:r>
      <w:r>
        <w:t xml:space="preserve"> </w:t>
      </w:r>
      <w:r>
        <w:t xml:space="preserve">aus festgehaltenen Phasenschieber-/Transformatorzuständen, kein frei wählbarer Ersatznetz-Nullbilanzfluss. Die mathematischen Identitäten im Folgenden werden zunächst für</w:t>
      </w:r>
      <w:r>
        <w:t xml:space="preserve"> </w:t>
      </w:r>
      <m:oMath>
        <m:sSubSup>
          <m:e>
            <m:r>
              <m:t>b</m:t>
            </m:r>
          </m:e>
          <m:sub>
            <m:r>
              <m:t>t</m:t>
            </m:r>
          </m:sub>
          <m:sup>
            <m:r>
              <m:t>ϕ</m:t>
            </m:r>
          </m:sup>
        </m:sSubSup>
        <m:r>
          <m:rPr>
            <m:sty m:val="p"/>
          </m:rPr>
          <m:t>=</m:t>
        </m:r>
        <m:r>
          <m:t>0</m:t>
        </m:r>
      </m:oMath>
      <w:r>
        <w:t xml:space="preserve"> </w:t>
      </w:r>
      <w:r>
        <w:t xml:space="preserve">hergeleitet und bei Bedarf um diesen Term erweitert. Die konkrete PTDF-Darstellung ist für balancierte Einspeisungen unabhängig von der Slack-Konvention; für unbalancierte Vektoren ist die Slack-Wahl dagegen entscheidend.</w:t>
      </w:r>
    </w:p>
    <w:bookmarkEnd w:id="25"/>
    <w:bookmarkStart w:id="26" w:name="zeit--und-zustandsindizes"/>
    <w:p>
      <w:pPr>
        <w:pStyle w:val="Heading2"/>
      </w:pPr>
      <w:r>
        <w:t xml:space="preserve">2.2 Zeit- und Zustandsindizes</w:t>
      </w:r>
    </w:p>
    <w:p>
      <w:pPr>
        <w:pStyle w:val="FirstParagraph"/>
      </w:pPr>
      <m:oMath>
        <m:r>
          <m:t>t</m:t>
        </m:r>
        <m:r>
          <m:rPr>
            <m:sty m:val="p"/>
          </m:rPr>
          <m:t>∈</m:t>
        </m:r>
        <m:r>
          <m:rPr>
            <m:sty m:val="p"/>
            <m:scr m:val="script"/>
          </m:rPr>
          <m:t>T</m:t>
        </m:r>
      </m:oMath>
      <w:r>
        <w:t xml:space="preserve"> </w:t>
      </w:r>
      <w:r>
        <w:t xml:space="preserve">bezeichnet synchron erfasste Stunden;</w:t>
      </w:r>
      <w:r>
        <w:t xml:space="preserve"> </w:t>
      </w:r>
      <m:oMath>
        <m:r>
          <m:t>s</m:t>
        </m:r>
        <m:r>
          <m:rPr>
            <m:sty m:val="p"/>
          </m:rPr>
          <m:t>∈</m:t>
        </m:r>
        <m:r>
          <m:rPr>
            <m:sty m:val="p"/>
            <m:scr m:val="script"/>
          </m:rPr>
          <m:t>S</m:t>
        </m:r>
      </m:oMath>
      <w:r>
        <w:t xml:space="preserve"> </w:t>
      </w:r>
      <w:r>
        <w:t xml:space="preserve">Wetter-/Marktszenarien und</w:t>
      </w:r>
      <w:r>
        <w:t xml:space="preserve"> </w:t>
      </w:r>
      <m:oMath>
        <m:r>
          <m:t>Δ</m:t>
        </m:r>
        <m:sSub>
          <m:e>
            <m:r>
              <m:t>t</m:t>
            </m:r>
          </m:e>
          <m:sub>
            <m:r>
              <m:t>t</m:t>
            </m:r>
          </m:sub>
        </m:sSub>
      </m:oMath>
      <w:r>
        <w:t xml:space="preserve"> </w:t>
      </w:r>
      <w:r>
        <w:t xml:space="preserve">ihre Dauer. Im IoSN-Ausgangsverfahren werden stündliche physikalische Flüsse aus einer Marktsimulation abgeleitet; die Impedanzoptimierung verwendet laut [E1] eine Stichprobe synchroner Flüsse. Die exakte Auswahl und Gewichtung dieser Stichprobe ist öffentlich nicht vollständig spezifiziert. Die im Text gegebenen Gewichtungen</w:t>
      </w:r>
      <w:r>
        <w:t xml:space="preserve"> </w:t>
      </w:r>
      <m:oMath>
        <m:sSub>
          <m:e>
            <m:r>
              <m:t>w</m:t>
            </m:r>
          </m:e>
          <m:sub>
            <m:r>
              <m:t>t</m:t>
            </m:r>
          </m:sub>
        </m:sSub>
      </m:oMath>
      <w:r>
        <w:t xml:space="preserve"> </w:t>
      </w:r>
      <w:r>
        <w:t xml:space="preserve">sind</w:t>
      </w:r>
      <w:r>
        <w:t xml:space="preserve"> </w:t>
      </w:r>
      <w:r>
        <w:rPr>
          <w:b/>
          <w:bCs/>
        </w:rPr>
        <w:t xml:space="preserve">eigene Entwurfsparameter</w:t>
      </w:r>
      <w:r>
        <w:t xml:space="preserve"> </w:t>
      </w:r>
      <w:r>
        <w:t xml:space="preserve">und müssen versioniert werden.</w:t>
      </w:r>
    </w:p>
    <w:bookmarkEnd w:id="26"/>
    <w:bookmarkEnd w:id="27"/>
    <w:bookmarkStart w:id="30" w:name="Xd4d98f1e42e8a611478d0c55f70f6152db0c662"/>
    <w:p>
      <w:pPr>
        <w:pStyle w:val="Heading1"/>
      </w:pPr>
      <w:r>
        <w:t xml:space="preserve">3. Die IoSN-Baseline als verbindlicher methodischer Referenzprozess</w:t>
      </w:r>
    </w:p>
    <w:bookmarkStart w:id="28" w:name="dokumentierte-schritte-d"/>
    <w:p>
      <w:pPr>
        <w:pStyle w:val="Heading2"/>
      </w:pPr>
      <w:r>
        <w:t xml:space="preserve">3.1 Dokumentierte Schritte [D]</w:t>
      </w:r>
    </w:p>
    <w:p>
      <w:pPr>
        <w:pStyle w:val="Compact"/>
        <w:numPr>
          <w:ilvl w:val="0"/>
          <w:numId w:val="1002"/>
        </w:numPr>
      </w:pPr>
      <w:r>
        <w:t xml:space="preserve">NTC-basierte Marktsimulation und Gewinnung repräsentativer Last-/Erzeugungssituationen;</w:t>
      </w:r>
    </w:p>
    <w:p>
      <w:pPr>
        <w:pStyle w:val="Compact"/>
        <w:numPr>
          <w:ilvl w:val="0"/>
          <w:numId w:val="1002"/>
        </w:numPr>
      </w:pPr>
      <w:r>
        <w:t xml:space="preserve">DC-/PTDF-basierte Berechnung detaillierter stündlicher Leitungsflüsse;</w:t>
      </w:r>
    </w:p>
    <w:p>
      <w:pPr>
        <w:pStyle w:val="Compact"/>
        <w:numPr>
          <w:ilvl w:val="0"/>
          <w:numId w:val="1002"/>
        </w:numPr>
      </w:pPr>
      <w:r>
        <w:t xml:space="preserve">Priorisierung überlasteter Leitungen (225- und 400-kV-Bereiche werden im Anhang ausdrücklich genannt) durch jährliche Überlastungsenergie;</w:t>
      </w:r>
    </w:p>
    <w:p>
      <w:pPr>
        <w:pStyle w:val="Compact"/>
        <w:numPr>
          <w:ilvl w:val="0"/>
          <w:numId w:val="1002"/>
        </w:numPr>
      </w:pPr>
      <w:r>
        <w:t xml:space="preserve">Zonierung: kritische Leitungen und relevante Austausch-Sensitivitäten sollen als Interzonenverbindungen möglichst sichtbar bleiben; Flussverhalten, Zonengröße und Konnektivität sind zusätzliche Kriterien;</w:t>
      </w:r>
    </w:p>
    <w:p>
      <w:pPr>
        <w:pStyle w:val="Compact"/>
        <w:numPr>
          <w:ilvl w:val="0"/>
          <w:numId w:val="1002"/>
        </w:numPr>
      </w:pPr>
      <w:r>
        <w:t xml:space="preserve">für eine vorgegebene Busmap: Optimierung äquivalenter Impedanzen</w:t>
      </w:r>
      <w:r>
        <w:t xml:space="preserve"> </w:t>
      </w:r>
      <w:r>
        <w:rPr>
          <w:b/>
          <w:bCs/>
        </w:rPr>
        <w:t xml:space="preserve">und</w:t>
      </w:r>
      <w:r>
        <w:t xml:space="preserve"> </w:t>
      </w:r>
      <w:r>
        <w:t xml:space="preserve">struktureller Nullbilanzflusskorrekturen anhand synchroner Ziel-Flüsse;</w:t>
      </w:r>
    </w:p>
    <w:p>
      <w:pPr>
        <w:pStyle w:val="Compact"/>
        <w:numPr>
          <w:ilvl w:val="0"/>
          <w:numId w:val="1002"/>
        </w:numPr>
      </w:pPr>
      <w:r>
        <w:t xml:space="preserve">Ableitung von vier Kapazitäten je Interzonenverbindung (Sommer/Winter, beide Richtungen) aus stündlichen physikalischen Leitungsflüssen und LODF-basierter N-1-Belastung;</w:t>
      </w:r>
    </w:p>
    <w:p>
      <w:pPr>
        <w:pStyle w:val="Compact"/>
        <w:numPr>
          <w:ilvl w:val="0"/>
          <w:numId w:val="1002"/>
        </w:numPr>
      </w:pPr>
      <w:r>
        <w:t xml:space="preserve">iterative Anpassung der Busmap nach Fluss-RMSE und Kapazitätsqualität; Aufteilung der Markt-, Last-, Erzeugungs- und Speicherdaten auf Zonen.</w:t>
      </w:r>
    </w:p>
    <w:p>
      <w:pPr>
        <w:pStyle w:val="FirstParagraph"/>
      </w:pPr>
      <w:r>
        <w:rPr>
          <w:b/>
          <w:bCs/>
        </w:rPr>
        <w:t xml:space="preserve">Quellen:</w:t>
      </w:r>
      <w:r>
        <w:t xml:space="preserve"> </w:t>
      </w:r>
      <w:r>
        <w:t xml:space="preserve">[E1, S. 21–29, 45–51]. Weder die vollständige Clustering-Zielfunktion noch die Optimierer-/Solverkonfiguration der Impedanzkalibrierung noch das allgemeine Kapazitätsregressionsmodell werden veröffentlicht. Gleichungen in den nächsten Abschnitten sind deshalb rekonstruiert oder zusätzlich vorgeschlagen.</w:t>
      </w:r>
    </w:p>
    <w:bookmarkEnd w:id="28"/>
    <w:bookmarkStart w:id="29" w:name="normative-bewertungsperspektive"/>
    <w:p>
      <w:pPr>
        <w:pStyle w:val="Heading2"/>
      </w:pPr>
      <w:r>
        <w:t xml:space="preserve">3.2 Normative Bewertungsperspektive</w:t>
      </w:r>
    </w:p>
    <w:p>
      <w:pPr>
        <w:pStyle w:val="FirstParagraph"/>
      </w:pPr>
      <w:r>
        <w:t xml:space="preserve">Die zentrale Frage ist nicht, ob ein Verfahren ähnliche mathematische Begriffe verwendet, sondern</w:t>
      </w:r>
      <w:r>
        <w:t xml:space="preserve"> </w:t>
      </w:r>
      <w:r>
        <w:rPr>
          <w:b/>
          <w:bCs/>
        </w:rPr>
        <w:t xml:space="preserve">welche konkreten IoSN-Anforderungen</w:t>
      </w:r>
      <w:r>
        <w:t xml:space="preserve"> </w:t>
      </w:r>
      <w:r>
        <w:t xml:space="preserve">nachweisbar erfüllt werden. In jedem Methodenkapitel werden daher vier Kategorien ausgewiesen: (i) IoSN-Nähe, (ii) explizite Abweichungen, (iii) offene Daten-/Numerikannahmen, (iv) prüfbare Entscheidungskriterien.</w:t>
      </w:r>
    </w:p>
    <w:bookmarkEnd w:id="29"/>
    <w:bookmarkEnd w:id="30"/>
    <w:bookmarkStart w:id="34" w:name="zwei-eigenständige-clustering-methoden"/>
    <w:p>
      <w:pPr>
        <w:pStyle w:val="Heading1"/>
      </w:pPr>
      <w:r>
        <w:t xml:space="preserve">4. Zwei eigenständige Clustering-Methoden</w:t>
      </w:r>
    </w:p>
    <w:bookmarkStart w:id="31" w:name="Xefcc0cc1772b5831eb5b2483a142d12edeff96a"/>
    <w:p>
      <w:pPr>
        <w:pStyle w:val="Heading2"/>
      </w:pPr>
      <w:r>
        <w:t xml:space="preserve">4.1 Methode A: vollständiger Dispatch und Überlastungsenergie</w:t>
      </w:r>
    </w:p>
    <w:p>
      <w:pPr>
        <w:pStyle w:val="FirstParagraph"/>
      </w:pPr>
      <w:r>
        <w:rPr>
          <w:b/>
          <w:bCs/>
        </w:rPr>
        <w:t xml:space="preserve">[D/R]</w:t>
      </w:r>
      <w:r>
        <w:t xml:space="preserve"> </w:t>
      </w:r>
      <w:r>
        <w:t xml:space="preserve">Aus einem vollständig bilanzierten Dispatch, der konventionelle Erzeugung, Erneuerbare nach Abregelung, Speicher, HVDC-Terminale und Lasten einschließt, folgt für jede Stunde</w:t>
      </w:r>
    </w:p>
    <w:p>
      <w:pPr>
        <w:pStyle w:val="BodyText"/>
      </w:pPr>
      <m:oMathPara>
        <m:oMathParaPr>
          <m:jc m:val="center"/>
        </m:oMathParaPr>
        <m:oMath>
          <m:sSubSup>
            <m:e>
              <m:r>
                <m:t>p</m:t>
              </m:r>
            </m:e>
            <m:sub>
              <m:r>
                <m:t>d</m:t>
              </m:r>
              <m:r>
                <m:rPr>
                  <m:sty m:val="p"/>
                </m:rPr>
                <m:t>,</m:t>
              </m:r>
              <m:r>
                <m:t>t</m:t>
              </m:r>
            </m:sub>
            <m:sup>
              <m:r>
                <m:t>A</m:t>
              </m:r>
            </m:sup>
          </m:sSubSup>
          <m:r>
            <m:rPr>
              <m:sty m:val="p"/>
            </m:rPr>
            <m:t>=</m:t>
          </m:r>
          <m:sSubSup>
            <m:e>
              <m:r>
                <m:t>p</m:t>
              </m:r>
            </m:e>
            <m:sub>
              <m:r>
                <m:rPr>
                  <m:sty m:val="p"/>
                </m:rPr>
                <m:t>R</m:t>
              </m:r>
              <m:r>
                <m:rPr>
                  <m:sty m:val="p"/>
                </m:rPr>
                <m:t>E</m:t>
              </m:r>
              <m:r>
                <m:rPr>
                  <m:sty m:val="p"/>
                </m:rPr>
                <m:t>S</m:t>
              </m:r>
              <m:r>
                <m:rPr>
                  <m:sty m:val="p"/>
                </m:rPr>
                <m:t>,</m:t>
              </m:r>
              <m:r>
                <m:t>t</m:t>
              </m:r>
            </m:sub>
            <m:sup>
              <m:r>
                <m:rPr>
                  <m:sty m:val="p"/>
                </m:rPr>
                <m:t>a</m:t>
              </m:r>
              <m:r>
                <m:rPr>
                  <m:sty m:val="p"/>
                </m:rPr>
                <m:t>c</m:t>
              </m:r>
              <m:r>
                <m:rPr>
                  <m:sty m:val="p"/>
                </m:rPr>
                <m:t>t</m:t>
              </m:r>
              <m:r>
                <m:rPr>
                  <m:sty m:val="p"/>
                </m:rPr>
                <m:t>u</m:t>
              </m:r>
              <m:r>
                <m:rPr>
                  <m:sty m:val="p"/>
                </m:rPr>
                <m:t>a</m:t>
              </m:r>
              <m:r>
                <m:rPr>
                  <m:sty m:val="p"/>
                </m:rPr>
                <m:t>l</m:t>
              </m:r>
            </m:sup>
          </m:sSubSup>
          <m:r>
            <m:rPr>
              <m:sty m:val="p"/>
            </m:rPr>
            <m:t>+</m:t>
          </m:r>
          <m:sSub>
            <m:e>
              <m:r>
                <m:t>p</m:t>
              </m:r>
            </m:e>
            <m:sub>
              <m:r>
                <m:rPr>
                  <m:sty m:val="p"/>
                </m:rPr>
                <m:t>c</m:t>
              </m:r>
              <m:r>
                <m:rPr>
                  <m:sty m:val="p"/>
                </m:rPr>
                <m:t>o</m:t>
              </m:r>
              <m:r>
                <m:rPr>
                  <m:sty m:val="p"/>
                </m:rPr>
                <m:t>n</m:t>
              </m:r>
              <m:r>
                <m:rPr>
                  <m:sty m:val="p"/>
                </m:rPr>
                <m:t>v</m:t>
              </m:r>
              <m:r>
                <m:rPr>
                  <m:sty m:val="p"/>
                </m:rPr>
                <m:t>,</m:t>
              </m:r>
              <m:r>
                <m:t>t</m:t>
              </m:r>
            </m:sub>
          </m:sSub>
          <m:r>
            <m:rPr>
              <m:sty m:val="p"/>
            </m:rPr>
            <m:t>+</m:t>
          </m:r>
          <m:sSub>
            <m:e>
              <m:r>
                <m:t>p</m:t>
              </m:r>
            </m:e>
            <m:sub>
              <m:r>
                <m:rPr>
                  <m:sty m:val="p"/>
                </m:rPr>
                <m:t>s</m:t>
              </m:r>
              <m:r>
                <m:rPr>
                  <m:sty m:val="p"/>
                </m:rPr>
                <m:t>t</m:t>
              </m:r>
              <m:r>
                <m:rPr>
                  <m:sty m:val="p"/>
                </m:rPr>
                <m:t>o</m:t>
              </m:r>
              <m:r>
                <m:rPr>
                  <m:sty m:val="p"/>
                </m:rPr>
                <m:t>r</m:t>
              </m:r>
              <m:r>
                <m:rPr>
                  <m:sty m:val="p"/>
                </m:rPr>
                <m:t>a</m:t>
              </m:r>
              <m:r>
                <m:rPr>
                  <m:sty m:val="p"/>
                </m:rPr>
                <m:t>g</m:t>
              </m:r>
              <m:r>
                <m:rPr>
                  <m:sty m:val="p"/>
                </m:rPr>
                <m:t>e</m:t>
              </m:r>
              <m:r>
                <m:rPr>
                  <m:sty m:val="p"/>
                </m:rPr>
                <m:t>,</m:t>
              </m:r>
              <m:r>
                <m:t>t</m:t>
              </m:r>
            </m:sub>
          </m:sSub>
          <m:r>
            <m:rPr>
              <m:sty m:val="p"/>
            </m:rPr>
            <m:t>+</m:t>
          </m:r>
          <m:sSub>
            <m:e>
              <m:r>
                <m:t>p</m:t>
              </m:r>
            </m:e>
            <m:sub>
              <m:r>
                <m:rPr>
                  <m:sty m:val="p"/>
                </m:rPr>
                <m:t>H</m:t>
              </m:r>
              <m:r>
                <m:rPr>
                  <m:sty m:val="p"/>
                </m:rPr>
                <m:t>V</m:t>
              </m:r>
              <m:r>
                <m:rPr>
                  <m:sty m:val="p"/>
                </m:rPr>
                <m:t>D</m:t>
              </m:r>
              <m:r>
                <m:rPr>
                  <m:sty m:val="p"/>
                </m:rPr>
                <m:t>C</m:t>
              </m:r>
              <m:r>
                <m:rPr>
                  <m:sty m:val="p"/>
                </m:rPr>
                <m:t>,</m:t>
              </m:r>
              <m:r>
                <m:t>t</m:t>
              </m:r>
            </m:sub>
          </m:sSub>
          <m:r>
            <m:rPr>
              <m:sty m:val="p"/>
            </m:rPr>
            <m:t>−</m:t>
          </m:r>
          <m:sSub>
            <m:e>
              <m:r>
                <m:t>p</m:t>
              </m:r>
            </m:e>
            <m:sub>
              <m:r>
                <m:rPr>
                  <m:sty m:val="p"/>
                </m:rPr>
                <m:t>l</m:t>
              </m:r>
              <m:r>
                <m:rPr>
                  <m:sty m:val="p"/>
                </m:rPr>
                <m:t>o</m:t>
              </m:r>
              <m:r>
                <m:rPr>
                  <m:sty m:val="p"/>
                </m:rPr>
                <m:t>a</m:t>
              </m:r>
              <m:r>
                <m:rPr>
                  <m:sty m:val="p"/>
                </m:rPr>
                <m:t>d</m:t>
              </m:r>
              <m:r>
                <m:rPr>
                  <m:sty m:val="p"/>
                </m:rPr>
                <m:t>,</m:t>
              </m:r>
              <m:r>
                <m:t>t</m:t>
              </m:r>
            </m:sub>
          </m:sSub>
          <m:r>
            <m:rPr>
              <m:sty m:val="p"/>
            </m:rPr>
            <m:t>;</m:t>
          </m:r>
          <m:r>
            <m:t> </m:t>
          </m:r>
          <m:sSubSup>
            <m:e>
              <m:r>
                <m:t>f</m:t>
              </m:r>
            </m:e>
            <m:sub>
              <m:r>
                <m:t>d</m:t>
              </m:r>
              <m:r>
                <m:rPr>
                  <m:sty m:val="p"/>
                </m:rPr>
                <m:t>,</m:t>
              </m:r>
              <m:r>
                <m:t>t</m:t>
              </m:r>
            </m:sub>
            <m:sup>
              <m:r>
                <m:t>A</m:t>
              </m:r>
            </m:sup>
          </m:sSubSup>
          <m:r>
            <m:rPr>
              <m:sty m:val="p"/>
            </m:rPr>
            <m:t>=</m:t>
          </m:r>
          <m:sSub>
            <m:e>
              <m:r>
                <m:t>H</m:t>
              </m:r>
            </m:e>
            <m:sub>
              <m:r>
                <m:t>d</m:t>
              </m:r>
            </m:sub>
          </m:sSub>
          <m:sSubSup>
            <m:e>
              <m:r>
                <m:t>p</m:t>
              </m:r>
            </m:e>
            <m:sub>
              <m:r>
                <m:t>d</m:t>
              </m:r>
              <m:r>
                <m:rPr>
                  <m:sty m:val="p"/>
                </m:rPr>
                <m:t>,</m:t>
              </m:r>
              <m:r>
                <m:t>t</m:t>
              </m:r>
            </m:sub>
            <m:sup>
              <m:r>
                <m:t>A</m:t>
              </m:r>
            </m:sup>
          </m:sSubSup>
          <m:r>
            <m:rPr>
              <m:sty m:val="p"/>
            </m:rPr>
            <m:t>+</m:t>
          </m:r>
          <m:sSubSup>
            <m:e>
              <m:r>
                <m:t>b</m:t>
              </m:r>
            </m:e>
            <m:sub>
              <m:r>
                <m:t>t</m:t>
              </m:r>
            </m:sub>
            <m:sup>
              <m:r>
                <m:t>ϕ</m:t>
              </m:r>
            </m:sup>
          </m:sSubSup>
          <m:r>
            <m:rPr>
              <m:sty m:val="p"/>
            </m:rPr>
            <m:t>.</m:t>
          </m:r>
        </m:oMath>
      </m:oMathPara>
    </w:p>
    <w:p>
      <w:pPr>
        <w:pStyle w:val="FirstParagraph"/>
      </w:pPr>
      <w:r>
        <w:t xml:space="preserve">Hier sind alle Terme</w:t>
      </w:r>
      <w:r>
        <w:t xml:space="preserve"> </w:t>
      </w:r>
      <w:r>
        <w:rPr>
          <w:b/>
          <w:bCs/>
        </w:rPr>
        <w:t xml:space="preserve">Nettoeinspeisungen am AC-Knoten</w:t>
      </w:r>
      <w:r>
        <w:t xml:space="preserve"> </w:t>
      </w:r>
      <w:r>
        <w:t xml:space="preserve">und ihre Vorzeichen im Datenvertrag festgelegt. Die in [E1, Anhang 6.1] berichtete jährliche Überlastungsenergie kann als</w:t>
      </w:r>
    </w:p>
    <w:p>
      <w:pPr>
        <w:pStyle w:val="BodyText"/>
      </w:pPr>
      <w:r>
        <w:rPr>
          <w:b/>
          <w:bCs/>
        </w:rPr>
        <w:t xml:space="preserve">(C1) Überlastungsscore [D/R].</w:t>
      </w:r>
    </w:p>
    <w:p>
      <w:pPr>
        <w:pStyle w:val="BodyText"/>
      </w:pPr>
      <m:oMathPara>
        <m:oMathParaPr>
          <m:jc m:val="center"/>
        </m:oMathParaPr>
        <m:oMath>
          <m:sSubSup>
            <m:e>
              <m:r>
                <m:t>S</m:t>
              </m:r>
            </m:e>
            <m:sub>
              <m:r>
                <m:rPr>
                  <m:sty m:val="p"/>
                </m:rPr>
                <m:t>ℓ</m:t>
              </m:r>
              <m:r>
                <m:rPr>
                  <m:sty m:val="p"/>
                </m:rPr>
                <m:t>,</m:t>
              </m:r>
              <m:r>
                <m:t>s</m:t>
              </m:r>
            </m:sub>
            <m:sup>
              <m:r>
                <m:t>A</m:t>
              </m:r>
            </m:sup>
          </m:sSubSup>
          <m:r>
            <m:rPr>
              <m:sty m:val="p"/>
            </m:rPr>
            <m:t>=</m:t>
          </m:r>
          <m:nary>
            <m:naryPr>
              <m:chr m:val="∑"/>
              <m:limLoc m:val="undOvr"/>
              <m:subHide m:val="off"/>
              <m:supHide m:val="on"/>
            </m:naryPr>
            <m:sub>
              <m:r>
                <m:t>t</m:t>
              </m:r>
              <m:r>
                <m:rPr>
                  <m:sty m:val="p"/>
                </m:rPr>
                <m:t>∈</m:t>
              </m:r>
              <m:sSub>
                <m:e>
                  <m:r>
                    <m:rPr>
                      <m:sty m:val="p"/>
                      <m:scr m:val="script"/>
                    </m:rPr>
                    <m:t>T</m:t>
                  </m:r>
                </m:e>
                <m:sub>
                  <m:r>
                    <m:t>s</m:t>
                  </m:r>
                </m:sub>
              </m:sSub>
            </m:sub>
            <m:sup>
              <m:r>
                <m:t>​</m:t>
              </m:r>
            </m:sup>
            <m:e>
              <m:r>
                <m:t>Δ</m:t>
              </m:r>
            </m:e>
          </m:nary>
          <m:sSub>
            <m:e>
              <m:r>
                <m:t>t</m:t>
              </m:r>
            </m:e>
            <m:sub>
              <m:r>
                <m:t>t</m:t>
              </m:r>
            </m:sub>
          </m:sSub>
          <m:r>
            <m:t> </m:t>
          </m:r>
          <m:r>
            <m:rPr>
              <m:sty m:val="p"/>
            </m:rPr>
            <m:t>max</m:t>
          </m:r>
          <m:r>
            <m:rPr>
              <m:sty m:val="p"/>
            </m:rPr>
            <m:t>{</m:t>
          </m:r>
          <m:r>
            <m:t>0</m:t>
          </m:r>
          <m:r>
            <m:rPr>
              <m:sty m:val="p"/>
            </m:rPr>
            <m:t>,</m:t>
          </m:r>
          <m:r>
            <m:rPr>
              <m:sty m:val="p"/>
            </m:rPr>
            <m:t>|</m:t>
          </m:r>
          <m:sSubSup>
            <m:e>
              <m:r>
                <m:t>f</m:t>
              </m:r>
            </m:e>
            <m:sub>
              <m:r>
                <m:rPr>
                  <m:sty m:val="p"/>
                </m:rPr>
                <m:t>ℓ</m:t>
              </m:r>
              <m:r>
                <m:rPr>
                  <m:sty m:val="p"/>
                </m:rPr>
                <m:t>,</m:t>
              </m:r>
              <m:r>
                <m:t>t</m:t>
              </m:r>
            </m:sub>
            <m:sup>
              <m:r>
                <m:t>A</m:t>
              </m:r>
            </m:sup>
          </m:sSubSup>
          <m:r>
            <m:rPr>
              <m:sty m:val="p"/>
            </m:rPr>
            <m:t>|</m:t>
          </m:r>
          <m:r>
            <m:rPr>
              <m:sty m:val="p"/>
            </m:rPr>
            <m:t>−</m:t>
          </m:r>
          <m:sSub>
            <m:e>
              <m:bar>
                <m:barPr>
                  <m:pos m:val="top"/>
                </m:barPr>
                <m:e>
                  <m:r>
                    <m:t>F</m:t>
                  </m:r>
                </m:e>
              </m:bar>
            </m:e>
            <m:sub>
              <m:r>
                <m:rPr>
                  <m:sty m:val="p"/>
                </m:rPr>
                <m:t>ℓ</m:t>
              </m:r>
              <m:r>
                <m:rPr>
                  <m:sty m:val="p"/>
                </m:rPr>
                <m:t>,</m:t>
              </m:r>
              <m:r>
                <m:t>t</m:t>
              </m:r>
            </m:sub>
          </m:sSub>
          <m:r>
            <m:rPr>
              <m:sty m:val="p"/>
            </m:rPr>
            <m:t>}</m:t>
          </m:r>
        </m:oMath>
      </m:oMathPara>
    </w:p>
    <w:p>
      <w:pPr>
        <w:pStyle w:val="FirstParagraph"/>
      </w:pPr>
      <w:r>
        <w:t xml:space="preserve">geschrieben werden. Mehrere Szenarien werden zunächst</w:t>
      </w:r>
      <w:r>
        <w:t xml:space="preserve"> </w:t>
      </w:r>
      <w:r>
        <w:rPr>
          <w:b/>
          <w:bCs/>
        </w:rPr>
        <w:t xml:space="preserve">getrennt</w:t>
      </w:r>
      <w:r>
        <w:t xml:space="preserve"> </w:t>
      </w:r>
      <w:r>
        <w:t xml:space="preserve">betrachtet; eine gewichtete Aggregation über Szenarien ist eine weitere, nicht normativ bestimmte Entscheidung.</w:t>
      </w:r>
    </w:p>
    <w:p>
      <w:pPr>
        <w:pStyle w:val="BodyText"/>
      </w:pPr>
      <w:r>
        <w:rPr>
          <w:b/>
          <w:bCs/>
        </w:rPr>
        <w:t xml:space="preserve">Optionale Optimierungsformulierung [E]:</w:t>
      </w:r>
      <w:r>
        <w:t xml:space="preserve"> </w:t>
      </w:r>
      <w:r>
        <w:t xml:space="preserve">Für eine zulässige Busmap</w:t>
      </w:r>
      <w:r>
        <w:t xml:space="preserve"> </w:t>
      </w:r>
      <m:oMath>
        <m:r>
          <m:t>z</m:t>
        </m:r>
      </m:oMath>
      <w:r>
        <w:t xml:space="preserve"> </w:t>
      </w:r>
      <w:r>
        <w:t xml:space="preserve">mit</w:t>
      </w:r>
      <w:r>
        <w:t xml:space="preserve"> </w:t>
      </w:r>
      <m:oMath>
        <m:r>
          <m:t>Z</m:t>
        </m:r>
      </m:oMath>
      <w:r>
        <w:t xml:space="preserve"> </w:t>
      </w:r>
      <w:r>
        <w:t xml:space="preserve">verbundenen Zonen minimiere man</w:t>
      </w:r>
    </w:p>
    <w:p>
      <w:pPr>
        <w:pStyle w:val="BodyText"/>
      </w:pPr>
      <m:oMathPara>
        <m:oMathParaPr>
          <m:jc m:val="center"/>
        </m:oMathParaPr>
        <m:oMath>
          <m:sSub>
            <m:e>
              <m:r>
                <m:t>J</m:t>
              </m:r>
            </m:e>
            <m:sub>
              <m:r>
                <m:t>A</m:t>
              </m:r>
            </m:sub>
          </m:sSub>
          <m:d>
            <m:dPr>
              <m:begChr m:val="("/>
              <m:endChr m:val=")"/>
              <m:sepChr m:val=""/>
              <m:grow/>
            </m:dPr>
            <m:e>
              <m:r>
                <m:t>z</m:t>
              </m:r>
            </m:e>
          </m:d>
          <m:r>
            <m:rPr>
              <m:sty m:val="p"/>
            </m:rPr>
            <m:t>=</m:t>
          </m:r>
          <m:nary>
            <m:naryPr>
              <m:chr m:val="∑"/>
              <m:limLoc m:val="undOvr"/>
              <m:subHide m:val="off"/>
              <m:supHide m:val="on"/>
            </m:naryPr>
            <m:sub>
              <m:r>
                <m:rPr>
                  <m:sty m:val="p"/>
                </m:rPr>
                <m:t>ℓ</m:t>
              </m:r>
              <m:r>
                <m:rPr>
                  <m:sty m:val="p"/>
                </m:rPr>
                <m:t>=</m:t>
              </m:r>
              <m:d>
                <m:dPr>
                  <m:begChr m:val="("/>
                  <m:endChr m:val=")"/>
                  <m:sepChr m:val=""/>
                  <m:grow/>
                </m:dPr>
                <m:e>
                  <m:r>
                    <m:t>i</m:t>
                  </m:r>
                  <m:r>
                    <m:rPr>
                      <m:sty m:val="p"/>
                    </m:rPr>
                    <m:t>,</m:t>
                  </m:r>
                  <m:r>
                    <m:t>j</m:t>
                  </m:r>
                </m:e>
              </m:d>
            </m:sub>
            <m:sup>
              <m:r>
                <m:t>​</m:t>
              </m:r>
            </m:sup>
            <m:e>
              <m:sSubSup>
                <m:e>
                  <m:r>
                    <m:t>w</m:t>
                  </m:r>
                </m:e>
                <m:sub>
                  <m:r>
                    <m:rPr>
                      <m:sty m:val="p"/>
                    </m:rPr>
                    <m:t>ℓ</m:t>
                  </m:r>
                </m:sub>
                <m:sup>
                  <m:r>
                    <m:t>A</m:t>
                  </m:r>
                </m:sup>
              </m:sSubSup>
            </m:e>
          </m:nary>
          <m:r>
            <m:t> </m:t>
          </m:r>
          <m:r>
            <m:rPr>
              <m:sty m:val="p"/>
              <m:scr m:val="double-struck"/>
            </m:rPr>
            <m:t>1</m:t>
          </m:r>
          <m:r>
            <m:rPr>
              <m:sty m:val="p"/>
            </m:rPr>
            <m:t>{</m:t>
          </m:r>
          <m:r>
            <m:t>z</m:t>
          </m:r>
          <m:d>
            <m:dPr>
              <m:begChr m:val="("/>
              <m:endChr m:val=")"/>
              <m:sepChr m:val=""/>
              <m:grow/>
            </m:dPr>
            <m:e>
              <m:r>
                <m:t>i</m:t>
              </m:r>
            </m:e>
          </m:d>
          <m:r>
            <m:rPr>
              <m:sty m:val="p"/>
            </m:rPr>
            <m:t>=</m:t>
          </m:r>
          <m:r>
            <m:t>z</m:t>
          </m:r>
          <m:d>
            <m:dPr>
              <m:begChr m:val="("/>
              <m:endChr m:val=")"/>
              <m:sepChr m:val=""/>
              <m:grow/>
            </m:dPr>
            <m:e>
              <m:r>
                <m:t>j</m:t>
              </m:r>
            </m:e>
          </m:d>
          <m:r>
            <m:rPr>
              <m:sty m:val="p"/>
            </m:rPr>
            <m:t>}</m:t>
          </m:r>
          <m:r>
            <m:rPr>
              <m:sty m:val="p"/>
            </m:rPr>
            <m:t>,</m:t>
          </m:r>
          <m:r>
            <m:t>  </m:t>
          </m:r>
          <m:sSubSup>
            <m:e>
              <m:r>
                <m:t>w</m:t>
              </m:r>
            </m:e>
            <m:sub>
              <m:r>
                <m:rPr>
                  <m:sty m:val="p"/>
                </m:rPr>
                <m:t>ℓ</m:t>
              </m:r>
            </m:sub>
            <m:sup>
              <m:r>
                <m:t>A</m:t>
              </m:r>
            </m:sup>
          </m:sSubSup>
          <m:r>
            <m:rPr>
              <m:sty m:val="p"/>
            </m:rPr>
            <m:t>∝</m:t>
          </m:r>
          <m:sSubSup>
            <m:e>
              <m:r>
                <m:t>S</m:t>
              </m:r>
            </m:e>
            <m:sub>
              <m:r>
                <m:rPr>
                  <m:sty m:val="p"/>
                </m:rPr>
                <m:t>ℓ</m:t>
              </m:r>
            </m:sub>
            <m:sup>
              <m:r>
                <m:t>A</m:t>
              </m:r>
            </m:sup>
          </m:sSubSup>
          <m:r>
            <m:rPr>
              <m:sty m:val="p"/>
            </m:rPr>
            <m:t>,</m:t>
          </m:r>
        </m:oMath>
      </m:oMathPara>
    </w:p>
    <w:p>
      <w:pPr>
        <w:pStyle w:val="FirstParagraph"/>
      </w:pPr>
      <w:r>
        <w:t xml:space="preserve">unter Konnektivitäts-, Zonenbudget- und Länderrestriktionen. Diese Formel ist eine</w:t>
      </w:r>
      <w:r>
        <w:t xml:space="preserve"> </w:t>
      </w:r>
      <w:r>
        <w:rPr>
          <w:b/>
          <w:bCs/>
        </w:rPr>
        <w:t xml:space="preserve">Forschungsrekonstruktion</w:t>
      </w:r>
      <w:r>
        <w:t xml:space="preserve">, nicht der veröffentlichte Clustering-Code von ENTSO-E. Nicht jede kritische Leitung kann bei festem</w:t>
      </w:r>
      <w:r>
        <w:t xml:space="preserve"> </w:t>
      </w:r>
      <m:oMath>
        <m:r>
          <m:t>Z</m:t>
        </m:r>
      </m:oMath>
      <w:r>
        <w:t xml:space="preserve"> </w:t>
      </w:r>
      <w:r>
        <w:t xml:space="preserve">zwangsläufig eine Zonengrenze werden.</w:t>
      </w:r>
    </w:p>
    <w:p>
      <w:pPr>
        <w:pStyle w:val="BodyText"/>
      </w:pPr>
      <w:r>
        <w:rPr>
          <w:b/>
          <w:bCs/>
        </w:rPr>
        <w:t xml:space="preserve">Stärken:</w:t>
      </w:r>
      <w:r>
        <w:t xml:space="preserve"> </w:t>
      </w:r>
      <w:r>
        <w:t xml:space="preserve">direkter Bezug zu potenziellen physikalischen Engpässen; Erfassung von Transit-, Import- und flexiblem Dispatch; gute IoSN-Treue.</w:t>
      </w:r>
      <w:r>
        <w:t xml:space="preserve"> </w:t>
      </w:r>
      <w:r>
        <w:rPr>
          <w:b/>
          <w:bCs/>
        </w:rPr>
        <w:t xml:space="preserve">Schwächen:</w:t>
      </w:r>
      <w:r>
        <w:t xml:space="preserve"> </w:t>
      </w:r>
      <w:r>
        <w:t xml:space="preserve">endogen gegenüber Marktergebnis, Brennstoffpreisen, Speicherstrategie und ggf. präventivem Redispatch; Extremstundengewichtung und Netzgrenzen beeinflussen die Rangfolge.</w:t>
      </w:r>
    </w:p>
    <w:p>
      <w:pPr>
        <w:pStyle w:val="BodyText"/>
      </w:pPr>
      <w:r>
        <w:rPr>
          <w:b/>
          <w:bCs/>
        </w:rPr>
        <w:t xml:space="preserve">IoSN-Abgleich:</w:t>
      </w:r>
      <w:r>
        <w:t xml:space="preserve"> </w:t>
      </w:r>
      <w:r>
        <w:rPr>
          <w:i/>
          <w:iCs/>
        </w:rPr>
        <w:t xml:space="preserve">konzeptionell direkt</w:t>
      </w:r>
      <w:r>
        <w:t xml:space="preserve"> </w:t>
      </w:r>
      <w:r>
        <w:t xml:space="preserve">für Überlastungsenergie und Engpassschutz;</w:t>
      </w:r>
      <w:r>
        <w:t xml:space="preserve"> </w:t>
      </w:r>
      <w:r>
        <w:rPr>
          <w:i/>
          <w:iCs/>
        </w:rPr>
        <w:t xml:space="preserve">eigener Entwurf</w:t>
      </w:r>
      <w:r>
        <w:t xml:space="preserve"> </w:t>
      </w:r>
      <w:r>
        <w:t xml:space="preserve">für das konkrete gewichtete Clustering-Optimierungsproblem und die Wahl der Szenariogewichte.</w:t>
      </w:r>
    </w:p>
    <w:bookmarkEnd w:id="31"/>
    <w:bookmarkStart w:id="32" w:name="X0b5bce7c671e46e342987a7001fb65ae26dbe8c"/>
    <w:p>
      <w:pPr>
        <w:pStyle w:val="Heading2"/>
      </w:pPr>
      <w:r>
        <w:t xml:space="preserve">4.2 Methode B: allgemeine RES-/Last-induzierte Leitungsbeanspruchung</w:t>
      </w:r>
    </w:p>
    <w:p>
      <w:pPr>
        <w:pStyle w:val="FirstParagraph"/>
      </w:pPr>
      <w:r>
        <w:rPr>
          <w:b/>
          <w:bCs/>
        </w:rPr>
        <w:t xml:space="preserve">[E]</w:t>
      </w:r>
      <w:r>
        <w:t xml:space="preserve"> </w:t>
      </w:r>
      <w:r>
        <w:t xml:space="preserve">Um marktoptimierten konventionellen Dispatch im ersten Schritt zu vermeiden, werden die exogenen nodalen Größen</w:t>
      </w:r>
    </w:p>
    <w:p>
      <w:pPr>
        <w:pStyle w:val="BodyText"/>
      </w:pPr>
      <m:oMathPara>
        <m:oMathParaPr>
          <m:jc m:val="center"/>
        </m:oMathParaPr>
        <m:oMath>
          <m:sSub>
            <m:e>
              <m:r>
                <m:t>q</m:t>
              </m:r>
            </m:e>
            <m:sub>
              <m:r>
                <m:t>t</m:t>
              </m:r>
            </m:sub>
          </m:sSub>
          <m:r>
            <m:rPr>
              <m:sty m:val="p"/>
            </m:rPr>
            <m:t>=</m:t>
          </m:r>
          <m:sSubSup>
            <m:e>
              <m:r>
                <m:t>p</m:t>
              </m:r>
            </m:e>
            <m:sub>
              <m:r>
                <m:t>t</m:t>
              </m:r>
            </m:sub>
            <m:sup>
              <m:r>
                <m:rPr>
                  <m:sty m:val="p"/>
                </m:rPr>
                <m:t>R</m:t>
              </m:r>
              <m:r>
                <m:rPr>
                  <m:sty m:val="p"/>
                </m:rPr>
                <m:t>E</m:t>
              </m:r>
              <m:r>
                <m:rPr>
                  <m:sty m:val="p"/>
                </m:rPr>
                <m:t>S</m:t>
              </m:r>
              <m:r>
                <m:rPr>
                  <m:sty m:val="p"/>
                </m:rPr>
                <m:t>,</m:t>
              </m:r>
              <m:r>
                <m:rPr>
                  <m:sty m:val="p"/>
                </m:rPr>
                <m:t>a</m:t>
              </m:r>
              <m:r>
                <m:rPr>
                  <m:sty m:val="p"/>
                </m:rPr>
                <m:t>v</m:t>
              </m:r>
              <m:r>
                <m:rPr>
                  <m:sty m:val="p"/>
                </m:rPr>
                <m:t>a</m:t>
              </m:r>
              <m:r>
                <m:rPr>
                  <m:sty m:val="p"/>
                </m:rPr>
                <m:t>i</m:t>
              </m:r>
              <m:r>
                <m:rPr>
                  <m:sty m:val="p"/>
                </m:rPr>
                <m:t>l</m:t>
              </m:r>
            </m:sup>
          </m:sSubSup>
          <m:r>
            <m:rPr>
              <m:sty m:val="p"/>
            </m:rPr>
            <m:t>−</m:t>
          </m:r>
          <m:sSubSup>
            <m:e>
              <m:r>
                <m:t>p</m:t>
              </m:r>
            </m:e>
            <m:sub>
              <m:r>
                <m:t>t</m:t>
              </m:r>
            </m:sub>
            <m:sup>
              <m:r>
                <m:rPr>
                  <m:sty m:val="p"/>
                </m:rPr>
                <m:t>l</m:t>
              </m:r>
              <m:r>
                <m:rPr>
                  <m:sty m:val="p"/>
                </m:rPr>
                <m:t>o</m:t>
              </m:r>
              <m:r>
                <m:rPr>
                  <m:sty m:val="p"/>
                </m:rPr>
                <m:t>a</m:t>
              </m:r>
              <m:r>
                <m:rPr>
                  <m:sty m:val="p"/>
                </m:rPr>
                <m:t>d</m:t>
              </m:r>
            </m:sup>
          </m:sSubSup>
        </m:oMath>
      </m:oMathPara>
    </w:p>
    <w:p>
      <w:pPr>
        <w:pStyle w:val="FirstParagraph"/>
      </w:pPr>
      <w:r>
        <w:t xml:space="preserve">verwendet. Da</w:t>
      </w:r>
      <w:r>
        <w:t xml:space="preserve"> </w:t>
      </w:r>
      <m:oMath>
        <m:sSup>
          <m:e>
            <m:r>
              <m:rPr>
                <m:sty m:val="b"/>
              </m:rPr>
              <m:t>1</m:t>
            </m:r>
          </m:e>
          <m:sup>
            <m:r>
              <m:rPr>
                <m:sty m:val="p"/>
                <m:scr m:val="sans-serif"/>
              </m:rPr>
              <m:t>T</m:t>
            </m:r>
          </m:sup>
        </m:sSup>
        <m:sSub>
          <m:e>
            <m:r>
              <m:t>q</m:t>
            </m:r>
          </m:e>
          <m:sub>
            <m:r>
              <m:t>t</m:t>
            </m:r>
          </m:sub>
        </m:sSub>
        <m:r>
          <m:rPr>
            <m:sty m:val="p"/>
          </m:rPr>
          <m:t>≠</m:t>
        </m:r>
        <m:r>
          <m:t>0</m:t>
        </m:r>
      </m:oMath>
      <w:r>
        <w:t xml:space="preserve"> </w:t>
      </w:r>
      <w:r>
        <w:t xml:space="preserve">auftreten kann, ist</w:t>
      </w:r>
      <w:r>
        <w:t xml:space="preserve"> </w:t>
      </w:r>
      <m:oMath>
        <m:sSub>
          <m:e>
            <m:r>
              <m:t>H</m:t>
            </m:r>
          </m:e>
          <m:sub>
            <m:r>
              <m:t>d</m:t>
            </m:r>
          </m:sub>
        </m:sSub>
        <m:sSub>
          <m:e>
            <m:r>
              <m:t>q</m:t>
            </m:r>
          </m:e>
          <m:sub>
            <m:r>
              <m:t>t</m:t>
            </m:r>
          </m:sub>
        </m:sSub>
      </m:oMath>
      <w:r>
        <w:t xml:space="preserve"> </w:t>
      </w:r>
      <w:r>
        <w:rPr>
          <w:b/>
          <w:bCs/>
        </w:rPr>
        <w:t xml:space="preserve">ohne definierte Balancekonvention keine eindeutige physikalische Flusslösung</w:t>
      </w:r>
      <w:r>
        <w:t xml:space="preserve">. Mit einem festen, nichtnegativen Ausgleichsvektor</w:t>
      </w:r>
      <w:r>
        <w:t xml:space="preserve"> </w:t>
      </w:r>
      <m:oMath>
        <m:r>
          <m:t>w</m:t>
        </m:r>
      </m:oMath>
      <w:r>
        <w:t xml:space="preserve"> </w:t>
      </w:r>
      <w:r>
        <w:t xml:space="preserve">mit</w:t>
      </w:r>
      <w:r>
        <w:t xml:space="preserve"> </w:t>
      </w:r>
      <m:oMath>
        <m:sSup>
          <m:e>
            <m:r>
              <m:rPr>
                <m:sty m:val="b"/>
              </m:rPr>
              <m:t>1</m:t>
            </m:r>
          </m:e>
          <m:sup>
            <m:r>
              <m:rPr>
                <m:sty m:val="p"/>
                <m:scr m:val="sans-serif"/>
              </m:rPr>
              <m:t>T</m:t>
            </m:r>
          </m:sup>
        </m:sSup>
        <m:r>
          <m:t>w</m:t>
        </m:r>
        <m:r>
          <m:rPr>
            <m:sty m:val="p"/>
          </m:rPr>
          <m:t>=</m:t>
        </m:r>
        <m:r>
          <m:t>1</m:t>
        </m:r>
      </m:oMath>
      <w:r>
        <w:t xml:space="preserve"> </w:t>
      </w:r>
      <w:r>
        <w:t xml:space="preserve">wird</w:t>
      </w:r>
    </w:p>
    <w:p>
      <w:pPr>
        <w:pStyle w:val="BodyText"/>
      </w:pPr>
      <w:r>
        <w:rPr>
          <w:b/>
          <w:bCs/>
        </w:rPr>
        <w:t xml:space="preserve">(C2) Balanciertes Screening [E].</w:t>
      </w:r>
    </w:p>
    <w:p>
      <w:pPr>
        <w:pStyle w:val="BodyText"/>
      </w:pPr>
      <m:oMathPara>
        <m:oMathParaPr>
          <m:jc m:val="center"/>
        </m:oMathParaPr>
        <m:oMath>
          <m:sSub>
            <m:e>
              <m:acc>
                <m:accPr>
                  <m:chr m:val="̃"/>
                </m:accPr>
                <m:e>
                  <m:r>
                    <m:t>q</m:t>
                  </m:r>
                </m:e>
              </m:acc>
            </m:e>
            <m:sub>
              <m:r>
                <m:t>t</m:t>
              </m:r>
            </m:sub>
          </m:sSub>
          <m:r>
            <m:rPr>
              <m:sty m:val="p"/>
            </m:rPr>
            <m:t>=</m:t>
          </m:r>
          <m:sSub>
            <m:e>
              <m:r>
                <m:t>q</m:t>
              </m:r>
            </m:e>
            <m:sub>
              <m:r>
                <m:t>t</m:t>
              </m:r>
            </m:sub>
          </m:sSub>
          <m:r>
            <m:rPr>
              <m:sty m:val="p"/>
            </m:rPr>
            <m:t>−</m:t>
          </m:r>
          <m:r>
            <m:t>w</m:t>
          </m:r>
          <m:r>
            <m:t> </m:t>
          </m:r>
          <m:sSup>
            <m:e>
              <m:r>
                <m:rPr>
                  <m:sty m:val="b"/>
                </m:rPr>
                <m:t>1</m:t>
              </m:r>
            </m:e>
            <m:sup>
              <m:r>
                <m:rPr>
                  <m:sty m:val="p"/>
                  <m:scr m:val="sans-serif"/>
                </m:rPr>
                <m:t>T</m:t>
              </m:r>
            </m:sup>
          </m:sSup>
          <m:sSub>
            <m:e>
              <m:r>
                <m:t>q</m:t>
              </m:r>
            </m:e>
            <m:sub>
              <m:r>
                <m:t>t</m:t>
              </m:r>
            </m:sub>
          </m:sSub>
          <m:r>
            <m:rPr>
              <m:sty m:val="p"/>
            </m:rPr>
            <m:t>,</m:t>
          </m:r>
          <m:r>
            <m:t>  </m:t>
          </m:r>
          <m:sSubSup>
            <m:e>
              <m:r>
                <m:t>f</m:t>
              </m:r>
            </m:e>
            <m:sub>
              <m:r>
                <m:t>d</m:t>
              </m:r>
              <m:r>
                <m:rPr>
                  <m:sty m:val="p"/>
                </m:rPr>
                <m:t>,</m:t>
              </m:r>
              <m:r>
                <m:t>t</m:t>
              </m:r>
            </m:sub>
            <m:sup>
              <m:r>
                <m:t>B</m:t>
              </m:r>
            </m:sup>
          </m:sSubSup>
          <m:r>
            <m:rPr>
              <m:sty m:val="p"/>
            </m:rPr>
            <m:t>=</m:t>
          </m:r>
          <m:sSub>
            <m:e>
              <m:r>
                <m:t>H</m:t>
              </m:r>
            </m:e>
            <m:sub>
              <m:r>
                <m:t>d</m:t>
              </m:r>
            </m:sub>
          </m:sSub>
          <m:sSub>
            <m:e>
              <m:acc>
                <m:accPr>
                  <m:chr m:val="̃"/>
                </m:accPr>
                <m:e>
                  <m:r>
                    <m:t>q</m:t>
                  </m:r>
                </m:e>
              </m:acc>
            </m:e>
            <m:sub>
              <m:r>
                <m:t>t</m:t>
              </m:r>
            </m:sub>
          </m:sSub>
          <m:r>
            <m:rPr>
              <m:sty m:val="p"/>
            </m:rPr>
            <m:t>.</m:t>
          </m:r>
        </m:oMath>
      </m:oMathPara>
    </w:p>
    <w:p>
      <w:pPr>
        <w:pStyle w:val="FirstParagraph"/>
      </w:pPr>
      <w:r>
        <w:t xml:space="preserve">Bei mehreren Netzinseln gilt diese Bedingung</w:t>
      </w:r>
      <w:r>
        <w:t xml:space="preserve"> </w:t>
      </w:r>
      <w:r>
        <w:rPr>
          <w:b/>
          <w:bCs/>
        </w:rPr>
        <w:t xml:space="preserve">getrennt je Insel</w:t>
      </w:r>
      <w:r>
        <w:t xml:space="preserve">.</w:t>
      </w:r>
      <w:r>
        <w:t xml:space="preserve"> </w:t>
      </w:r>
      <m:oMath>
        <m:r>
          <m:t>w</m:t>
        </m:r>
      </m:oMath>
      <w:r>
        <w:t xml:space="preserve"> </w:t>
      </w:r>
      <w:r>
        <w:t xml:space="preserve">ist ein Screening-Proxy (etwa nach vorgegebener fixer Kapazität) und darf nicht als tatsächlich realisierter Marktdispatch bezeichnet werden. Die Sensitivität der Ergebnisse gegenüber mehreren</w:t>
      </w:r>
      <w:r>
        <w:t xml:space="preserve"> </w:t>
      </w:r>
      <m:oMath>
        <m:r>
          <m:t>w</m:t>
        </m:r>
      </m:oMath>
      <w:r>
        <w:t xml:space="preserve"> </w:t>
      </w:r>
      <w:r>
        <w:t xml:space="preserve">ist explizit zu messen.</w:t>
      </w:r>
    </w:p>
    <w:p>
      <w:pPr>
        <w:pStyle w:val="BodyText"/>
      </w:pPr>
      <w:r>
        <w:t xml:space="preserve">Ein sinnvoller Vergleich nutzt parallele Lastindikatoren:</w:t>
      </w:r>
    </w:p>
    <w:p>
      <w:pPr>
        <w:pStyle w:val="BodyText"/>
      </w:pPr>
      <w:r>
        <w:rPr>
          <w:b/>
          <w:bCs/>
        </w:rPr>
        <w:t xml:space="preserve">(C3) Gesamtbelastung [E].</w:t>
      </w:r>
    </w:p>
    <w:p>
      <w:pPr>
        <w:pStyle w:val="BodyText"/>
      </w:pPr>
      <m:oMathPara>
        <m:oMathParaPr>
          <m:jc m:val="center"/>
        </m:oMathParaPr>
        <m:oMath>
          <m:sSubSup>
            <m:e>
              <m:r>
                <m:t>E</m:t>
              </m:r>
            </m:e>
            <m:sub>
              <m:r>
                <m:rPr>
                  <m:sty m:val="p"/>
                </m:rPr>
                <m:t>ℓ</m:t>
              </m:r>
            </m:sub>
            <m:sup>
              <m:r>
                <m:t>B</m:t>
              </m:r>
            </m:sup>
          </m:sSubSup>
          <m:r>
            <m:rPr>
              <m:sty m:val="p"/>
            </m:rPr>
            <m:t>=</m:t>
          </m:r>
          <m:nary>
            <m:naryPr>
              <m:chr m:val="∑"/>
              <m:limLoc m:val="undOvr"/>
              <m:subHide m:val="off"/>
              <m:supHide m:val="on"/>
            </m:naryPr>
            <m:sub>
              <m:r>
                <m:t>t</m:t>
              </m:r>
            </m:sub>
            <m:sup>
              <m:r>
                <m:t>​</m:t>
              </m:r>
            </m:sup>
            <m:e>
              <m:r>
                <m:t>Δ</m:t>
              </m:r>
            </m:e>
          </m:nary>
          <m:sSub>
            <m:e>
              <m:r>
                <m:t>t</m:t>
              </m:r>
            </m:e>
            <m:sub>
              <m:r>
                <m:t>t</m:t>
              </m:r>
            </m:sub>
          </m:sSub>
          <m:r>
            <m:rPr>
              <m:sty m:val="p"/>
            </m:rPr>
            <m:t>|</m:t>
          </m:r>
          <m:sSubSup>
            <m:e>
              <m:r>
                <m:t>f</m:t>
              </m:r>
            </m:e>
            <m:sub>
              <m:r>
                <m:rPr>
                  <m:sty m:val="p"/>
                </m:rPr>
                <m:t>ℓ</m:t>
              </m:r>
              <m:r>
                <m:rPr>
                  <m:sty m:val="p"/>
                </m:rPr>
                <m:t>,</m:t>
              </m:r>
              <m:r>
                <m:t>t</m:t>
              </m:r>
            </m:sub>
            <m:sup>
              <m:r>
                <m:t>B</m:t>
              </m:r>
            </m:sup>
          </m:sSubSup>
          <m:r>
            <m:rPr>
              <m:sty m:val="p"/>
            </m:rPr>
            <m:t>|</m:t>
          </m:r>
          <m:r>
            <m:rPr>
              <m:sty m:val="p"/>
            </m:rPr>
            <m:t>,</m:t>
          </m:r>
          <m:r>
            <m:t>  </m:t>
          </m:r>
          <m:sSubSup>
            <m:e>
              <m:r>
                <m:t>ρ</m:t>
              </m:r>
            </m:e>
            <m:sub>
              <m:r>
                <m:rPr>
                  <m:sty m:val="p"/>
                </m:rPr>
                <m:t>ℓ</m:t>
              </m:r>
            </m:sub>
            <m:sup>
              <m:r>
                <m:t>B</m:t>
              </m:r>
            </m:sup>
          </m:sSubSup>
          <m:r>
            <m:rPr>
              <m:sty m:val="p"/>
            </m:rPr>
            <m:t>=</m:t>
          </m:r>
          <m:f>
            <m:fPr>
              <m:type m:val="bar"/>
            </m:fPr>
            <m:num>
              <m:nary>
                <m:naryPr>
                  <m:chr m:val="∑"/>
                  <m:limLoc m:val="undOvr"/>
                  <m:subHide m:val="off"/>
                  <m:supHide m:val="on"/>
                </m:naryPr>
                <m:sub>
                  <m:r>
                    <m:t>t</m:t>
                  </m:r>
                </m:sub>
                <m:sup>
                  <m:r>
                    <m:t>​</m:t>
                  </m:r>
                </m:sup>
                <m:e>
                  <m:sSub>
                    <m:e>
                      <m:r>
                        <m:t>ω</m:t>
                      </m:r>
                    </m:e>
                    <m:sub>
                      <m:r>
                        <m:t>t</m:t>
                      </m:r>
                    </m:sub>
                  </m:sSub>
                </m:e>
              </m:nary>
              <m:r>
                <m:rPr>
                  <m:sty m:val="p"/>
                </m:rPr>
                <m:t>|</m:t>
              </m:r>
              <m:sSubSup>
                <m:e>
                  <m:r>
                    <m:t>f</m:t>
                  </m:r>
                </m:e>
                <m:sub>
                  <m:r>
                    <m:rPr>
                      <m:sty m:val="p"/>
                    </m:rPr>
                    <m:t>ℓ</m:t>
                  </m:r>
                  <m:r>
                    <m:rPr>
                      <m:sty m:val="p"/>
                    </m:rPr>
                    <m:t>,</m:t>
                  </m:r>
                  <m:r>
                    <m:t>t</m:t>
                  </m:r>
                </m:sub>
                <m:sup>
                  <m:r>
                    <m:t>B</m:t>
                  </m:r>
                </m:sup>
              </m:sSubSup>
              <m:r>
                <m:rPr>
                  <m:sty m:val="p"/>
                </m:rPr>
                <m:t>|</m:t>
              </m:r>
              <m:r>
                <m:rPr>
                  <m:sty m:val="p"/>
                </m:rPr>
                <m:t>/</m:t>
              </m:r>
              <m:sSub>
                <m:e>
                  <m:bar>
                    <m:barPr>
                      <m:pos m:val="top"/>
                    </m:barPr>
                    <m:e>
                      <m:r>
                        <m:t>F</m:t>
                      </m:r>
                    </m:e>
                  </m:bar>
                </m:e>
                <m:sub>
                  <m:r>
                    <m:rPr>
                      <m:sty m:val="p"/>
                    </m:rPr>
                    <m:t>ℓ</m:t>
                  </m:r>
                  <m:r>
                    <m:rPr>
                      <m:sty m:val="p"/>
                    </m:rPr>
                    <m:t>,</m:t>
                  </m:r>
                  <m:r>
                    <m:t>t</m:t>
                  </m:r>
                </m:sub>
              </m:sSub>
            </m:num>
            <m:den>
              <m:nary>
                <m:naryPr>
                  <m:chr m:val="∑"/>
                  <m:limLoc m:val="undOvr"/>
                  <m:subHide m:val="off"/>
                  <m:supHide m:val="on"/>
                </m:naryPr>
                <m:sub>
                  <m:r>
                    <m:t>t</m:t>
                  </m:r>
                </m:sub>
                <m:sup>
                  <m:r>
                    <m:t>​</m:t>
                  </m:r>
                </m:sup>
                <m:e>
                  <m:sSub>
                    <m:e>
                      <m:r>
                        <m:t>ω</m:t>
                      </m:r>
                    </m:e>
                    <m:sub>
                      <m:r>
                        <m:t>t</m:t>
                      </m:r>
                    </m:sub>
                  </m:sSub>
                </m:e>
              </m:nary>
            </m:den>
          </m:f>
          <m:r>
            <m:rPr>
              <m:sty m:val="p"/>
            </m:rPr>
            <m:t>,</m:t>
          </m:r>
        </m:oMath>
      </m:oMathPara>
    </w:p>
    <w:p>
      <w:pPr>
        <w:pStyle w:val="FirstParagraph"/>
      </w:pPr>
      <w:r>
        <w:t xml:space="preserve">sowie ein hohes Quantil</w:t>
      </w:r>
      <w:r>
        <w:t xml:space="preserve"> </w:t>
      </w:r>
      <m:oMath>
        <m:sSub>
          <m:e>
            <m:r>
              <m:t>Q</m:t>
            </m:r>
          </m:e>
          <m:sub>
            <m:r>
              <m:t>0.95</m:t>
            </m:r>
          </m:sub>
        </m:sSub>
        <m:d>
          <m:dPr>
            <m:begChr m:val="("/>
            <m:endChr m:val=")"/>
            <m:sepChr m:val=""/>
            <m:grow/>
          </m:dPr>
          <m:e>
            <m:d>
              <m:dPr>
                <m:begChr m:val="|"/>
                <m:endChr m:val="|"/>
                <m:sepChr m:val=""/>
                <m:grow/>
              </m:dPr>
              <m:e>
                <m:sSubSup>
                  <m:e>
                    <m:r>
                      <m:t>f</m:t>
                    </m:r>
                  </m:e>
                  <m:sub>
                    <m:r>
                      <m:rPr>
                        <m:sty m:val="p"/>
                      </m:rPr>
                      <m:t>ℓ</m:t>
                    </m:r>
                    <m:r>
                      <m:rPr>
                        <m:sty m:val="p"/>
                      </m:rPr>
                      <m:t>,</m:t>
                    </m:r>
                    <m:r>
                      <m:t>t</m:t>
                    </m:r>
                  </m:sub>
                  <m:sup>
                    <m:r>
                      <m:t>B</m:t>
                    </m:r>
                  </m:sup>
                </m:sSubSup>
              </m:e>
            </m:d>
            <m:r>
              <m:rPr>
                <m:sty m:val="p"/>
              </m:rPr>
              <m:t>/</m:t>
            </m:r>
            <m:sSub>
              <m:e>
                <m:bar>
                  <m:barPr>
                    <m:pos m:val="top"/>
                  </m:barPr>
                  <m:e>
                    <m:r>
                      <m:t>F</m:t>
                    </m:r>
                  </m:e>
                </m:bar>
              </m:e>
              <m:sub>
                <m:r>
                  <m:rPr>
                    <m:sty m:val="p"/>
                  </m:rPr>
                  <m:t>ℓ</m:t>
                </m:r>
                <m:r>
                  <m:rPr>
                    <m:sty m:val="p"/>
                  </m:rPr>
                  <m:t>,</m:t>
                </m:r>
                <m:r>
                  <m:t>t</m:t>
                </m:r>
              </m:sub>
            </m:sSub>
          </m:e>
        </m:d>
      </m:oMath>
      <w:r>
        <w:t xml:space="preserve">. Das erste Maß bewertet absolute Transferbeanspruchung, das zweite die Nutzung relativer zur verfügbaren Grenze; beide beantworten unterschiedliche Fragen. Als Busmap-Ziel können die nach Normierung gewichteten Scores den Verlust wichtiger Linien durch Verschmelzung bestrafen.</w:t>
      </w:r>
    </w:p>
    <w:p>
      <w:pPr>
        <w:pStyle w:val="BodyText"/>
      </w:pPr>
      <w:r>
        <w:rPr>
          <w:b/>
          <w:bCs/>
        </w:rPr>
        <w:t xml:space="preserve">Stärken:</w:t>
      </w:r>
      <w:r>
        <w:t xml:space="preserve"> </w:t>
      </w:r>
      <w:r>
        <w:t xml:space="preserve">exogenes, langfristiges Strukturmerkmal; Leitungen auch ohne Überlastung berücksichtigt; weniger direkte Abhängigkeit vom Marktclearing.</w:t>
      </w:r>
      <w:r>
        <w:t xml:space="preserve"> </w:t>
      </w:r>
      <w:r>
        <w:rPr>
          <w:b/>
          <w:bCs/>
        </w:rPr>
        <w:t xml:space="preserve">Schwächen:</w:t>
      </w:r>
      <w:r>
        <w:t xml:space="preserve"> </w:t>
      </w:r>
      <w:r>
        <w:t xml:space="preserve">schwache beziehungsweise falsche Flüsse bei ungeeignetem</w:t>
      </w:r>
      <w:r>
        <w:t xml:space="preserve"> </w:t>
      </w:r>
      <m:oMath>
        <m:r>
          <m:t>w</m:t>
        </m:r>
      </m:oMath>
      <w:r>
        <w:t xml:space="preserve">; Abregelungen und niedrige RES-Stunden nicht repräsentiert; Transitflüsse und thermische Erzeugung fehlen als operative Treiber. Niedrige Grenzkosten der Erneuerbaren beweisen nicht, dass flexible Erzeugung elektrisch unwichtig ist.</w:t>
      </w:r>
    </w:p>
    <w:p>
      <w:pPr>
        <w:pStyle w:val="BodyText"/>
      </w:pPr>
      <w:r>
        <w:rPr>
          <w:b/>
          <w:bCs/>
        </w:rPr>
        <w:t xml:space="preserve">IoSN-Abgleich:</w:t>
      </w:r>
      <w:r>
        <w:t xml:space="preserve"> </w:t>
      </w:r>
      <w:r>
        <w:rPr>
          <w:i/>
          <w:iCs/>
        </w:rPr>
        <w:t xml:space="preserve">explizite methodische Abweichung</w:t>
      </w:r>
      <w:r>
        <w:t xml:space="preserve">: die IoSN priorisiert nicht den durchschnittlichen RES-/Last-induzierten Belastungsgrad als Ersatz für jährliche Überlastungsenergie. Methode B ist daher als</w:t>
      </w:r>
      <w:r>
        <w:t xml:space="preserve"> </w:t>
      </w:r>
      <w:r>
        <w:rPr>
          <w:b/>
          <w:bCs/>
        </w:rPr>
        <w:t xml:space="preserve">vergleichende Forschungsalternative</w:t>
      </w:r>
      <w:r>
        <w:t xml:space="preserve"> </w:t>
      </w:r>
      <w:r>
        <w:t xml:space="preserve">zu klassifizieren, nicht als ENTSO-E-konforme Rekonstruktion.</w:t>
      </w:r>
    </w:p>
    <w:bookmarkEnd w:id="32"/>
    <w:bookmarkStart w:id="33" w:name="Xa14336999bb6a26a7e61b0dc85459250d4ca2c4"/>
    <w:p>
      <w:pPr>
        <w:pStyle w:val="Heading2"/>
      </w:pPr>
      <w:r>
        <w:t xml:space="preserve">4.3 Gemeinsame Kriterien und fairer Vergleich</w:t>
      </w:r>
    </w:p>
    <w:p>
      <w:pPr>
        <w:pStyle w:val="FirstParagraph"/>
      </w:pPr>
      <w:r>
        <w:t xml:space="preserve">Bei A und B müssen Netztopologie, Zahl der Zonen</w:t>
      </w:r>
      <w:r>
        <w:t xml:space="preserve"> </w:t>
      </w:r>
      <m:oMath>
        <m:r>
          <m:t>Z</m:t>
        </m:r>
      </m:oMath>
      <w:r>
        <w:t xml:space="preserve">, angeschlossene Komponenten, Spannungsregime, zulässige Ländergrenzen, Wetter-/Zeithorizonte, Konnektivität und nachgelagerte Identifikationsalgorithmen vergleichbar sein. Zusätzliche Qualitätsmerkmale sind (i) Schutz kritischer Schnittlinien, (ii) synchrone Flussrichtung/Korrelation, (iii) geringe Vorzeichenkompensation, (iv) zonale Größenbalance und (v) stabile Busmap über Wetterjahre. Die beiden Methoden können unterschiedliche</w:t>
      </w:r>
      <w:r>
        <w:t xml:space="preserve"> </w:t>
      </w:r>
      <m:oMath>
        <m:sSub>
          <m:e>
            <m:r>
              <m:t>P</m:t>
            </m:r>
          </m:e>
          <m:sub>
            <m:r>
              <m:t>A</m:t>
            </m:r>
          </m:sub>
        </m:sSub>
        <m:r>
          <m:rPr>
            <m:sty m:val="p"/>
          </m:rPr>
          <m:t>,</m:t>
        </m:r>
        <m:sSub>
          <m:e>
            <m:r>
              <m:t>Γ</m:t>
            </m:r>
          </m:e>
          <m:sub>
            <m:r>
              <m:t>A</m:t>
            </m:r>
          </m:sub>
        </m:sSub>
      </m:oMath>
      <w:r>
        <w:t xml:space="preserve"> </w:t>
      </w:r>
      <w:r>
        <w:t xml:space="preserve">und</w:t>
      </w:r>
      <w:r>
        <w:t xml:space="preserve"> </w:t>
      </w:r>
      <m:oMath>
        <m:sSub>
          <m:e>
            <m:r>
              <m:t>P</m:t>
            </m:r>
          </m:e>
          <m:sub>
            <m:r>
              <m:t>B</m:t>
            </m:r>
          </m:sub>
        </m:sSub>
        <m:r>
          <m:rPr>
            <m:sty m:val="p"/>
          </m:rPr>
          <m:t>,</m:t>
        </m:r>
        <m:sSub>
          <m:e>
            <m:r>
              <m:t>Γ</m:t>
            </m:r>
          </m:e>
          <m:sub>
            <m:r>
              <m:t>B</m:t>
            </m:r>
          </m:sub>
        </m:sSub>
      </m:oMath>
      <w:r>
        <w:t xml:space="preserve"> </w:t>
      </w:r>
      <w:r>
        <w:t xml:space="preserve">liefern.</w:t>
      </w:r>
    </w:p>
    <w:p>
      <w:pPr>
        <w:pStyle w:val="BodyText"/>
      </w:pPr>
      <w:r>
        <w:rPr>
          <w:b/>
          <w:bCs/>
        </w:rPr>
        <w:t xml:space="preserve">IoSN-Abgleich:</w:t>
      </w:r>
      <w:r>
        <w:t xml:space="preserve"> </w:t>
      </w:r>
      <w:r>
        <w:t xml:space="preserve">Flusssynchronität, zonale Konnektivität und begrenzte Clusterzahl sind in [E1, S. 23–25] ausdrücklich vorgesehen. Unsere Scores und Schutz-Penalties werden zusätzlich eingeführt.</w:t>
      </w:r>
    </w:p>
    <w:bookmarkEnd w:id="33"/>
    <w:bookmarkEnd w:id="34"/>
    <w:bookmarkStart w:id="37" w:name="X32ca05f399e9fd90167f7f8b73f1fedeb056a69"/>
    <w:p>
      <w:pPr>
        <w:pStyle w:val="Heading1"/>
      </w:pPr>
      <w:r>
        <w:t xml:space="preserve">5. Exakte Matrixaggregation und ihre Grenzen</w:t>
      </w:r>
    </w:p>
    <w:bookmarkStart w:id="35" w:name="konstruktion-von-p-und-gamma"/>
    <w:p>
      <w:pPr>
        <w:pStyle w:val="Heading2"/>
      </w:pPr>
      <w:r>
        <w:t xml:space="preserve">5.1 Konstruktion von</w:t>
      </w:r>
      <w:r>
        <w:t xml:space="preserve"> </w:t>
      </w:r>
      <m:oMath>
        <m:r>
          <m:t>P</m:t>
        </m:r>
      </m:oMath>
      <w:r>
        <w:t xml:space="preserve"> </w:t>
      </w:r>
      <w:r>
        <w:t xml:space="preserve">und</w:t>
      </w:r>
      <w:r>
        <w:t xml:space="preserve"> </w:t>
      </w:r>
      <m:oMath>
        <m:r>
          <m:t>Γ</m:t>
        </m:r>
      </m:oMath>
    </w:p>
    <w:p>
      <w:pPr>
        <w:pStyle w:val="FirstParagraph"/>
      </w:pPr>
      <w:r>
        <w:t xml:space="preserve">Sei</w:t>
      </w:r>
      <w:r>
        <w:t xml:space="preserve"> </w:t>
      </w:r>
      <m:oMath>
        <m:r>
          <m:t>P</m:t>
        </m:r>
        <m:r>
          <m:rPr>
            <m:sty m:val="p"/>
          </m:rPr>
          <m:t>∈</m:t>
        </m:r>
        <m:r>
          <m:rPr>
            <m:sty m:val="p"/>
          </m:rPr>
          <m:t>{</m:t>
        </m:r>
        <m:r>
          <m:t>0</m:t>
        </m:r>
        <m:r>
          <m:rPr>
            <m:sty m:val="p"/>
          </m:rPr>
          <m:t>,</m:t>
        </m:r>
        <m:r>
          <m:t>1</m:t>
        </m:r>
        <m:sSup>
          <m:e>
            <m:r>
              <m:rPr>
                <m:sty m:val="p"/>
              </m:rPr>
              <m:t>}</m:t>
            </m:r>
          </m:e>
          <m:sup>
            <m:r>
              <m:t>Z</m:t>
            </m:r>
            <m:r>
              <m:rPr>
                <m:sty m:val="p"/>
              </m:rPr>
              <m:t>×</m:t>
            </m:r>
            <m:r>
              <m:t>N</m:t>
            </m:r>
          </m:sup>
        </m:sSup>
      </m:oMath>
      <w:r>
        <w:t xml:space="preserve"> </w:t>
      </w:r>
      <w:r>
        <w:t xml:space="preserve">die Busmap-Matrix mit genau einer Eins je Originalknoten.</w:t>
      </w:r>
      <w:r>
        <w:t xml:space="preserve"> </w:t>
      </w:r>
      <m:oMath>
        <m:r>
          <m:t>Γ</m:t>
        </m:r>
        <m:r>
          <m:rPr>
            <m:sty m:val="p"/>
          </m:rPr>
          <m:t>∈</m:t>
        </m:r>
        <m:r>
          <m:rPr>
            <m:sty m:val="p"/>
          </m:rPr>
          <m:t>{</m:t>
        </m:r>
        <m:r>
          <m:rPr>
            <m:sty m:val="p"/>
          </m:rPr>
          <m:t>−</m:t>
        </m:r>
        <m:r>
          <m:t>1</m:t>
        </m:r>
        <m:r>
          <m:rPr>
            <m:sty m:val="p"/>
          </m:rPr>
          <m:t>,</m:t>
        </m:r>
        <m:r>
          <m:t>0</m:t>
        </m:r>
        <m:r>
          <m:rPr>
            <m:sty m:val="p"/>
          </m:rPr>
          <m:t>,</m:t>
        </m:r>
        <m:r>
          <m:t>1</m:t>
        </m:r>
        <m:sSup>
          <m:e>
            <m:r>
              <m:rPr>
                <m:sty m:val="p"/>
              </m:rPr>
              <m:t>}</m:t>
            </m:r>
          </m:e>
          <m:sup>
            <m:r>
              <m:t>E</m:t>
            </m:r>
            <m:r>
              <m:rPr>
                <m:sty m:val="p"/>
              </m:rPr>
              <m:t>×</m:t>
            </m:r>
            <m:r>
              <m:t>L</m:t>
            </m:r>
          </m:sup>
        </m:sSup>
      </m:oMath>
      <w:r>
        <w:t xml:space="preserve"> </w:t>
      </w:r>
      <w:r>
        <w:t xml:space="preserve">summiert alle detaillierten Zweige, welche dieselben Zonen in derselben gewählten Orientierung verbinden; intrazonale Zweige erhalten ausschließlich Nullen.</w:t>
      </w:r>
      <w:r>
        <w:t xml:space="preserve"> </w:t>
      </w:r>
      <m:oMath>
        <m:sSub>
          <m:e>
            <m:r>
              <m:t>A</m:t>
            </m:r>
          </m:e>
          <m:sub>
            <m:r>
              <m:t>z</m:t>
            </m:r>
          </m:sub>
        </m:sSub>
        <m:r>
          <m:rPr>
            <m:sty m:val="p"/>
          </m:rPr>
          <m:t>∈</m:t>
        </m:r>
        <m:sSup>
          <m:e>
            <m:r>
              <m:rPr>
                <m:sty m:val="p"/>
                <m:scr m:val="double-struck"/>
              </m:rPr>
              <m:t>R</m:t>
            </m:r>
          </m:e>
          <m:sup>
            <m:r>
              <m:t>Z</m:t>
            </m:r>
            <m:r>
              <m:rPr>
                <m:sty m:val="p"/>
              </m:rPr>
              <m:t>×</m:t>
            </m:r>
            <m:r>
              <m:t>E</m:t>
            </m:r>
          </m:sup>
        </m:sSup>
      </m:oMath>
      <w:r>
        <w:t xml:space="preserve"> </w:t>
      </w:r>
      <w:r>
        <w:t xml:space="preserve">ist die Inzidenz des Zonengraphen.</w:t>
      </w:r>
    </w:p>
    <w:p>
      <w:pPr>
        <w:pStyle w:val="BodyText"/>
      </w:pPr>
      <w:r>
        <w:rPr>
          <w:b/>
          <w:bCs/>
        </w:rPr>
        <w:t xml:space="preserve">(A1) Algebraische Netzaggregation [R].</w:t>
      </w:r>
    </w:p>
    <w:p>
      <w:pPr>
        <w:pStyle w:val="BodyText"/>
      </w:pPr>
      <m:oMathPara>
        <m:oMathParaPr>
          <m:jc m:val="center"/>
        </m:oMathParaPr>
        <m:oMath>
          <m:sSub>
            <m:e>
              <m:r>
                <m:t>p</m:t>
              </m:r>
            </m:e>
            <m:sub>
              <m:r>
                <m:t>z</m:t>
              </m:r>
              <m:r>
                <m:rPr>
                  <m:sty m:val="p"/>
                </m:rPr>
                <m:t>,</m:t>
              </m:r>
              <m:r>
                <m:t>t</m:t>
              </m:r>
            </m:sub>
          </m:sSub>
          <m:r>
            <m:rPr>
              <m:sty m:val="p"/>
            </m:rPr>
            <m:t>=</m:t>
          </m:r>
          <m:r>
            <m:t>P</m:t>
          </m:r>
          <m:sSub>
            <m:e>
              <m:r>
                <m:t>p</m:t>
              </m:r>
            </m:e>
            <m:sub>
              <m:r>
                <m:t>d</m:t>
              </m:r>
              <m:r>
                <m:rPr>
                  <m:sty m:val="p"/>
                </m:rPr>
                <m:t>,</m:t>
              </m:r>
              <m:r>
                <m:t>t</m:t>
              </m:r>
            </m:sub>
          </m:sSub>
          <m:r>
            <m:rPr>
              <m:sty m:val="p"/>
            </m:rPr>
            <m:t>,</m:t>
          </m:r>
          <m:r>
            <m:t>  </m:t>
          </m:r>
          <m:sSub>
            <m:e>
              <m:r>
                <m:t>f</m:t>
              </m:r>
            </m:e>
            <m:sub>
              <m:r>
                <m:t>z</m:t>
              </m:r>
              <m:r>
                <m:rPr>
                  <m:sty m:val="p"/>
                </m:rPr>
                <m:t>,</m:t>
              </m:r>
              <m:r>
                <m:t>t</m:t>
              </m:r>
            </m:sub>
          </m:sSub>
          <m:r>
            <m:rPr>
              <m:sty m:val="p"/>
            </m:rPr>
            <m:t>=</m:t>
          </m:r>
          <m:r>
            <m:t>Γ</m:t>
          </m:r>
          <m:sSub>
            <m:e>
              <m:r>
                <m:t>f</m:t>
              </m:r>
            </m:e>
            <m:sub>
              <m:r>
                <m:t>d</m:t>
              </m:r>
              <m:r>
                <m:rPr>
                  <m:sty m:val="p"/>
                </m:rPr>
                <m:t>,</m:t>
              </m:r>
              <m:r>
                <m:t>t</m:t>
              </m:r>
            </m:sub>
          </m:sSub>
          <m:r>
            <m:rPr>
              <m:sty m:val="p"/>
            </m:rPr>
            <m:t>.</m:t>
          </m:r>
        </m:oMath>
      </m:oMathPara>
    </w:p>
    <w:p>
      <w:pPr>
        <w:pStyle w:val="FirstParagraph"/>
      </w:pPr>
      <w:r>
        <w:rPr>
          <w:b/>
          <w:bCs/>
        </w:rPr>
        <w:t xml:space="preserve">(A2) Strukturelle Identität und Bilanzsatz [R].</w:t>
      </w:r>
    </w:p>
    <w:p>
      <w:pPr>
        <w:pStyle w:val="BodyText"/>
      </w:pPr>
      <m:oMathPara>
        <m:oMathParaPr>
          <m:jc m:val="center"/>
        </m:oMathParaPr>
        <m:oMath>
          <m:borderBox>
            <m:e>
              <m:sSub>
                <m:e>
                  <m:r>
                    <m:t>A</m:t>
                  </m:r>
                </m:e>
                <m:sub>
                  <m:r>
                    <m:t>z</m:t>
                  </m:r>
                </m:sub>
              </m:sSub>
              <m:r>
                <m:t>Γ</m:t>
              </m:r>
              <m:r>
                <m:rPr>
                  <m:sty m:val="p"/>
                </m:rPr>
                <m:t>=</m:t>
              </m:r>
              <m:r>
                <m:t>P</m:t>
              </m:r>
              <m:sSub>
                <m:e>
                  <m:r>
                    <m:t>A</m:t>
                  </m:r>
                </m:e>
                <m:sub>
                  <m:r>
                    <m:t>d</m:t>
                  </m:r>
                </m:sub>
              </m:sSub>
            </m:e>
          </m:borderBox>
          <m:r>
            <m:t> </m:t>
          </m:r>
          <m:r>
            <m:rPr>
              <m:sty m:val="p"/>
            </m:rPr>
            <m:t>⇒</m:t>
          </m:r>
          <m:r>
            <m:t> </m:t>
          </m:r>
          <m:borderBox>
            <m:e>
              <m:sSub>
                <m:e>
                  <m:r>
                    <m:t>A</m:t>
                  </m:r>
                </m:e>
                <m:sub>
                  <m:r>
                    <m:t>z</m:t>
                  </m:r>
                </m:sub>
              </m:sSub>
              <m:sSub>
                <m:e>
                  <m:r>
                    <m:t>f</m:t>
                  </m:r>
                </m:e>
                <m:sub>
                  <m:r>
                    <m:t>z</m:t>
                  </m:r>
                  <m:r>
                    <m:rPr>
                      <m:sty m:val="p"/>
                    </m:rPr>
                    <m:t>,</m:t>
                  </m:r>
                  <m:r>
                    <m:t>t</m:t>
                  </m:r>
                </m:sub>
              </m:sSub>
              <m:r>
                <m:rPr>
                  <m:sty m:val="p"/>
                </m:rPr>
                <m:t>=</m:t>
              </m:r>
              <m:sSub>
                <m:e>
                  <m:r>
                    <m:t>p</m:t>
                  </m:r>
                </m:e>
                <m:sub>
                  <m:r>
                    <m:t>z</m:t>
                  </m:r>
                  <m:r>
                    <m:rPr>
                      <m:sty m:val="p"/>
                    </m:rPr>
                    <m:t>,</m:t>
                  </m:r>
                  <m:r>
                    <m:t>t</m:t>
                  </m:r>
                </m:sub>
              </m:sSub>
            </m:e>
          </m:borderBox>
          <m:r>
            <m:rPr>
              <m:sty m:val="p"/>
            </m:rPr>
            <m:t>.</m:t>
          </m:r>
        </m:oMath>
      </m:oMathPara>
    </w:p>
    <w:p>
      <w:pPr>
        <w:pStyle w:val="FirstParagraph"/>
      </w:pPr>
      <w:r>
        <w:rPr>
          <w:i/>
          <w:iCs/>
        </w:rPr>
        <w:t xml:space="preserve">Beweis:</w:t>
      </w:r>
      <w:r>
        <w:t xml:space="preserve"> </w:t>
      </w:r>
      <w:r>
        <w:t xml:space="preserve">Jede zwischen verschiedenen Zonen verlaufende Originalleitung hat auf beiden Seiten derselben Identität dieselben Vorzeichen; intrazonale Zweige heben sich in</w:t>
      </w:r>
      <w:r>
        <w:t xml:space="preserve"> </w:t>
      </w:r>
      <m:oMath>
        <m:r>
          <m:t>P</m:t>
        </m:r>
        <m:sSub>
          <m:e>
            <m:r>
              <m:t>A</m:t>
            </m:r>
          </m:e>
          <m:sub>
            <m:r>
              <m:t>d</m:t>
            </m:r>
          </m:sub>
        </m:sSub>
      </m:oMath>
      <w:r>
        <w:t xml:space="preserve"> </w:t>
      </w:r>
      <w:r>
        <w:t xml:space="preserve">auf und besitzen eine Nullspalte in</w:t>
      </w:r>
      <w:r>
        <w:t xml:space="preserve"> </w:t>
      </w:r>
      <m:oMath>
        <m:r>
          <m:t>Γ</m:t>
        </m:r>
      </m:oMath>
      <w:r>
        <w:t xml:space="preserve">. Multiplikation mit</w:t>
      </w:r>
      <w:r>
        <w:t xml:space="preserve"> </w:t>
      </w:r>
      <m:oMath>
        <m:sSub>
          <m:e>
            <m:r>
              <m:t>f</m:t>
            </m:r>
          </m:e>
          <m:sub>
            <m:r>
              <m:t>d</m:t>
            </m:r>
          </m:sub>
        </m:sSub>
      </m:oMath>
      <w:r>
        <w:t xml:space="preserve"> </w:t>
      </w:r>
      <w:r>
        <w:t xml:space="preserve">und</w:t>
      </w:r>
      <w:r>
        <w:t xml:space="preserve"> </w:t>
      </w:r>
      <m:oMath>
        <m:sSub>
          <m:e>
            <m:r>
              <m:t>A</m:t>
            </m:r>
          </m:e>
          <m:sub>
            <m:r>
              <m:t>d</m:t>
            </m:r>
          </m:sub>
        </m:sSub>
        <m:sSub>
          <m:e>
            <m:r>
              <m:t>f</m:t>
            </m:r>
          </m:e>
          <m:sub>
            <m:r>
              <m:t>d</m:t>
            </m:r>
          </m:sub>
        </m:sSub>
        <m:r>
          <m:rPr>
            <m:sty m:val="p"/>
          </m:rPr>
          <m:t>=</m:t>
        </m:r>
        <m:sSub>
          <m:e>
            <m:r>
              <m:t>p</m:t>
            </m:r>
          </m:e>
          <m:sub>
            <m:r>
              <m:t>d</m:t>
            </m:r>
          </m:sub>
        </m:sSub>
      </m:oMath>
      <w:r>
        <w:t xml:space="preserve"> </w:t>
      </w:r>
      <w:r>
        <w:t xml:space="preserve">ergibt den Folgesatz. Bei HVDC gilt eine gesonderte Injektionskonvention, bei Verlusten eine bilanzrichtige Verlustallokation.</w:t>
      </w:r>
    </w:p>
    <w:bookmarkEnd w:id="35"/>
    <w:bookmarkStart w:id="36" w:name="was-der-satz-nicht-impliziert"/>
    <w:p>
      <w:pPr>
        <w:pStyle w:val="Heading2"/>
      </w:pPr>
      <w:r>
        <w:t xml:space="preserve">5.2 Was der Satz nicht impliziert</w:t>
      </w:r>
    </w:p>
    <w:p>
      <w:pPr>
        <w:pStyle w:val="FirstParagraph"/>
      </w:pPr>
      <w:r>
        <w:t xml:space="preserve">Diese Identität bewahrt Knotenbilanz, aber</w:t>
      </w:r>
      <w:r>
        <w:t xml:space="preserve"> </w:t>
      </w:r>
      <w:r>
        <w:rPr>
          <w:b/>
          <w:bCs/>
        </w:rPr>
        <w:t xml:space="preserve">nicht</w:t>
      </w:r>
      <w:r>
        <w:t xml:space="preserve"> </w:t>
      </w:r>
      <w:r>
        <w:t xml:space="preserve">die KVL-/Maschengleichungen, Einzelleitungsbelastungen, AC-Verluste oder N-1-Sicherheit. Insbesondere können gegengerichtete physikalische Grenzleitungen einen kleinen Schnittfluss</w:t>
      </w:r>
      <w:r>
        <w:t xml:space="preserve"> </w:t>
      </w:r>
      <m:oMath>
        <m:r>
          <m:t>Γ</m:t>
        </m:r>
        <m:sSub>
          <m:e>
            <m:r>
              <m:t>f</m:t>
            </m:r>
          </m:e>
          <m:sub>
            <m:r>
              <m:t>d</m:t>
            </m:r>
          </m:sub>
        </m:sSub>
      </m:oMath>
      <w:r>
        <w:t xml:space="preserve"> </w:t>
      </w:r>
      <w:r>
        <w:t xml:space="preserve">liefern, obwohl beide thermisch stark beansprucht sind. Die IoSN warnt ausdrücklich vor dieser Auslöschung [E1, S. 23].</w:t>
      </w:r>
    </w:p>
    <w:p>
      <w:pPr>
        <w:pStyle w:val="BodyText"/>
      </w:pPr>
      <w:r>
        <w:t xml:space="preserve">Ein ergänzender Diagnoseindikator ist</w:t>
      </w:r>
    </w:p>
    <w:p>
      <w:pPr>
        <w:pStyle w:val="BodyText"/>
      </w:pPr>
      <m:oMathPara>
        <m:oMathParaPr>
          <m:jc m:val="center"/>
        </m:oMathParaPr>
        <m:oMath>
          <m:sSub>
            <m:e>
              <m:r>
                <m:t>χ</m:t>
              </m:r>
            </m:e>
            <m:sub>
              <m:r>
                <m:t>e</m:t>
              </m:r>
              <m:r>
                <m:rPr>
                  <m:sty m:val="p"/>
                </m:rPr>
                <m:t>,</m:t>
              </m:r>
              <m:r>
                <m:t>t</m:t>
              </m:r>
            </m:sub>
          </m:sSub>
          <m:r>
            <m:rPr>
              <m:sty m:val="p"/>
            </m:rPr>
            <m:t>=</m:t>
          </m:r>
          <m:f>
            <m:fPr>
              <m:type m:val="bar"/>
            </m:fPr>
            <m:num>
              <m:d>
                <m:dPr>
                  <m:begChr m:val="|"/>
                  <m:endChr m:val="|"/>
                  <m:sepChr m:val=""/>
                  <m:grow/>
                </m:dPr>
                <m:e>
                  <m:sSub>
                    <m:e>
                      <m:d>
                        <m:dPr>
                          <m:begChr m:val="("/>
                          <m:endChr m:val=")"/>
                          <m:sepChr m:val=""/>
                          <m:grow/>
                        </m:dPr>
                        <m:e>
                          <m:r>
                            <m:t>Γ</m:t>
                          </m:r>
                          <m:sSub>
                            <m:e>
                              <m:r>
                                <m:t>f</m:t>
                              </m:r>
                            </m:e>
                            <m:sub>
                              <m:r>
                                <m:t>d</m:t>
                              </m:r>
                            </m:sub>
                          </m:sSub>
                        </m:e>
                      </m:d>
                    </m:e>
                    <m:sub>
                      <m:r>
                        <m:t>e</m:t>
                      </m:r>
                      <m:r>
                        <m:rPr>
                          <m:sty m:val="p"/>
                        </m:rPr>
                        <m:t>,</m:t>
                      </m:r>
                      <m:r>
                        <m:t>t</m:t>
                      </m:r>
                    </m:sub>
                  </m:sSub>
                </m:e>
              </m:d>
            </m:num>
            <m:den>
              <m:nary>
                <m:naryPr>
                  <m:chr m:val="∑"/>
                  <m:limLoc m:val="undOvr"/>
                  <m:subHide m:val="off"/>
                  <m:supHide m:val="on"/>
                </m:naryPr>
                <m:sub>
                  <m:r>
                    <m:rPr>
                      <m:sty m:val="p"/>
                    </m:rPr>
                    <m:t>ℓ</m:t>
                  </m:r>
                  <m:r>
                    <m:rPr>
                      <m:sty m:val="p"/>
                    </m:rPr>
                    <m:t>∈</m:t>
                  </m:r>
                  <m:sSub>
                    <m:e>
                      <m:r>
                        <m:rPr>
                          <m:sty m:val="p"/>
                          <m:scr m:val="script"/>
                        </m:rPr>
                        <m:t>L</m:t>
                      </m:r>
                    </m:e>
                    <m:sub>
                      <m:r>
                        <m:t>e</m:t>
                      </m:r>
                    </m:sub>
                  </m:sSub>
                </m:sub>
                <m:sup>
                  <m:r>
                    <m:t>​</m:t>
                  </m:r>
                </m:sup>
                <m:e>
                  <m:d>
                    <m:dPr>
                      <m:begChr m:val="|"/>
                      <m:endChr m:val="|"/>
                      <m:sepChr m:val=""/>
                      <m:grow/>
                    </m:dPr>
                    <m:e>
                      <m:sSub>
                        <m:e>
                          <m:r>
                            <m:t>f</m:t>
                          </m:r>
                        </m:e>
                        <m:sub>
                          <m:r>
                            <m:rPr>
                              <m:sty m:val="p"/>
                            </m:rPr>
                            <m:t>ℓ</m:t>
                          </m:r>
                          <m:r>
                            <m:rPr>
                              <m:sty m:val="p"/>
                            </m:rPr>
                            <m:t>,</m:t>
                          </m:r>
                          <m:r>
                            <m:t>t</m:t>
                          </m:r>
                        </m:sub>
                      </m:sSub>
                    </m:e>
                  </m:d>
                </m:e>
              </m:nary>
            </m:den>
          </m:f>
          <m:r>
            <m:rPr>
              <m:sty m:val="p"/>
            </m:rPr>
            <m:t>,</m:t>
          </m:r>
        </m:oMath>
      </m:oMathPara>
    </w:p>
    <w:p>
      <w:pPr>
        <w:pStyle w:val="FirstParagraph"/>
      </w:pPr>
      <w:r>
        <w:t xml:space="preserve">für Stunden mit positivem Nenner.</w:t>
      </w:r>
      <w:r>
        <w:t xml:space="preserve"> </w:t>
      </w:r>
      <m:oMath>
        <m:r>
          <m:t>χ</m:t>
        </m:r>
      </m:oMath>
      <w:r>
        <w:t xml:space="preserve"> </w:t>
      </w:r>
      <w:r>
        <w:t xml:space="preserve">nahe null zeigt starke gerichtete Kompensation, nicht zwingend einen Modellfehler, aber ein Risiko für eine einzelne Ersatzkapazität.</w:t>
      </w:r>
    </w:p>
    <w:p>
      <w:pPr>
        <w:pStyle w:val="BodyText"/>
      </w:pPr>
      <w:r>
        <w:rPr>
          <w:b/>
          <w:bCs/>
        </w:rPr>
        <w:t xml:space="preserve">IoSN-Abgleich:</w:t>
      </w:r>
      <w:r>
        <w:t xml:space="preserve"> </w:t>
      </w:r>
      <w:r>
        <w:t xml:space="preserve">Die Matrixidentität ist unsere formale Rekonstruktion einer in [E1] impliziten Flussaggregation; die IoSN publiziert diesen Matrixsatz nicht als eigene Gleichung.</w:t>
      </w:r>
    </w:p>
    <w:bookmarkEnd w:id="36"/>
    <w:bookmarkEnd w:id="37"/>
    <w:bookmarkStart w:id="40" w:name="X4061385eff9b91d6d6bace2d4377de660f2cbe9"/>
    <w:p>
      <w:pPr>
        <w:pStyle w:val="Heading1"/>
      </w:pPr>
      <w:r>
        <w:t xml:space="preserve">6. Technologiespezifische PTDFs und räumliche Verschiebungsfaktoren</w:t>
      </w:r>
    </w:p>
    <w:bookmarkStart w:id="38" w:name="physik-und-technologie-strikt-trennen"/>
    <w:p>
      <w:pPr>
        <w:pStyle w:val="Heading2"/>
      </w:pPr>
      <w:r>
        <w:t xml:space="preserve">6.1 Physik und Technologie strikt trennen</w:t>
      </w:r>
    </w:p>
    <w:p>
      <w:pPr>
        <w:pStyle w:val="FirstParagraph"/>
      </w:pPr>
      <w:r>
        <w:t xml:space="preserve">Für eine Technologieklasse</w:t>
      </w:r>
      <w:r>
        <w:t xml:space="preserve"> </w:t>
      </w:r>
      <m:oMath>
        <m:r>
          <m:t>k</m:t>
        </m:r>
      </m:oMath>
      <w:r>
        <w:t xml:space="preserve"> </w:t>
      </w:r>
      <w:r>
        <w:t xml:space="preserve">(Wind, PV, Last, Kernkraft, Gas, Speicher usw.) definiere</w:t>
      </w:r>
      <w:r>
        <w:t xml:space="preserve"> </w:t>
      </w:r>
      <m:oMath>
        <m:sSubSup>
          <m:e>
            <m:r>
              <m:t>p</m:t>
            </m:r>
          </m:e>
          <m:sub>
            <m:r>
              <m:t>z</m:t>
            </m:r>
            <m:r>
              <m:rPr>
                <m:sty m:val="p"/>
              </m:rPr>
              <m:t>,</m:t>
            </m:r>
            <m:r>
              <m:t>t</m:t>
            </m:r>
          </m:sub>
          <m:sup>
            <m:d>
              <m:dPr>
                <m:begChr m:val="("/>
                <m:endChr m:val=")"/>
                <m:sepChr m:val=""/>
                <m:grow/>
              </m:dPr>
              <m:e>
                <m:r>
                  <m:t>k</m:t>
                </m:r>
              </m:e>
            </m:d>
          </m:sup>
        </m:sSubSup>
      </m:oMath>
      <w:r>
        <w:t xml:space="preserve"> </w:t>
      </w:r>
      <w:r>
        <w:t xml:space="preserve">ihre zonale Einspeisung (Last negativ). Eine technologie- und ggf. zeitabhängige Matrix</w:t>
      </w:r>
      <w:r>
        <w:t xml:space="preserve"> </w:t>
      </w:r>
      <m:oMath>
        <m:sSub>
          <m:e>
            <m:r>
              <m:t>R</m:t>
            </m:r>
          </m:e>
          <m:sub>
            <m:r>
              <m:t>k</m:t>
            </m:r>
          </m:sub>
        </m:sSub>
        <m:d>
          <m:dPr>
            <m:begChr m:val="("/>
            <m:endChr m:val=")"/>
            <m:sepChr m:val=""/>
            <m:grow/>
          </m:dPr>
          <m:e>
            <m:r>
              <m:t>t</m:t>
            </m:r>
          </m:e>
        </m:d>
        <m:r>
          <m:rPr>
            <m:sty m:val="p"/>
          </m:rPr>
          <m:t>∈</m:t>
        </m:r>
        <m:sSup>
          <m:e>
            <m:r>
              <m:rPr>
                <m:sty m:val="p"/>
                <m:scr m:val="double-struck"/>
              </m:rPr>
              <m:t>R</m:t>
            </m:r>
          </m:e>
          <m:sup>
            <m:r>
              <m:t>N</m:t>
            </m:r>
            <m:r>
              <m:rPr>
                <m:sty m:val="p"/>
              </m:rPr>
              <m:t>×</m:t>
            </m:r>
            <m:r>
              <m:t>Z</m:t>
            </m:r>
          </m:sup>
        </m:sSup>
      </m:oMath>
      <w:r>
        <w:t xml:space="preserve"> </w:t>
      </w:r>
      <w:r>
        <w:t xml:space="preserve">beschreibt die räumliche Verteilung innerhalb der Zonen. Wo die Klasse vertreten ist, gilt</w:t>
      </w:r>
      <w:r>
        <w:t xml:space="preserve"> </w:t>
      </w:r>
      <m:oMath>
        <m:r>
          <m:t>P</m:t>
        </m:r>
        <m:sSub>
          <m:e>
            <m:r>
              <m:t>R</m:t>
            </m:r>
          </m:e>
          <m:sub>
            <m:r>
              <m:t>k</m:t>
            </m:r>
          </m:sub>
        </m:sSub>
        <m:d>
          <m:dPr>
            <m:begChr m:val="("/>
            <m:endChr m:val=")"/>
            <m:sepChr m:val=""/>
            <m:grow/>
          </m:dPr>
          <m:e>
            <m:r>
              <m:t>t</m:t>
            </m:r>
          </m:e>
        </m:d>
        <m:r>
          <m:rPr>
            <m:sty m:val="p"/>
          </m:rPr>
          <m:t>=</m:t>
        </m:r>
        <m:sSub>
          <m:e>
            <m:r>
              <m:t>I</m:t>
            </m:r>
          </m:e>
          <m:sub>
            <m:r>
              <m:t>Z</m:t>
            </m:r>
          </m:sub>
        </m:sSub>
      </m:oMath>
      <w:r>
        <w:t xml:space="preserve">; bei null installierter/aktiver Leistung ist ein dokumentierter Fallback nötig.</w:t>
      </w:r>
    </w:p>
    <w:p>
      <w:pPr>
        <w:pStyle w:val="BodyText"/>
      </w:pPr>
      <w:r>
        <w:rPr>
          <w:b/>
          <w:bCs/>
        </w:rPr>
        <w:t xml:space="preserve">(T1) Effektive technologiespezifische PTDF [R/E].</w:t>
      </w:r>
    </w:p>
    <w:p>
      <w:pPr>
        <w:pStyle w:val="BodyText"/>
      </w:pPr>
      <m:oMathPara>
        <m:oMathParaPr>
          <m:jc m:val="center"/>
        </m:oMathParaPr>
        <m:oMath>
          <m:borderBox>
            <m:e>
              <m:sSubSup>
                <m:e>
                  <m:r>
                    <m:t>H</m:t>
                  </m:r>
                </m:e>
                <m:sub>
                  <m:r>
                    <m:t>z</m:t>
                  </m:r>
                </m:sub>
                <m:sup>
                  <m:d>
                    <m:dPr>
                      <m:begChr m:val="("/>
                      <m:endChr m:val=")"/>
                      <m:sepChr m:val=""/>
                      <m:grow/>
                    </m:dPr>
                    <m:e>
                      <m:r>
                        <m:t>k</m:t>
                      </m:r>
                    </m:e>
                  </m:d>
                </m:sup>
              </m:sSubSup>
              <m:d>
                <m:dPr>
                  <m:begChr m:val="("/>
                  <m:endChr m:val=")"/>
                  <m:sepChr m:val=""/>
                  <m:grow/>
                </m:dPr>
                <m:e>
                  <m:r>
                    <m:t>t</m:t>
                  </m:r>
                </m:e>
              </m:d>
              <m:r>
                <m:rPr>
                  <m:sty m:val="p"/>
                </m:rPr>
                <m:t>=</m:t>
              </m:r>
              <m:r>
                <m:t>Γ</m:t>
              </m:r>
              <m:sSub>
                <m:e>
                  <m:r>
                    <m:t>H</m:t>
                  </m:r>
                </m:e>
                <m:sub>
                  <m:r>
                    <m:t>d</m:t>
                  </m:r>
                </m:sub>
              </m:sSub>
              <m:sSub>
                <m:e>
                  <m:r>
                    <m:t>R</m:t>
                  </m:r>
                </m:e>
                <m:sub>
                  <m:r>
                    <m:t>k</m:t>
                  </m:r>
                </m:sub>
              </m:sSub>
              <m:d>
                <m:dPr>
                  <m:begChr m:val="("/>
                  <m:endChr m:val=")"/>
                  <m:sepChr m:val=""/>
                  <m:grow/>
                </m:dPr>
                <m:e>
                  <m:r>
                    <m:t>t</m:t>
                  </m:r>
                </m:e>
              </m:d>
            </m:e>
          </m:borderBox>
          <m:r>
            <m:rPr>
              <m:sty m:val="p"/>
            </m:rPr>
            <m:t>,</m:t>
          </m:r>
          <m:r>
            <m:t>  </m:t>
          </m:r>
          <m:sSub>
            <m:e>
              <m:r>
                <m:t>f</m:t>
              </m:r>
            </m:e>
            <m:sub>
              <m:r>
                <m:t>z</m:t>
              </m:r>
              <m:r>
                <m:rPr>
                  <m:sty m:val="p"/>
                </m:rPr>
                <m:t>,</m:t>
              </m:r>
              <m:r>
                <m:t>t</m:t>
              </m:r>
            </m:sub>
          </m:sSub>
          <m:r>
            <m:rPr>
              <m:sty m:val="p"/>
            </m:rPr>
            <m:t>=</m:t>
          </m:r>
          <m:nary>
            <m:naryPr>
              <m:chr m:val="∑"/>
              <m:limLoc m:val="undOvr"/>
              <m:subHide m:val="off"/>
              <m:supHide m:val="on"/>
            </m:naryPr>
            <m:sub>
              <m:r>
                <m:t>k</m:t>
              </m:r>
            </m:sub>
            <m:sup>
              <m:r>
                <m:t>​</m:t>
              </m:r>
            </m:sup>
            <m:e>
              <m:sSubSup>
                <m:e>
                  <m:r>
                    <m:t>H</m:t>
                  </m:r>
                </m:e>
                <m:sub>
                  <m:r>
                    <m:t>z</m:t>
                  </m:r>
                </m:sub>
                <m:sup>
                  <m:d>
                    <m:dPr>
                      <m:begChr m:val="("/>
                      <m:endChr m:val=")"/>
                      <m:sepChr m:val=""/>
                      <m:grow/>
                    </m:dPr>
                    <m:e>
                      <m:r>
                        <m:t>k</m:t>
                      </m:r>
                    </m:e>
                  </m:d>
                </m:sup>
              </m:sSubSup>
            </m:e>
          </m:nary>
          <m:d>
            <m:dPr>
              <m:begChr m:val="("/>
              <m:endChr m:val=")"/>
              <m:sepChr m:val=""/>
              <m:grow/>
            </m:dPr>
            <m:e>
              <m:r>
                <m:t>t</m:t>
              </m:r>
            </m:e>
          </m:d>
          <m:r>
            <m:t> </m:t>
          </m:r>
          <m:sSubSup>
            <m:e>
              <m:r>
                <m:t>p</m:t>
              </m:r>
            </m:e>
            <m:sub>
              <m:r>
                <m:t>z</m:t>
              </m:r>
              <m:r>
                <m:rPr>
                  <m:sty m:val="p"/>
                </m:rPr>
                <m:t>,</m:t>
              </m:r>
              <m:r>
                <m:t>t</m:t>
              </m:r>
            </m:sub>
            <m:sup>
              <m:d>
                <m:dPr>
                  <m:begChr m:val="("/>
                  <m:endChr m:val=")"/>
                  <m:sepChr m:val=""/>
                  <m:grow/>
                </m:dPr>
                <m:e>
                  <m:r>
                    <m:t>k</m:t>
                  </m:r>
                </m:e>
              </m:d>
            </m:sup>
          </m:sSubSup>
          <m:r>
            <m:rPr>
              <m:sty m:val="p"/>
            </m:rPr>
            <m:t>+</m:t>
          </m:r>
          <m:r>
            <m:t>Γ</m:t>
          </m:r>
          <m:sSubSup>
            <m:e>
              <m:r>
                <m:t>b</m:t>
              </m:r>
            </m:e>
            <m:sub>
              <m:r>
                <m:t>t</m:t>
              </m:r>
            </m:sub>
            <m:sup>
              <m:r>
                <m:t>ϕ</m:t>
              </m:r>
            </m:sup>
          </m:sSubSup>
          <m:r>
            <m:rPr>
              <m:sty m:val="p"/>
            </m:rPr>
            <m:t>.</m:t>
          </m:r>
        </m:oMath>
      </m:oMathPara>
    </w:p>
    <w:p>
      <w:pPr>
        <w:pStyle w:val="FirstParagraph"/>
      </w:pPr>
      <w:r>
        <w:rPr>
          <w:b/>
          <w:bCs/>
        </w:rPr>
        <w:t xml:space="preserve">Kein technologiespezifisches Netzgesetz:</w:t>
      </w:r>
      <w:r>
        <w:t xml:space="preserve"> </w:t>
      </w:r>
      <m:oMath>
        <m:sSub>
          <m:e>
            <m:r>
              <m:t>H</m:t>
            </m:r>
          </m:e>
          <m:sub>
            <m:r>
              <m:t>d</m:t>
            </m:r>
          </m:sub>
        </m:sSub>
      </m:oMath>
      <w:r>
        <w:t xml:space="preserve"> </w:t>
      </w:r>
      <w:r>
        <w:t xml:space="preserve">bleibt dieselbe elektrische Matrix. Technologien verändern die Gewichtung, mit der zonale Leistung auf detaillierte Knoten verteilt wird. Entsprechend können Wind-, PV- und Lastbeiträge verschieden große beziehungsweise entgegengesetzte Grenzflüsse hervorrufen.</w:t>
      </w:r>
    </w:p>
    <w:p>
      <w:pPr>
        <w:pStyle w:val="BodyText"/>
      </w:pPr>
      <w:r>
        <w:t xml:space="preserve">Eine positive Gewichtsregel für disponible/nicht disponible Erzeugung ist etwa</w:t>
      </w:r>
    </w:p>
    <w:p>
      <w:pPr>
        <w:pStyle w:val="BodyText"/>
      </w:pPr>
      <m:oMathPara>
        <m:oMathParaPr>
          <m:jc m:val="center"/>
        </m:oMathParaPr>
        <m:oMath>
          <m:sSub>
            <m:e>
              <m:d>
                <m:dPr>
                  <m:begChr m:val="("/>
                  <m:endChr m:val=")"/>
                  <m:sepChr m:val=""/>
                  <m:grow/>
                </m:dPr>
                <m:e>
                  <m:sSub>
                    <m:e>
                      <m:r>
                        <m:t>R</m:t>
                      </m:r>
                    </m:e>
                    <m:sub>
                      <m:r>
                        <m:t>k</m:t>
                      </m:r>
                    </m:sub>
                  </m:sSub>
                  <m:d>
                    <m:dPr>
                      <m:begChr m:val="("/>
                      <m:endChr m:val=")"/>
                      <m:sepChr m:val=""/>
                      <m:grow/>
                    </m:dPr>
                    <m:e>
                      <m:r>
                        <m:t>t</m:t>
                      </m:r>
                    </m:e>
                  </m:d>
                </m:e>
              </m:d>
            </m:e>
            <m:sub>
              <m:r>
                <m:t>i</m:t>
              </m:r>
              <m:r>
                <m:t>z</m:t>
              </m:r>
            </m:sub>
          </m:sSub>
          <m:r>
            <m:rPr>
              <m:sty m:val="p"/>
            </m:rPr>
            <m:t>=</m:t>
          </m:r>
          <m:f>
            <m:fPr>
              <m:type m:val="bar"/>
            </m:fPr>
            <m:num>
              <m:nary>
                <m:naryPr>
                  <m:chr m:val="∑"/>
                  <m:limLoc m:val="undOvr"/>
                  <m:subHide m:val="off"/>
                  <m:supHide m:val="on"/>
                </m:naryPr>
                <m:sub>
                  <m:r>
                    <m:t>g</m:t>
                  </m:r>
                  <m:r>
                    <m:rPr>
                      <m:sty m:val="p"/>
                    </m:rPr>
                    <m:t>∈</m:t>
                  </m:r>
                  <m:sSub>
                    <m:e>
                      <m:r>
                        <m:rPr>
                          <m:sty m:val="p"/>
                          <m:scr m:val="script"/>
                        </m:rPr>
                        <m:t>G</m:t>
                      </m:r>
                    </m:e>
                    <m:sub>
                      <m:r>
                        <m:t>i</m:t>
                      </m:r>
                      <m:r>
                        <m:rPr>
                          <m:sty m:val="p"/>
                        </m:rPr>
                        <m:t>,</m:t>
                      </m:r>
                      <m:r>
                        <m:t>k</m:t>
                      </m:r>
                    </m:sub>
                  </m:sSub>
                </m:sub>
                <m:sup>
                  <m:r>
                    <m:t>​</m:t>
                  </m:r>
                </m:sup>
                <m:e>
                  <m:sSubSup>
                    <m:e>
                      <m:r>
                        <m:t>P</m:t>
                      </m:r>
                    </m:e>
                    <m:sub>
                      <m:r>
                        <m:t>g</m:t>
                      </m:r>
                    </m:sub>
                    <m:sup>
                      <m:r>
                        <m:rPr>
                          <m:sty m:val="p"/>
                        </m:rPr>
                        <m:t>n</m:t>
                      </m:r>
                      <m:r>
                        <m:rPr>
                          <m:sty m:val="p"/>
                        </m:rPr>
                        <m:t>o</m:t>
                      </m:r>
                      <m:r>
                        <m:rPr>
                          <m:sty m:val="p"/>
                        </m:rPr>
                        <m:t>m</m:t>
                      </m:r>
                    </m:sup>
                  </m:sSubSup>
                </m:e>
              </m:nary>
              <m:sSub>
                <m:e>
                  <m:r>
                    <m:t>a</m:t>
                  </m:r>
                </m:e>
                <m:sub>
                  <m:r>
                    <m:t>g</m:t>
                  </m:r>
                </m:sub>
              </m:sSub>
              <m:d>
                <m:dPr>
                  <m:begChr m:val="("/>
                  <m:endChr m:val=")"/>
                  <m:sepChr m:val=""/>
                  <m:grow/>
                </m:dPr>
                <m:e>
                  <m:r>
                    <m:t>t</m:t>
                  </m:r>
                </m:e>
              </m:d>
            </m:num>
            <m:den>
              <m:nary>
                <m:naryPr>
                  <m:chr m:val="∑"/>
                  <m:limLoc m:val="undOvr"/>
                  <m:subHide m:val="off"/>
                  <m:supHide m:val="on"/>
                </m:naryPr>
                <m:sub>
                  <m:r>
                    <m:t>j</m:t>
                  </m:r>
                  <m:r>
                    <m:rPr>
                      <m:sty m:val="p"/>
                    </m:rPr>
                    <m:t>∈</m:t>
                  </m:r>
                  <m:sSub>
                    <m:e>
                      <m:r>
                        <m:rPr>
                          <m:sty m:val="p"/>
                          <m:scr m:val="script"/>
                        </m:rPr>
                        <m:t>N</m:t>
                      </m:r>
                    </m:e>
                    <m:sub>
                      <m:r>
                        <m:t>z</m:t>
                      </m:r>
                    </m:sub>
                  </m:sSub>
                </m:sub>
                <m:sup>
                  <m:r>
                    <m:t>​</m:t>
                  </m:r>
                </m:sup>
                <m:e>
                  <m:nary>
                    <m:naryPr>
                      <m:chr m:val="∑"/>
                      <m:limLoc m:val="undOvr"/>
                      <m:subHide m:val="off"/>
                      <m:supHide m:val="on"/>
                    </m:naryPr>
                    <m:sub>
                      <m:r>
                        <m:t>g</m:t>
                      </m:r>
                      <m:r>
                        <m:rPr>
                          <m:sty m:val="p"/>
                        </m:rPr>
                        <m:t>∈</m:t>
                      </m:r>
                      <m:sSub>
                        <m:e>
                          <m:r>
                            <m:rPr>
                              <m:sty m:val="p"/>
                              <m:scr m:val="script"/>
                            </m:rPr>
                            <m:t>G</m:t>
                          </m:r>
                        </m:e>
                        <m:sub>
                          <m:r>
                            <m:t>j</m:t>
                          </m:r>
                          <m:r>
                            <m:rPr>
                              <m:sty m:val="p"/>
                            </m:rPr>
                            <m:t>,</m:t>
                          </m:r>
                          <m:r>
                            <m:t>k</m:t>
                          </m:r>
                        </m:sub>
                      </m:sSub>
                    </m:sub>
                    <m:sup>
                      <m:r>
                        <m:t>​</m:t>
                      </m:r>
                    </m:sup>
                    <m:e>
                      <m:sSubSup>
                        <m:e>
                          <m:r>
                            <m:t>P</m:t>
                          </m:r>
                        </m:e>
                        <m:sub>
                          <m:r>
                            <m:t>g</m:t>
                          </m:r>
                        </m:sub>
                        <m:sup>
                          <m:r>
                            <m:rPr>
                              <m:sty m:val="p"/>
                            </m:rPr>
                            <m:t>n</m:t>
                          </m:r>
                          <m:r>
                            <m:rPr>
                              <m:sty m:val="p"/>
                            </m:rPr>
                            <m:t>o</m:t>
                          </m:r>
                          <m:r>
                            <m:rPr>
                              <m:sty m:val="p"/>
                            </m:rPr>
                            <m:t>m</m:t>
                          </m:r>
                        </m:sup>
                      </m:sSubSup>
                    </m:e>
                  </m:nary>
                </m:e>
              </m:nary>
              <m:sSub>
                <m:e>
                  <m:r>
                    <m:t>a</m:t>
                  </m:r>
                </m:e>
                <m:sub>
                  <m:r>
                    <m:t>g</m:t>
                  </m:r>
                </m:sub>
              </m:sSub>
              <m:d>
                <m:dPr>
                  <m:begChr m:val="("/>
                  <m:endChr m:val=")"/>
                  <m:sepChr m:val=""/>
                  <m:grow/>
                </m:dPr>
                <m:e>
                  <m:r>
                    <m:t>t</m:t>
                  </m:r>
                </m:e>
              </m:d>
            </m:den>
          </m:f>
          <m:r>
            <m:rPr>
              <m:sty m:val="p"/>
            </m:rPr>
            <m:t>,</m:t>
          </m:r>
          <m:r>
            <m:t>  </m:t>
          </m:r>
          <m:r>
            <m:t>i</m:t>
          </m:r>
          <m:r>
            <m:rPr>
              <m:sty m:val="p"/>
            </m:rPr>
            <m:t>∈</m:t>
          </m:r>
          <m:sSub>
            <m:e>
              <m:r>
                <m:rPr>
                  <m:sty m:val="p"/>
                  <m:scr m:val="script"/>
                </m:rPr>
                <m:t>N</m:t>
              </m:r>
            </m:e>
            <m:sub>
              <m:r>
                <m:t>z</m:t>
              </m:r>
            </m:sub>
          </m:sSub>
          <m:r>
            <m:rPr>
              <m:sty m:val="p"/>
            </m:rPr>
            <m:t>.</m:t>
          </m:r>
        </m:oMath>
      </m:oMathPara>
    </w:p>
    <w:p>
      <w:pPr>
        <w:pStyle w:val="FirstParagraph"/>
      </w:pPr>
      <w:r>
        <w:t xml:space="preserve">Für PV/Wind ist</w:t>
      </w:r>
      <w:r>
        <w:t xml:space="preserve"> </w:t>
      </w:r>
      <m:oMath>
        <m:sSub>
          <m:e>
            <m:r>
              <m:t>a</m:t>
            </m:r>
          </m:e>
          <m:sub>
            <m:r>
              <m:t>g</m:t>
            </m:r>
          </m:sub>
        </m:sSub>
        <m:d>
          <m:dPr>
            <m:begChr m:val="("/>
            <m:endChr m:val=")"/>
            <m:sepChr m:val=""/>
            <m:grow/>
          </m:dPr>
          <m:e>
            <m:r>
              <m:t>t</m:t>
            </m:r>
          </m:e>
        </m:d>
      </m:oMath>
      <w:r>
        <w:t xml:space="preserve"> </w:t>
      </w:r>
      <w:r>
        <w:t xml:space="preserve">die wetterabhängige Verfügbarkeit; für feste Leistungsshares kann</w:t>
      </w:r>
      <w:r>
        <w:t xml:space="preserve"> </w:t>
      </w:r>
      <m:oMath>
        <m:sSub>
          <m:e>
            <m:r>
              <m:t>a</m:t>
            </m:r>
          </m:e>
          <m:sub>
            <m:r>
              <m:t>g</m:t>
            </m:r>
          </m:sub>
        </m:sSub>
        <m:r>
          <m:rPr>
            <m:sty m:val="p"/>
          </m:rPr>
          <m:t>≡</m:t>
        </m:r>
        <m:r>
          <m:t>1</m:t>
        </m:r>
      </m:oMath>
      <w:r>
        <w:t xml:space="preserve"> </w:t>
      </w:r>
      <w:r>
        <w:t xml:space="preserve">gelten. Lastgewichte beruhen auf nodalen Nachfrageprofilen; die Vorzeichen stehen in</w:t>
      </w:r>
      <w:r>
        <w:t xml:space="preserve"> </w:t>
      </w:r>
      <m:oMath>
        <m:sSubSup>
          <m:e>
            <m:r>
              <m:t>p</m:t>
            </m:r>
          </m:e>
          <m:sub>
            <m:r>
              <m:t>z</m:t>
            </m:r>
            <m:r>
              <m:rPr>
                <m:sty m:val="p"/>
              </m:rPr>
              <m:t>,</m:t>
            </m:r>
            <m:r>
              <m:t>t</m:t>
            </m:r>
          </m:sub>
          <m:sup>
            <m:d>
              <m:dPr>
                <m:begChr m:val="("/>
                <m:endChr m:val=")"/>
                <m:sepChr m:val=""/>
                <m:grow/>
              </m:dPr>
              <m:e>
                <m:r>
                  <m:rPr>
                    <m:sty m:val="p"/>
                  </m:rPr>
                  <m:t>l</m:t>
                </m:r>
                <m:r>
                  <m:rPr>
                    <m:sty m:val="p"/>
                  </m:rPr>
                  <m:t>o</m:t>
                </m:r>
                <m:r>
                  <m:rPr>
                    <m:sty m:val="p"/>
                  </m:rPr>
                  <m:t>a</m:t>
                </m:r>
                <m:r>
                  <m:rPr>
                    <m:sty m:val="p"/>
                  </m:rPr>
                  <m:t>d</m:t>
                </m:r>
              </m:e>
            </m:d>
          </m:sup>
        </m:sSubSup>
      </m:oMath>
      <w:r>
        <w:t xml:space="preserve">,</w:t>
      </w:r>
      <w:r>
        <w:t xml:space="preserve"> </w:t>
      </w:r>
      <w:r>
        <w:rPr>
          <w:b/>
          <w:bCs/>
        </w:rPr>
        <w:t xml:space="preserve">nicht</w:t>
      </w:r>
      <w:r>
        <w:t xml:space="preserve"> </w:t>
      </w:r>
      <w:r>
        <w:t xml:space="preserve">in</w:t>
      </w:r>
      <w:r>
        <w:t xml:space="preserve"> </w:t>
      </w:r>
      <m:oMath>
        <m:sSub>
          <m:e>
            <m:r>
              <m:t>R</m:t>
            </m:r>
          </m:e>
          <m:sub>
            <m:r>
              <m:rPr>
                <m:sty m:val="p"/>
              </m:rPr>
              <m:t>l</m:t>
            </m:r>
            <m:r>
              <m:rPr>
                <m:sty m:val="p"/>
              </m:rPr>
              <m:t>o</m:t>
            </m:r>
            <m:r>
              <m:rPr>
                <m:sty m:val="p"/>
              </m:rPr>
              <m:t>a</m:t>
            </m:r>
            <m:r>
              <m:rPr>
                <m:sty m:val="p"/>
              </m:rPr>
              <m:t>d</m:t>
            </m:r>
          </m:sub>
        </m:sSub>
      </m:oMath>
      <w:r>
        <w:t xml:space="preserve">.</w:t>
      </w:r>
    </w:p>
    <w:bookmarkEnd w:id="38"/>
    <w:bookmarkStart w:id="39" w:name="exakte-relative-no-load-flusszerlegung"/>
    <w:p>
      <w:pPr>
        <w:pStyle w:val="Heading2"/>
      </w:pPr>
      <w:r>
        <w:t xml:space="preserve">6.2 Exakte relative No-Load-Flusszerlegung</w:t>
      </w:r>
    </w:p>
    <w:p>
      <w:pPr>
        <w:pStyle w:val="FirstParagraph"/>
      </w:pPr>
      <w:r>
        <w:t xml:space="preserve">Wähle eine Referenzverteilung</w:t>
      </w:r>
      <w:r>
        <w:t xml:space="preserve"> </w:t>
      </w:r>
      <m:oMath>
        <m:sSub>
          <m:e>
            <m:r>
              <m:t>R</m:t>
            </m:r>
          </m:e>
          <m:sub>
            <m:r>
              <m:t>0</m:t>
            </m:r>
          </m:sub>
        </m:sSub>
      </m:oMath>
      <w:r>
        <w:t xml:space="preserve"> </w:t>
      </w:r>
      <w:r>
        <w:t xml:space="preserve">mit</w:t>
      </w:r>
      <w:r>
        <w:t xml:space="preserve"> </w:t>
      </w:r>
      <m:oMath>
        <m:r>
          <m:t>P</m:t>
        </m:r>
        <m:sSub>
          <m:e>
            <m:r>
              <m:t>R</m:t>
            </m:r>
          </m:e>
          <m:sub>
            <m:r>
              <m:t>0</m:t>
            </m:r>
          </m:sub>
        </m:sSub>
        <m:r>
          <m:rPr>
            <m:sty m:val="p"/>
          </m:rPr>
          <m:t>=</m:t>
        </m:r>
        <m:r>
          <m:t>I</m:t>
        </m:r>
      </m:oMath>
      <w:r>
        <w:t xml:space="preserve">. Für den detaillierten gesamten Einspeisevektor</w:t>
      </w:r>
      <w:r>
        <w:t xml:space="preserve"> </w:t>
      </w:r>
      <m:oMath>
        <m:sSub>
          <m:e>
            <m:r>
              <m:t>p</m:t>
            </m:r>
          </m:e>
          <m:sub>
            <m:r>
              <m:t>d</m:t>
            </m:r>
            <m:r>
              <m:rPr>
                <m:sty m:val="p"/>
              </m:rPr>
              <m:t>,</m:t>
            </m:r>
            <m:r>
              <m:t>t</m:t>
            </m:r>
          </m:sub>
        </m:sSub>
      </m:oMath>
      <w:r>
        <w:t xml:space="preserve"> </w:t>
      </w:r>
      <w:r>
        <w:t xml:space="preserve">gilt</w:t>
      </w:r>
    </w:p>
    <w:p>
      <w:pPr>
        <w:pStyle w:val="BodyText"/>
      </w:pPr>
      <m:oMathPara>
        <m:oMathParaPr>
          <m:jc m:val="center"/>
        </m:oMathParaPr>
        <m:oMath>
          <m:sSub>
            <m:e>
              <m:r>
                <m:t>p</m:t>
              </m:r>
            </m:e>
            <m:sub>
              <m:r>
                <m:t>d</m:t>
              </m:r>
              <m:r>
                <m:rPr>
                  <m:sty m:val="p"/>
                </m:rPr>
                <m:t>,</m:t>
              </m:r>
              <m:r>
                <m:t>t</m:t>
              </m:r>
            </m:sub>
          </m:sSub>
          <m:r>
            <m:rPr>
              <m:sty m:val="p"/>
            </m:rPr>
            <m:t>=</m:t>
          </m:r>
          <m:sSub>
            <m:e>
              <m:r>
                <m:t>R</m:t>
              </m:r>
            </m:e>
            <m:sub>
              <m:r>
                <m:t>0</m:t>
              </m:r>
            </m:sub>
          </m:sSub>
          <m:sSub>
            <m:e>
              <m:r>
                <m:t>p</m:t>
              </m:r>
            </m:e>
            <m:sub>
              <m:r>
                <m:t>z</m:t>
              </m:r>
              <m:r>
                <m:rPr>
                  <m:sty m:val="p"/>
                </m:rPr>
                <m:t>,</m:t>
              </m:r>
              <m:r>
                <m:t>t</m:t>
              </m:r>
            </m:sub>
          </m:sSub>
          <m:r>
            <m:rPr>
              <m:sty m:val="p"/>
            </m:rPr>
            <m:t>+</m:t>
          </m:r>
          <m:sSub>
            <m:e>
              <m:r>
                <m:t>u</m:t>
              </m:r>
            </m:e>
            <m:sub>
              <m:r>
                <m:t>t</m:t>
              </m:r>
            </m:sub>
          </m:sSub>
          <m:r>
            <m:rPr>
              <m:sty m:val="p"/>
            </m:rPr>
            <m:t>,</m:t>
          </m:r>
          <m:r>
            <m:t>  </m:t>
          </m:r>
          <m:sSub>
            <m:e>
              <m:r>
                <m:t>u</m:t>
              </m:r>
            </m:e>
            <m:sub>
              <m:r>
                <m:t>t</m:t>
              </m:r>
            </m:sub>
          </m:sSub>
          <m:r>
            <m:rPr>
              <m:sty m:val="p"/>
            </m:rPr>
            <m:t>=</m:t>
          </m:r>
          <m:d>
            <m:dPr>
              <m:begChr m:val="("/>
              <m:endChr m:val=")"/>
              <m:sepChr m:val=""/>
              <m:grow/>
            </m:dPr>
            <m:e>
              <m:r>
                <m:t>I</m:t>
              </m:r>
              <m:r>
                <m:rPr>
                  <m:sty m:val="p"/>
                </m:rPr>
                <m:t>−</m:t>
              </m:r>
              <m:sSub>
                <m:e>
                  <m:r>
                    <m:t>R</m:t>
                  </m:r>
                </m:e>
                <m:sub>
                  <m:r>
                    <m:t>0</m:t>
                  </m:r>
                </m:sub>
              </m:sSub>
              <m:r>
                <m:t>P</m:t>
              </m:r>
            </m:e>
          </m:d>
          <m:sSub>
            <m:e>
              <m:r>
                <m:t>p</m:t>
              </m:r>
            </m:e>
            <m:sub>
              <m:r>
                <m:t>d</m:t>
              </m:r>
              <m:r>
                <m:rPr>
                  <m:sty m:val="p"/>
                </m:rPr>
                <m:t>,</m:t>
              </m:r>
              <m:r>
                <m:t>t</m:t>
              </m:r>
            </m:sub>
          </m:sSub>
          <m:r>
            <m:rPr>
              <m:sty m:val="p"/>
            </m:rPr>
            <m:t>,</m:t>
          </m:r>
          <m:r>
            <m:t>  </m:t>
          </m:r>
          <m:r>
            <m:t>P</m:t>
          </m:r>
          <m:sSub>
            <m:e>
              <m:r>
                <m:t>u</m:t>
              </m:r>
            </m:e>
            <m:sub>
              <m:r>
                <m:t>t</m:t>
              </m:r>
            </m:sub>
          </m:sSub>
          <m:r>
            <m:rPr>
              <m:sty m:val="p"/>
            </m:rPr>
            <m:t>=</m:t>
          </m:r>
          <m:r>
            <m:t>0</m:t>
          </m:r>
          <m:r>
            <m:rPr>
              <m:sty m:val="p"/>
            </m:rPr>
            <m:t>.</m:t>
          </m:r>
        </m:oMath>
      </m:oMathPara>
    </w:p>
    <w:p>
      <w:pPr>
        <w:pStyle w:val="FirstParagraph"/>
      </w:pPr>
      <w:r>
        <w:rPr>
          <w:b/>
          <w:bCs/>
        </w:rPr>
        <w:t xml:space="preserve">(T2) Strukturfluss unter Nulländerung der Zonenbilanz [R].</w:t>
      </w:r>
    </w:p>
    <w:p>
      <w:pPr>
        <w:pStyle w:val="BodyText"/>
      </w:pPr>
      <m:oMathPara>
        <m:oMathParaPr>
          <m:jc m:val="center"/>
        </m:oMathParaPr>
        <m:oMath>
          <m:borderBox>
            <m:e>
              <m:sSub>
                <m:e>
                  <m:r>
                    <m:t>f</m:t>
                  </m:r>
                </m:e>
                <m:sub>
                  <m:r>
                    <m:t>z</m:t>
                  </m:r>
                  <m:r>
                    <m:rPr>
                      <m:sty m:val="p"/>
                    </m:rPr>
                    <m:t>,</m:t>
                  </m:r>
                  <m:r>
                    <m:t>t</m:t>
                  </m:r>
                </m:sub>
              </m:sSub>
              <m:r>
                <m:rPr>
                  <m:sty m:val="p"/>
                </m:rPr>
                <m:t>=</m:t>
              </m:r>
              <m:r>
                <m:t>Γ</m:t>
              </m:r>
              <m:sSub>
                <m:e>
                  <m:r>
                    <m:t>H</m:t>
                  </m:r>
                </m:e>
                <m:sub>
                  <m:r>
                    <m:t>d</m:t>
                  </m:r>
                </m:sub>
              </m:sSub>
              <m:sSub>
                <m:e>
                  <m:r>
                    <m:t>R</m:t>
                  </m:r>
                </m:e>
                <m:sub>
                  <m:r>
                    <m:t>0</m:t>
                  </m:r>
                </m:sub>
              </m:sSub>
              <m:sSub>
                <m:e>
                  <m:r>
                    <m:t>p</m:t>
                  </m:r>
                </m:e>
                <m:sub>
                  <m:r>
                    <m:t>z</m:t>
                  </m:r>
                  <m:r>
                    <m:rPr>
                      <m:sty m:val="p"/>
                    </m:rPr>
                    <m:t>,</m:t>
                  </m:r>
                  <m:r>
                    <m:t>t</m:t>
                  </m:r>
                </m:sub>
              </m:sSub>
              <m:r>
                <m:rPr>
                  <m:sty m:val="p"/>
                </m:rPr>
                <m:t>+</m:t>
              </m:r>
              <m:sSub>
                <m:e>
                  <m:r>
                    <m:t>c</m:t>
                  </m:r>
                </m:e>
                <m:sub>
                  <m:r>
                    <m:rPr>
                      <m:sty m:val="p"/>
                    </m:rPr>
                    <m:t>s</m:t>
                  </m:r>
                  <m:r>
                    <m:rPr>
                      <m:sty m:val="p"/>
                    </m:rPr>
                    <m:t>t</m:t>
                  </m:r>
                  <m:r>
                    <m:rPr>
                      <m:sty m:val="p"/>
                    </m:rPr>
                    <m:t>r</m:t>
                  </m:r>
                  <m:r>
                    <m:rPr>
                      <m:sty m:val="p"/>
                    </m:rPr>
                    <m:t>u</m:t>
                  </m:r>
                  <m:r>
                    <m:rPr>
                      <m:sty m:val="p"/>
                    </m:rPr>
                    <m:t>c</m:t>
                  </m:r>
                  <m:r>
                    <m:rPr>
                      <m:sty m:val="p"/>
                    </m:rPr>
                    <m:t>t</m:t>
                  </m:r>
                </m:sub>
              </m:sSub>
              <m:d>
                <m:dPr>
                  <m:begChr m:val="("/>
                  <m:endChr m:val=")"/>
                  <m:sepChr m:val=""/>
                  <m:grow/>
                </m:dPr>
                <m:e>
                  <m:r>
                    <m:t>t</m:t>
                  </m:r>
                </m:e>
              </m:d>
              <m:r>
                <m:rPr>
                  <m:sty m:val="p"/>
                </m:rPr>
                <m:t>+</m:t>
              </m:r>
              <m:r>
                <m:t>Γ</m:t>
              </m:r>
              <m:sSubSup>
                <m:e>
                  <m:r>
                    <m:t>b</m:t>
                  </m:r>
                </m:e>
                <m:sub>
                  <m:r>
                    <m:t>t</m:t>
                  </m:r>
                </m:sub>
                <m:sup>
                  <m:r>
                    <m:t>ϕ</m:t>
                  </m:r>
                </m:sup>
              </m:sSubSup>
            </m:e>
          </m:borderBox>
          <m:r>
            <m:rPr>
              <m:sty m:val="p"/>
            </m:rPr>
            <m:t>,</m:t>
          </m:r>
          <m:r>
            <m:t>  </m:t>
          </m:r>
          <m:sSub>
            <m:e>
              <m:r>
                <m:t>c</m:t>
              </m:r>
            </m:e>
            <m:sub>
              <m:r>
                <m:rPr>
                  <m:sty m:val="p"/>
                </m:rPr>
                <m:t>s</m:t>
              </m:r>
              <m:r>
                <m:rPr>
                  <m:sty m:val="p"/>
                </m:rPr>
                <m:t>t</m:t>
              </m:r>
              <m:r>
                <m:rPr>
                  <m:sty m:val="p"/>
                </m:rPr>
                <m:t>r</m:t>
              </m:r>
              <m:r>
                <m:rPr>
                  <m:sty m:val="p"/>
                </m:rPr>
                <m:t>u</m:t>
              </m:r>
              <m:r>
                <m:rPr>
                  <m:sty m:val="p"/>
                </m:rPr>
                <m:t>c</m:t>
              </m:r>
              <m:r>
                <m:rPr>
                  <m:sty m:val="p"/>
                </m:rPr>
                <m:t>t</m:t>
              </m:r>
            </m:sub>
          </m:sSub>
          <m:d>
            <m:dPr>
              <m:begChr m:val="("/>
              <m:endChr m:val=")"/>
              <m:sepChr m:val=""/>
              <m:grow/>
            </m:dPr>
            <m:e>
              <m:r>
                <m:t>t</m:t>
              </m:r>
            </m:e>
          </m:d>
          <m:r>
            <m:rPr>
              <m:sty m:val="p"/>
            </m:rPr>
            <m:t>=</m:t>
          </m:r>
          <m:r>
            <m:t>Γ</m:t>
          </m:r>
          <m:sSub>
            <m:e>
              <m:r>
                <m:t>H</m:t>
              </m:r>
            </m:e>
            <m:sub>
              <m:r>
                <m:t>d</m:t>
              </m:r>
            </m:sub>
          </m:sSub>
          <m:d>
            <m:dPr>
              <m:begChr m:val="("/>
              <m:endChr m:val=")"/>
              <m:sepChr m:val=""/>
              <m:grow/>
            </m:dPr>
            <m:e>
              <m:r>
                <m:t>I</m:t>
              </m:r>
              <m:r>
                <m:rPr>
                  <m:sty m:val="p"/>
                </m:rPr>
                <m:t>−</m:t>
              </m:r>
              <m:sSub>
                <m:e>
                  <m:r>
                    <m:t>R</m:t>
                  </m:r>
                </m:e>
                <m:sub>
                  <m:r>
                    <m:t>0</m:t>
                  </m:r>
                </m:sub>
              </m:sSub>
              <m:r>
                <m:t>P</m:t>
              </m:r>
            </m:e>
          </m:d>
          <m:sSub>
            <m:e>
              <m:r>
                <m:t>p</m:t>
              </m:r>
            </m:e>
            <m:sub>
              <m:r>
                <m:t>d</m:t>
              </m:r>
              <m:r>
                <m:rPr>
                  <m:sty m:val="p"/>
                </m:rPr>
                <m:t>,</m:t>
              </m:r>
              <m:r>
                <m:t>t</m:t>
              </m:r>
            </m:sub>
          </m:sSub>
          <m:r>
            <m:rPr>
              <m:sty m:val="p"/>
            </m:rPr>
            <m:t>.</m:t>
          </m:r>
        </m:oMath>
      </m:oMathPara>
    </w:p>
    <w:p>
      <w:pPr>
        <w:pStyle w:val="FirstParagraph"/>
      </w:pPr>
      <w:r>
        <w:t xml:space="preserve">Es gilt</w:t>
      </w:r>
      <w:r>
        <w:t xml:space="preserve"> </w:t>
      </w:r>
      <m:oMath>
        <m:sSub>
          <m:e>
            <m:r>
              <m:t>A</m:t>
            </m:r>
          </m:e>
          <m:sub>
            <m:r>
              <m:t>z</m:t>
            </m:r>
          </m:sub>
        </m:sSub>
        <m:sSub>
          <m:e>
            <m:r>
              <m:t>c</m:t>
            </m:r>
          </m:e>
          <m:sub>
            <m:r>
              <m:rPr>
                <m:sty m:val="p"/>
              </m:rPr>
              <m:t>s</m:t>
            </m:r>
            <m:r>
              <m:rPr>
                <m:sty m:val="p"/>
              </m:rPr>
              <m:t>t</m:t>
            </m:r>
            <m:r>
              <m:rPr>
                <m:sty m:val="p"/>
              </m:rPr>
              <m:t>r</m:t>
            </m:r>
            <m:r>
              <m:rPr>
                <m:sty m:val="p"/>
              </m:rPr>
              <m:t>u</m:t>
            </m:r>
            <m:r>
              <m:rPr>
                <m:sty m:val="p"/>
              </m:rPr>
              <m:t>c</m:t>
            </m:r>
            <m:r>
              <m:rPr>
                <m:sty m:val="p"/>
              </m:rPr>
              <m:t>t</m:t>
            </m:r>
          </m:sub>
        </m:sSub>
        <m:d>
          <m:dPr>
            <m:begChr m:val="("/>
            <m:endChr m:val=")"/>
            <m:sepChr m:val=""/>
            <m:grow/>
          </m:dPr>
          <m:e>
            <m:r>
              <m:t>t</m:t>
            </m:r>
          </m:e>
        </m:d>
        <m:r>
          <m:rPr>
            <m:sty m:val="p"/>
          </m:rPr>
          <m:t>=</m:t>
        </m:r>
        <m:r>
          <m:t>0</m:t>
        </m:r>
      </m:oMath>
      <w:r>
        <w:t xml:space="preserve">. Der Strukturfluss ist</w:t>
      </w:r>
      <w:r>
        <w:t xml:space="preserve"> </w:t>
      </w:r>
      <w:r>
        <w:rPr>
          <w:b/>
          <w:bCs/>
        </w:rPr>
        <w:t xml:space="preserve">referenzabhängig</w:t>
      </w:r>
      <w:r>
        <w:t xml:space="preserve"> </w:t>
      </w:r>
      <w:r>
        <w:t xml:space="preserve">und kann zeitabhängig sein. Für eine Technologienzerlegung folgt</w:t>
      </w:r>
    </w:p>
    <w:p>
      <w:pPr>
        <w:pStyle w:val="BodyText"/>
      </w:pPr>
      <m:oMathPara>
        <m:oMathParaPr>
          <m:jc m:val="center"/>
        </m:oMathParaPr>
        <m:oMath>
          <m:sSub>
            <m:e>
              <m:r>
                <m:t>c</m:t>
              </m:r>
            </m:e>
            <m:sub>
              <m:r>
                <m:rPr>
                  <m:sty m:val="p"/>
                </m:rPr>
                <m:t>s</m:t>
              </m:r>
              <m:r>
                <m:rPr>
                  <m:sty m:val="p"/>
                </m:rPr>
                <m:t>t</m:t>
              </m:r>
              <m:r>
                <m:rPr>
                  <m:sty m:val="p"/>
                </m:rPr>
                <m:t>r</m:t>
              </m:r>
              <m:r>
                <m:rPr>
                  <m:sty m:val="p"/>
                </m:rPr>
                <m:t>u</m:t>
              </m:r>
              <m:r>
                <m:rPr>
                  <m:sty m:val="p"/>
                </m:rPr>
                <m:t>c</m:t>
              </m:r>
              <m:r>
                <m:rPr>
                  <m:sty m:val="p"/>
                </m:rPr>
                <m:t>t</m:t>
              </m:r>
            </m:sub>
          </m:sSub>
          <m:d>
            <m:dPr>
              <m:begChr m:val="("/>
              <m:endChr m:val=")"/>
              <m:sepChr m:val=""/>
              <m:grow/>
            </m:dPr>
            <m:e>
              <m:r>
                <m:t>t</m:t>
              </m:r>
            </m:e>
          </m:d>
          <m:r>
            <m:rPr>
              <m:sty m:val="p"/>
            </m:rPr>
            <m:t>=</m:t>
          </m:r>
          <m:nary>
            <m:naryPr>
              <m:chr m:val="∑"/>
              <m:limLoc m:val="undOvr"/>
              <m:subHide m:val="off"/>
              <m:supHide m:val="on"/>
            </m:naryPr>
            <m:sub>
              <m:r>
                <m:t>k</m:t>
              </m:r>
            </m:sub>
            <m:sup>
              <m:r>
                <m:t>​</m:t>
              </m:r>
            </m:sup>
            <m:e>
              <m:r>
                <m:t>Γ</m:t>
              </m:r>
            </m:e>
          </m:nary>
          <m:sSub>
            <m:e>
              <m:r>
                <m:t>H</m:t>
              </m:r>
            </m:e>
            <m:sub>
              <m:r>
                <m:t>d</m:t>
              </m:r>
            </m:sub>
          </m:sSub>
          <m:r>
            <m:t> </m:t>
          </m:r>
          <m:d>
            <m:dPr>
              <m:begChr m:val="["/>
              <m:endChr m:val="]"/>
              <m:sepChr m:val=""/>
              <m:grow/>
            </m:dPr>
            <m:e>
              <m:sSub>
                <m:e>
                  <m:r>
                    <m:t>R</m:t>
                  </m:r>
                </m:e>
                <m:sub>
                  <m:r>
                    <m:t>k</m:t>
                  </m:r>
                </m:sub>
              </m:sSub>
              <m:d>
                <m:dPr>
                  <m:begChr m:val="("/>
                  <m:endChr m:val=")"/>
                  <m:sepChr m:val=""/>
                  <m:grow/>
                </m:dPr>
                <m:e>
                  <m:r>
                    <m:t>t</m:t>
                  </m:r>
                </m:e>
              </m:d>
              <m:r>
                <m:rPr>
                  <m:sty m:val="p"/>
                </m:rPr>
                <m:t>−</m:t>
              </m:r>
              <m:sSub>
                <m:e>
                  <m:r>
                    <m:t>R</m:t>
                  </m:r>
                </m:e>
                <m:sub>
                  <m:r>
                    <m:t>0</m:t>
                  </m:r>
                </m:sub>
              </m:sSub>
            </m:e>
          </m:d>
          <m:sSubSup>
            <m:e>
              <m:r>
                <m:t>p</m:t>
              </m:r>
            </m:e>
            <m:sub>
              <m:r>
                <m:t>z</m:t>
              </m:r>
              <m:r>
                <m:rPr>
                  <m:sty m:val="p"/>
                </m:rPr>
                <m:t>,</m:t>
              </m:r>
              <m:r>
                <m:t>t</m:t>
              </m:r>
            </m:sub>
            <m:sup>
              <m:d>
                <m:dPr>
                  <m:begChr m:val="("/>
                  <m:endChr m:val=")"/>
                  <m:sepChr m:val=""/>
                  <m:grow/>
                </m:dPr>
                <m:e>
                  <m:r>
                    <m:t>k</m:t>
                  </m:r>
                </m:e>
              </m:d>
            </m:sup>
          </m:sSubSup>
          <m:r>
            <m:rPr>
              <m:sty m:val="p"/>
            </m:rPr>
            <m:t>.</m:t>
          </m:r>
        </m:oMath>
      </m:oMathPara>
    </w:p>
    <w:p>
      <w:pPr>
        <w:pStyle w:val="FirstParagraph"/>
      </w:pPr>
      <w:r>
        <w:t xml:space="preserve">Der aus RES und Last isolierte Anteil folgt identisch, indem statt</w:t>
      </w:r>
      <w:r>
        <w:t xml:space="preserve"> </w:t>
      </w:r>
      <m:oMath>
        <m:sSub>
          <m:e>
            <m:r>
              <m:t>p</m:t>
            </m:r>
          </m:e>
          <m:sub>
            <m:r>
              <m:t>d</m:t>
            </m:r>
          </m:sub>
        </m:sSub>
      </m:oMath>
      <w:r>
        <w:t xml:space="preserve"> </w:t>
      </w:r>
      <w:r>
        <w:t xml:space="preserve">nur</w:t>
      </w:r>
      <w:r>
        <w:t xml:space="preserve"> </w:t>
      </w:r>
      <m:oMath>
        <m:r>
          <m:t>q</m:t>
        </m:r>
        <m:r>
          <m:rPr>
            <m:sty m:val="p"/>
          </m:rPr>
          <m:t>=</m:t>
        </m:r>
        <m:sSub>
          <m:e>
            <m:r>
              <m:t>p</m:t>
            </m:r>
          </m:e>
          <m:sub>
            <m:r>
              <m:rPr>
                <m:sty m:val="p"/>
              </m:rPr>
              <m:t>R</m:t>
            </m:r>
            <m:r>
              <m:rPr>
                <m:sty m:val="p"/>
              </m:rPr>
              <m:t>E</m:t>
            </m:r>
            <m:r>
              <m:rPr>
                <m:sty m:val="p"/>
              </m:rPr>
              <m:t>S</m:t>
            </m:r>
            <m:r>
              <m:rPr>
                <m:sty m:val="p"/>
              </m:rPr>
              <m:t>,</m:t>
            </m:r>
            <m:r>
              <m:t>a</m:t>
            </m:r>
            <m:r>
              <m:t>v</m:t>
            </m:r>
            <m:r>
              <m:t>a</m:t>
            </m:r>
            <m:r>
              <m:t>i</m:t>
            </m:r>
            <m:r>
              <m:t>l</m:t>
            </m:r>
          </m:sub>
        </m:sSub>
        <m:r>
          <m:rPr>
            <m:sty m:val="p"/>
          </m:rPr>
          <m:t>−</m:t>
        </m:r>
        <m:sSub>
          <m:e>
            <m:r>
              <m:t>p</m:t>
            </m:r>
          </m:e>
          <m:sub>
            <m:r>
              <m:rPr>
                <m:sty m:val="p"/>
              </m:rPr>
              <m:t>l</m:t>
            </m:r>
            <m:r>
              <m:rPr>
                <m:sty m:val="p"/>
              </m:rPr>
              <m:t>o</m:t>
            </m:r>
            <m:r>
              <m:rPr>
                <m:sty m:val="p"/>
              </m:rPr>
              <m:t>a</m:t>
            </m:r>
            <m:r>
              <m:rPr>
                <m:sty m:val="p"/>
              </m:rPr>
              <m:t>d</m:t>
            </m:r>
          </m:sub>
        </m:sSub>
      </m:oMath>
      <w:r>
        <w:t xml:space="preserve"> </w:t>
      </w:r>
      <w:r>
        <w:t xml:space="preserve">in</w:t>
      </w:r>
      <w:r>
        <w:t xml:space="preserve"> </w:t>
      </w:r>
      <m:oMath>
        <m:d>
          <m:dPr>
            <m:begChr m:val="("/>
            <m:endChr m:val=")"/>
            <m:sepChr m:val=""/>
            <m:grow/>
          </m:dPr>
          <m:e>
            <m:r>
              <m:t>I</m:t>
            </m:r>
            <m:r>
              <m:rPr>
                <m:sty m:val="p"/>
              </m:rPr>
              <m:t>−</m:t>
            </m:r>
            <m:sSub>
              <m:e>
                <m:r>
                  <m:t>R</m:t>
                </m:r>
              </m:e>
              <m:sub>
                <m:r>
                  <m:t>0</m:t>
                </m:r>
              </m:sub>
            </m:sSub>
            <m:r>
              <m:t>P</m:t>
            </m:r>
          </m:e>
        </m:d>
        <m:r>
          <m:t>q</m:t>
        </m:r>
      </m:oMath>
      <w:r>
        <w:t xml:space="preserve"> </w:t>
      </w:r>
      <w:r>
        <w:t xml:space="preserve">eingesetzt wird. Dieser intrazonale Strukturvektor ist</w:t>
      </w:r>
      <w:r>
        <w:t xml:space="preserve"> </w:t>
      </w:r>
      <w:r>
        <w:rPr>
          <w:b/>
          <w:bCs/>
        </w:rPr>
        <w:t xml:space="preserve">per Konstruktion bilanziert</w:t>
      </w:r>
      <w:r>
        <w:t xml:space="preserve">, selbst wenn</w:t>
      </w:r>
      <w:r>
        <w:t xml:space="preserve"> </w:t>
      </w:r>
      <m:oMath>
        <m:r>
          <m:t>q</m:t>
        </m:r>
      </m:oMath>
      <w:r>
        <w:t xml:space="preserve"> </w:t>
      </w:r>
      <w:r>
        <w:t xml:space="preserve">insgesamt keine ausgeglichene Einspeisung ist. Er kann somit schon für eine feste Busmap ohne Markt-Dispatch ausgewertet werden. Er ist allerdings nur ein</w:t>
      </w:r>
      <w:r>
        <w:t xml:space="preserve"> </w:t>
      </w:r>
      <w:r>
        <w:rPr>
          <w:b/>
          <w:bCs/>
        </w:rPr>
        <w:t xml:space="preserve">Teil</w:t>
      </w:r>
      <w:r>
        <w:t xml:space="preserve"> </w:t>
      </w:r>
      <w:r>
        <w:t xml:space="preserve">der vollständigen strukturellen Korrektur.</w:t>
      </w:r>
    </w:p>
    <w:p>
      <w:pPr>
        <w:pStyle w:val="BodyText"/>
      </w:pPr>
      <w:r>
        <w:rPr>
          <w:b/>
          <w:bCs/>
        </w:rPr>
        <w:t xml:space="preserve">IoSN-Abgleich:</w:t>
      </w:r>
      <w:r>
        <w:t xml:space="preserve"> </w:t>
      </w:r>
      <w:r>
        <w:t xml:space="preserve">[E1, S. 48] beschreibt die „zero balance flow corrections“ wegen räumlicher Last-/Erzeugungsasymmetrien, veröffentlicht aber keine Technologienzerlegung. (T2) ist eine eigene mathematische Erklärung und ein möglicher Verbesserungsansatz, nicht die publizierte IoSN-Parameteridentifikation.</w:t>
      </w:r>
    </w:p>
    <w:bookmarkEnd w:id="39"/>
    <w:bookmarkEnd w:id="40"/>
    <w:bookmarkStart w:id="44" w:name="X6592843e2ad04e3e1a81c97b00812f1a057c1e3"/>
    <w:p>
      <w:pPr>
        <w:pStyle w:val="Heading1"/>
      </w:pPr>
      <w:r>
        <w:t xml:space="preserve">7. Referenzverteilungen, Merit Order und Ersatzknoten</w:t>
      </w:r>
    </w:p>
    <w:bookmarkStart w:id="41" w:name="drei-verteilungsoperatoren-e"/>
    <w:p>
      <w:pPr>
        <w:pStyle w:val="Heading2"/>
      </w:pPr>
      <w:r>
        <w:t xml:space="preserve">7.1 Drei Verteilungsoperatoren [E]</w:t>
      </w:r>
    </w:p>
    <w:p>
      <w:pPr>
        <w:pStyle w:val="FirstParagraph"/>
      </w:pPr>
      <w:r>
        <w:t xml:space="preserve">Für eine Zone</w:t>
      </w:r>
      <w:r>
        <w:t xml:space="preserve"> </w:t>
      </w:r>
      <m:oMath>
        <m:r>
          <m:t>z</m:t>
        </m:r>
      </m:oMath>
      <w:r>
        <w:t xml:space="preserve"> </w:t>
      </w:r>
      <w:r>
        <w:t xml:space="preserve">und den Knoten</w:t>
      </w:r>
      <w:r>
        <w:t xml:space="preserve"> </w:t>
      </w:r>
      <m:oMath>
        <m:r>
          <m:t>i</m:t>
        </m:r>
        <m:r>
          <m:rPr>
            <m:sty m:val="p"/>
          </m:rPr>
          <m:t>∈</m:t>
        </m:r>
        <m:r>
          <m:t>z</m:t>
        </m:r>
      </m:oMath>
      <w:r>
        <w:t xml:space="preserve"> </w:t>
      </w:r>
      <w:r>
        <w:t xml:space="preserve">werden drei Kandidaten definiert:</w:t>
      </w:r>
    </w:p>
    <w:p>
      <w:pPr>
        <w:pStyle w:val="Compact"/>
        <w:numPr>
          <w:ilvl w:val="0"/>
          <w:numId w:val="1003"/>
        </w:numPr>
      </w:pPr>
      <w:r>
        <w:rPr>
          <w:b/>
          <w:bCs/>
        </w:rPr>
        <w:t xml:space="preserve">Gleichverteilung:</w:t>
      </w:r>
      <w:r>
        <w:t xml:space="preserve"> </w:t>
      </w:r>
      <m:oMath>
        <m:sSub>
          <m:e>
            <m:r>
              <m:t>R</m:t>
            </m:r>
          </m:e>
          <m:sub>
            <m:r>
              <m:rPr>
                <m:sty m:val="p"/>
              </m:rPr>
              <m:t>u</m:t>
            </m:r>
            <m:r>
              <m:rPr>
                <m:sty m:val="p"/>
              </m:rPr>
              <m:t>n</m:t>
            </m:r>
            <m:r>
              <m:rPr>
                <m:sty m:val="p"/>
              </m:rPr>
              <m:t>i</m:t>
            </m:r>
            <m:r>
              <m:rPr>
                <m:sty m:val="p"/>
              </m:rPr>
              <m:t>,</m:t>
            </m:r>
            <m:r>
              <m:t>i</m:t>
            </m:r>
            <m:r>
              <m:t>z</m:t>
            </m:r>
          </m:sub>
        </m:sSub>
        <m:r>
          <m:rPr>
            <m:sty m:val="p"/>
          </m:rPr>
          <m:t>=</m:t>
        </m:r>
        <m:r>
          <m:t>1</m:t>
        </m:r>
        <m:r>
          <m:rPr>
            <m:sty m:val="p"/>
          </m:rPr>
          <m:t>/</m:t>
        </m:r>
        <m:d>
          <m:dPr>
            <m:begChr m:val="|"/>
            <m:endChr m:val="|"/>
            <m:sepChr m:val=""/>
            <m:grow/>
          </m:dPr>
          <m:e>
            <m:sSub>
              <m:e>
                <m:r>
                  <m:rPr>
                    <m:sty m:val="p"/>
                    <m:scr m:val="script"/>
                  </m:rPr>
                  <m:t>N</m:t>
                </m:r>
              </m:e>
              <m:sub>
                <m:r>
                  <m:t>z</m:t>
                </m:r>
              </m:sub>
            </m:sSub>
          </m:e>
        </m:d>
      </m:oMath>
      <w:r>
        <w:t xml:space="preserve">.</w:t>
      </w:r>
    </w:p>
    <w:p>
      <w:pPr>
        <w:pStyle w:val="Compact"/>
        <w:numPr>
          <w:ilvl w:val="0"/>
          <w:numId w:val="1003"/>
        </w:numPr>
      </w:pPr>
      <w:r>
        <w:rPr>
          <w:b/>
          <w:bCs/>
        </w:rPr>
        <w:t xml:space="preserve">Kapazitätsgewichtung:</w:t>
      </w:r>
      <w:r>
        <w:t xml:space="preserve"> </w:t>
      </w:r>
      <m:oMath>
        <m:sSub>
          <m:e>
            <m:r>
              <m:t>R</m:t>
            </m:r>
          </m:e>
          <m:sub>
            <m:r>
              <m:rPr>
                <m:sty m:val="p"/>
              </m:rPr>
              <m:t>c</m:t>
            </m:r>
            <m:r>
              <m:rPr>
                <m:sty m:val="p"/>
              </m:rPr>
              <m:t>a</m:t>
            </m:r>
            <m:r>
              <m:rPr>
                <m:sty m:val="p"/>
              </m:rPr>
              <m:t>p</m:t>
            </m:r>
            <m:r>
              <m:rPr>
                <m:sty m:val="p"/>
              </m:rPr>
              <m:t>,</m:t>
            </m:r>
            <m:r>
              <m:t>i</m:t>
            </m:r>
            <m:r>
              <m:t>z</m:t>
            </m:r>
          </m:sub>
        </m:sSub>
        <m:r>
          <m:rPr>
            <m:sty m:val="p"/>
          </m:rPr>
          <m:t>=</m:t>
        </m:r>
        <m:sSub>
          <m:e>
            <m:r>
              <m:t>C</m:t>
            </m:r>
          </m:e>
          <m:sub>
            <m:r>
              <m:t>i</m:t>
            </m:r>
          </m:sub>
        </m:sSub>
        <m:r>
          <m:rPr>
            <m:sty m:val="p"/>
          </m:rPr>
          <m:t>/</m:t>
        </m:r>
        <m:nary>
          <m:naryPr>
            <m:chr m:val="∑"/>
            <m:limLoc m:val="undOvr"/>
            <m:subHide m:val="off"/>
            <m:supHide m:val="on"/>
          </m:naryPr>
          <m:sub>
            <m:r>
              <m:t>j</m:t>
            </m:r>
            <m:r>
              <m:rPr>
                <m:sty m:val="p"/>
              </m:rPr>
              <m:t>∈</m:t>
            </m:r>
            <m:r>
              <m:t>z</m:t>
            </m:r>
          </m:sub>
          <m:sup>
            <m:r>
              <m:t>​</m:t>
            </m:r>
          </m:sup>
          <m:e>
            <m:sSub>
              <m:e>
                <m:r>
                  <m:t>C</m:t>
                </m:r>
              </m:e>
              <m:sub>
                <m:r>
                  <m:t>j</m:t>
                </m:r>
              </m:sub>
            </m:sSub>
          </m:e>
        </m:nary>
      </m:oMath>
      <w:r>
        <w:t xml:space="preserve"> </w:t>
      </w:r>
      <w:r>
        <w:t xml:space="preserve">mit installierter geeigneter Leistung</w:t>
      </w:r>
      <w:r>
        <w:t xml:space="preserve"> </w:t>
      </w:r>
      <m:oMath>
        <m:sSub>
          <m:e>
            <m:r>
              <m:t>C</m:t>
            </m:r>
          </m:e>
          <m:sub>
            <m:r>
              <m:t>i</m:t>
            </m:r>
          </m:sub>
        </m:sSub>
        <m:r>
          <m:rPr>
            <m:sty m:val="p"/>
          </m:rPr>
          <m:t>≥</m:t>
        </m:r>
        <m:r>
          <m:t>0</m:t>
        </m:r>
      </m:oMath>
      <w:r>
        <w:t xml:space="preserve">.</w:t>
      </w:r>
    </w:p>
    <w:p>
      <w:pPr>
        <w:pStyle w:val="Compact"/>
        <w:numPr>
          <w:ilvl w:val="0"/>
          <w:numId w:val="1003"/>
        </w:numPr>
      </w:pPr>
      <w:r>
        <w:rPr>
          <w:b/>
          <w:bCs/>
        </w:rPr>
        <w:t xml:space="preserve">Kostenbasierte Präferenz:</w:t>
      </w:r>
      <w:r>
        <w:t xml:space="preserve"> </w:t>
      </w:r>
      <m:oMath>
        <m:sSub>
          <m:e>
            <m:r>
              <m:t>R</m:t>
            </m:r>
          </m:e>
          <m:sub>
            <m:r>
              <m:rPr>
                <m:sty m:val="p"/>
              </m:rPr>
              <m:t>c</m:t>
            </m:r>
            <m:r>
              <m:rPr>
                <m:sty m:val="p"/>
              </m:rPr>
              <m:t>o</m:t>
            </m:r>
            <m:r>
              <m:rPr>
                <m:sty m:val="p"/>
              </m:rPr>
              <m:t>s</m:t>
            </m:r>
            <m:r>
              <m:rPr>
                <m:sty m:val="p"/>
              </m:rPr>
              <m:t>t</m:t>
            </m:r>
            <m:r>
              <m:rPr>
                <m:sty m:val="p"/>
              </m:rPr>
              <m:t>,</m:t>
            </m:r>
            <m:r>
              <m:t>i</m:t>
            </m:r>
            <m:r>
              <m:t>z</m:t>
            </m:r>
          </m:sub>
        </m:sSub>
        <m:r>
          <m:rPr>
            <m:sty m:val="p"/>
          </m:rPr>
          <m:t>=</m:t>
        </m:r>
        <m:sSub>
          <m:e>
            <m:r>
              <m:t>C</m:t>
            </m:r>
          </m:e>
          <m:sub>
            <m:r>
              <m:t>i</m:t>
            </m:r>
          </m:sub>
        </m:sSub>
        <m:r>
          <m:t>ψ</m:t>
        </m:r>
        <m:d>
          <m:dPr>
            <m:begChr m:val="("/>
            <m:endChr m:val=")"/>
            <m:sepChr m:val=""/>
            <m:grow/>
          </m:dPr>
          <m:e>
            <m:sSub>
              <m:e>
                <m:r>
                  <m:t>c</m:t>
                </m:r>
              </m:e>
              <m:sub>
                <m:r>
                  <m:t>i</m:t>
                </m:r>
              </m:sub>
            </m:sSub>
          </m:e>
        </m:d>
        <m:r>
          <m:rPr>
            <m:sty m:val="p"/>
          </m:rPr>
          <m:t>/</m:t>
        </m:r>
        <m:nary>
          <m:naryPr>
            <m:chr m:val="∑"/>
            <m:limLoc m:val="undOvr"/>
            <m:subHide m:val="off"/>
            <m:supHide m:val="on"/>
          </m:naryPr>
          <m:sub>
            <m:r>
              <m:t>j</m:t>
            </m:r>
            <m:r>
              <m:rPr>
                <m:sty m:val="p"/>
              </m:rPr>
              <m:t>∈</m:t>
            </m:r>
            <m:r>
              <m:t>z</m:t>
            </m:r>
          </m:sub>
          <m:sup>
            <m:r>
              <m:t>​</m:t>
            </m:r>
          </m:sup>
          <m:e>
            <m:sSub>
              <m:e>
                <m:r>
                  <m:t>C</m:t>
                </m:r>
              </m:e>
              <m:sub>
                <m:r>
                  <m:t>j</m:t>
                </m:r>
              </m:sub>
            </m:sSub>
          </m:e>
        </m:nary>
        <m:r>
          <m:t>ψ</m:t>
        </m:r>
        <m:d>
          <m:dPr>
            <m:begChr m:val="("/>
            <m:endChr m:val=")"/>
            <m:sepChr m:val=""/>
            <m:grow/>
          </m:dPr>
          <m:e>
            <m:sSub>
              <m:e>
                <m:r>
                  <m:t>c</m:t>
                </m:r>
              </m:e>
              <m:sub>
                <m:r>
                  <m:t>j</m:t>
                </m:r>
              </m:sub>
            </m:sSub>
          </m:e>
        </m:d>
      </m:oMath>
      <w:r>
        <w:t xml:space="preserve"> </w:t>
      </w:r>
      <w:r>
        <w:t xml:space="preserve">mit vorab definierter monoton fallender positiver</w:t>
      </w:r>
      <w:r>
        <w:t xml:space="preserve"> </w:t>
      </w:r>
      <m:oMath>
        <m:r>
          <m:t>ψ</m:t>
        </m:r>
      </m:oMath>
      <w:r>
        <w:t xml:space="preserve"> </w:t>
      </w:r>
      <w:r>
        <w:t xml:space="preserve">und festen Grenzkosten</w:t>
      </w:r>
      <w:r>
        <w:t xml:space="preserve"> </w:t>
      </w:r>
      <m:oMath>
        <m:sSub>
          <m:e>
            <m:r>
              <m:t>c</m:t>
            </m:r>
          </m:e>
          <m:sub>
            <m:r>
              <m:t>i</m:t>
            </m:r>
          </m:sub>
        </m:sSub>
      </m:oMath>
      <w:r>
        <w:t xml:space="preserve">.</w:t>
      </w:r>
    </w:p>
    <w:p>
      <w:pPr>
        <w:pStyle w:val="FirstParagraph"/>
      </w:pPr>
      <w:r>
        <w:t xml:space="preserve">Die dritte Variante ist ein</w:t>
      </w:r>
      <w:r>
        <w:t xml:space="preserve"> </w:t>
      </w:r>
      <w:r>
        <w:rPr>
          <w:b/>
          <w:bCs/>
        </w:rPr>
        <w:t xml:space="preserve">glatter Kostenproxy</w:t>
      </w:r>
      <w:r>
        <w:t xml:space="preserve">, keine strenge Merit Order. Eine echte stufenweise Merit-Order-Allokation löst für einen gegebenen zonalen Residualbedarf</w:t>
      </w:r>
      <w:r>
        <w:t xml:space="preserve"> </w:t>
      </w:r>
      <m:oMath>
        <m:sSub>
          <m:e>
            <m:r>
              <m:t>D</m:t>
            </m:r>
          </m:e>
          <m:sub>
            <m:r>
              <m:t>z</m:t>
            </m:r>
          </m:sub>
        </m:sSub>
      </m:oMath>
      <w:r>
        <w:t xml:space="preserve"> </w:t>
      </w:r>
      <w:r>
        <w:t xml:space="preserve">etwa</w:t>
      </w:r>
    </w:p>
    <w:p>
      <w:pPr>
        <w:pStyle w:val="BodyText"/>
      </w:pPr>
      <m:oMathPara>
        <m:oMathParaPr>
          <m:jc m:val="center"/>
        </m:oMathParaPr>
        <m:oMath>
          <m:limLow>
            <m:e>
              <m:r>
                <m:rPr>
                  <m:sty m:val="p"/>
                </m:rPr>
                <m:t>min</m:t>
              </m:r>
            </m:e>
            <m:lim>
              <m:r>
                <m:t>g</m:t>
              </m:r>
            </m:lim>
          </m:limLow>
          <m:nary>
            <m:naryPr>
              <m:chr m:val="∑"/>
              <m:limLoc m:val="undOvr"/>
              <m:subHide m:val="off"/>
              <m:supHide m:val="on"/>
            </m:naryPr>
            <m:sub>
              <m:r>
                <m:t>i</m:t>
              </m:r>
              <m:r>
                <m:rPr>
                  <m:sty m:val="p"/>
                </m:rPr>
                <m:t>∈</m:t>
              </m:r>
              <m:r>
                <m:t>z</m:t>
              </m:r>
            </m:sub>
            <m:sup>
              <m:r>
                <m:t>​</m:t>
              </m:r>
            </m:sup>
            <m:e>
              <m:sSub>
                <m:e>
                  <m:r>
                    <m:t>c</m:t>
                  </m:r>
                </m:e>
                <m:sub>
                  <m:r>
                    <m:t>i</m:t>
                  </m:r>
                </m:sub>
              </m:sSub>
            </m:e>
          </m:nary>
          <m:sSub>
            <m:e>
              <m:r>
                <m:t>g</m:t>
              </m:r>
            </m:e>
            <m:sub>
              <m:r>
                <m:t>i</m:t>
              </m:r>
            </m:sub>
          </m:sSub>
          <m:r>
            <m:t> </m:t>
          </m:r>
          <m:r>
            <m:rPr>
              <m:nor/>
              <m:sty m:val="p"/>
            </m:rPr>
            <m:t>unter</m:t>
          </m:r>
          <m:r>
            <m:t> </m:t>
          </m:r>
          <m:nary>
            <m:naryPr>
              <m:chr m:val="∑"/>
              <m:limLoc m:val="undOvr"/>
              <m:subHide m:val="off"/>
              <m:supHide m:val="on"/>
            </m:naryPr>
            <m:sub>
              <m:r>
                <m:t>i</m:t>
              </m:r>
              <m:r>
                <m:rPr>
                  <m:sty m:val="p"/>
                </m:rPr>
                <m:t>∈</m:t>
              </m:r>
              <m:r>
                <m:t>z</m:t>
              </m:r>
            </m:sub>
            <m:sup>
              <m:r>
                <m:t>​</m:t>
              </m:r>
            </m:sup>
            <m:e>
              <m:sSub>
                <m:e>
                  <m:r>
                    <m:t>g</m:t>
                  </m:r>
                </m:e>
                <m:sub>
                  <m:r>
                    <m:t>i</m:t>
                  </m:r>
                </m:sub>
              </m:sSub>
            </m:e>
          </m:nary>
          <m:r>
            <m:rPr>
              <m:sty m:val="p"/>
            </m:rPr>
            <m:t>=</m:t>
          </m:r>
          <m:sSub>
            <m:e>
              <m:r>
                <m:t>D</m:t>
              </m:r>
            </m:e>
            <m:sub>
              <m:r>
                <m:t>z</m:t>
              </m:r>
            </m:sub>
          </m:sSub>
          <m:r>
            <m:rPr>
              <m:sty m:val="p"/>
            </m:rPr>
            <m:t>,</m:t>
          </m:r>
          <m:r>
            <m:t> </m:t>
          </m:r>
          <m:r>
            <m:t>0</m:t>
          </m:r>
          <m:r>
            <m:rPr>
              <m:sty m:val="p"/>
            </m:rPr>
            <m:t>≤</m:t>
          </m:r>
          <m:sSub>
            <m:e>
              <m:r>
                <m:t>g</m:t>
              </m:r>
            </m:e>
            <m:sub>
              <m:r>
                <m:t>i</m:t>
              </m:r>
            </m:sub>
          </m:sSub>
          <m:r>
            <m:rPr>
              <m:sty m:val="p"/>
            </m:rPr>
            <m:t>≤</m:t>
          </m:r>
          <m:sSub>
            <m:e>
              <m:r>
                <m:t>C</m:t>
              </m:r>
            </m:e>
            <m:sub>
              <m:r>
                <m:t>i</m:t>
              </m:r>
            </m:sub>
          </m:sSub>
          <m:r>
            <m:rPr>
              <m:sty m:val="p"/>
            </m:rPr>
            <m:t>.</m:t>
          </m:r>
        </m:oMath>
      </m:oMathPara>
    </w:p>
    <w:p>
      <w:pPr>
        <w:pStyle w:val="FirstParagraph"/>
      </w:pPr>
      <w:r>
        <w:t xml:space="preserve">Fixe Preise implizieren</w:t>
      </w:r>
      <w:r>
        <w:t xml:space="preserve"> </w:t>
      </w:r>
      <w:r>
        <w:rPr>
          <w:b/>
          <w:bCs/>
        </w:rPr>
        <w:t xml:space="preserve">nicht</w:t>
      </w:r>
      <w:r>
        <w:t xml:space="preserve"> </w:t>
      </w:r>
      <w:r>
        <w:t xml:space="preserve">fixe Gewichte: Die Lösung ändert sich mit dem Bedarf</w:t>
      </w:r>
      <w:r>
        <w:t xml:space="preserve"> </w:t>
      </w:r>
      <m:oMath>
        <m:sSub>
          <m:e>
            <m:r>
              <m:t>D</m:t>
            </m:r>
          </m:e>
          <m:sub>
            <m:r>
              <m:t>z</m:t>
            </m:r>
          </m:sub>
        </m:sSub>
      </m:oMath>
      <w:r>
        <w:t xml:space="preserve">. Für eine zeitlich konstante Referenz kann ein definiertes Ensemble repräsentativer Residualbedarfsniveaus</w:t>
      </w:r>
      <w:r>
        <w:t xml:space="preserve"> </w:t>
      </w:r>
      <m:oMath>
        <m:sSubSup>
          <m:e>
            <m:r>
              <m:t>D</m:t>
            </m:r>
          </m:e>
          <m:sub>
            <m:r>
              <m:t>z</m:t>
            </m:r>
          </m:sub>
          <m:sup>
            <m:d>
              <m:dPr>
                <m:begChr m:val="("/>
                <m:endChr m:val=")"/>
                <m:sepChr m:val=""/>
                <m:grow/>
              </m:dPr>
              <m:e>
                <m:r>
                  <m:t>r</m:t>
                </m:r>
              </m:e>
            </m:d>
          </m:sup>
        </m:sSubSup>
      </m:oMath>
      <w:r>
        <w:t xml:space="preserve"> </w:t>
      </w:r>
      <w:r>
        <w:t xml:space="preserve">verwendet und</w:t>
      </w:r>
      <w:r>
        <w:t xml:space="preserve"> </w:t>
      </w:r>
      <m:oMath>
        <m:sSubSup>
          <m:e>
            <m:r>
              <m:t>g</m:t>
            </m:r>
          </m:e>
          <m:sub>
            <m:r>
              <m:t>i</m:t>
            </m:r>
          </m:sub>
          <m:sup>
            <m:d>
              <m:dPr>
                <m:begChr m:val="("/>
                <m:endChr m:val=")"/>
                <m:sepChr m:val=""/>
                <m:grow/>
              </m:dPr>
              <m:e>
                <m:r>
                  <m:t>r</m:t>
                </m:r>
              </m:e>
            </m:d>
          </m:sup>
        </m:sSubSup>
      </m:oMath>
      <w:r>
        <w:t xml:space="preserve"> </w:t>
      </w:r>
      <w:r>
        <w:t xml:space="preserve">mit veröffentlichten Gewichten gemittelt werden. Bei nicht flexiblen Kernkraftwerken müssen Verfügbarkeit, Mindestlast und Betriebsrestriktionen gesondert beachtet werden.</w:t>
      </w:r>
    </w:p>
    <w:bookmarkEnd w:id="41"/>
    <w:bookmarkStart w:id="42" w:name="Xae93ae45819690a33598cb4aa45295237ae5b13"/>
    <w:p>
      <w:pPr>
        <w:pStyle w:val="Heading2"/>
      </w:pPr>
      <w:r>
        <w:t xml:space="preserve">7.2 Gemeinsame Referenz-PTDF und einzelner Ersatzknoten</w:t>
      </w:r>
    </w:p>
    <w:p>
      <w:pPr>
        <w:pStyle w:val="FirstParagraph"/>
      </w:pPr>
      <w:r>
        <w:t xml:space="preserve">Für eine gewählte Referenz</w:t>
      </w:r>
      <w:r>
        <w:t xml:space="preserve"> </w:t>
      </w:r>
      <m:oMath>
        <m:r>
          <m:t>R</m:t>
        </m:r>
      </m:oMath>
      <w:r>
        <w:t xml:space="preserve"> </w:t>
      </w:r>
      <w:r>
        <w:t xml:space="preserve">folgt</w:t>
      </w:r>
      <w:r>
        <w:t xml:space="preserve"> </w:t>
      </w:r>
      <m:oMath>
        <m:sSubSup>
          <m:e>
            <m:r>
              <m:t>H</m:t>
            </m:r>
          </m:e>
          <m:sub>
            <m:r>
              <m:t>z</m:t>
            </m:r>
          </m:sub>
          <m:sup>
            <m:r>
              <m:rPr>
                <m:sty m:val="p"/>
              </m:rPr>
              <m:t>r</m:t>
            </m:r>
            <m:r>
              <m:rPr>
                <m:sty m:val="p"/>
              </m:rPr>
              <m:t>e</m:t>
            </m:r>
            <m:r>
              <m:rPr>
                <m:sty m:val="p"/>
              </m:rPr>
              <m:t>f</m:t>
            </m:r>
          </m:sup>
        </m:sSubSup>
        <m:r>
          <m:rPr>
            <m:sty m:val="p"/>
          </m:rPr>
          <m:t>=</m:t>
        </m:r>
        <m:r>
          <m:t>Γ</m:t>
        </m:r>
        <m:sSub>
          <m:e>
            <m:r>
              <m:t>H</m:t>
            </m:r>
          </m:e>
          <m:sub>
            <m:r>
              <m:t>d</m:t>
            </m:r>
          </m:sub>
        </m:sSub>
        <m:r>
          <m:t>R</m:t>
        </m:r>
      </m:oMath>
      <w:r>
        <w:t xml:space="preserve">. Alternativ kann eine Spalte</w:t>
      </w:r>
      <w:r>
        <w:t xml:space="preserve"> </w:t>
      </w:r>
      <m:oMath>
        <m:sSub>
          <m:e>
            <m:r>
              <m:t>r</m:t>
            </m:r>
          </m:e>
          <m:sub>
            <m:r>
              <m:t>z</m:t>
            </m:r>
          </m:sub>
        </m:sSub>
      </m:oMath>
      <w:r>
        <w:t xml:space="preserve"> </w:t>
      </w:r>
      <w:r>
        <w:t xml:space="preserve">durch einen einzelnen Originalknoten</w:t>
      </w:r>
      <w:r>
        <w:t xml:space="preserve"> </w:t>
      </w:r>
      <m:oMath>
        <m:sSub>
          <m:e>
            <m:r>
              <m:t>i</m:t>
            </m:r>
          </m:e>
          <m:sub>
            <m:r>
              <m:t>z</m:t>
            </m:r>
          </m:sub>
        </m:sSub>
        <m:r>
          <m:rPr>
            <m:sty m:val="p"/>
          </m:rPr>
          <m:t>∈</m:t>
        </m:r>
        <m:sSub>
          <m:e>
            <m:r>
              <m:rPr>
                <m:sty m:val="p"/>
                <m:scr m:val="script"/>
              </m:rPr>
              <m:t>N</m:t>
            </m:r>
          </m:e>
          <m:sub>
            <m:r>
              <m:t>z</m:t>
            </m:r>
          </m:sub>
        </m:sSub>
      </m:oMath>
      <w:r>
        <w:t xml:space="preserve"> </w:t>
      </w:r>
      <w:r>
        <w:t xml:space="preserve">ersetzt werden. Ein elektrisch sinnvoller Kandidat löst</w:t>
      </w:r>
    </w:p>
    <w:p>
      <w:pPr>
        <w:pStyle w:val="BodyText"/>
      </w:pPr>
      <m:oMathPara>
        <m:oMathParaPr>
          <m:jc m:val="center"/>
        </m:oMathParaPr>
        <m:oMath>
          <m:sSubSup>
            <m:e>
              <m:r>
                <m:t>i</m:t>
              </m:r>
            </m:e>
            <m:sub>
              <m:r>
                <m:t>z</m:t>
              </m:r>
            </m:sub>
            <m:sup>
              <m:r>
                <m:rPr>
                  <m:sty m:val="p"/>
                </m:rPr>
                <m:t>*</m:t>
              </m:r>
            </m:sup>
          </m:sSubSup>
          <m:r>
            <m:rPr>
              <m:sty m:val="p"/>
            </m:rPr>
            <m:t>∈</m:t>
          </m:r>
          <m:r>
            <m:rPr>
              <m:sty m:val="p"/>
            </m:rPr>
            <m:t>arg</m:t>
          </m:r>
          <m:limLow>
            <m:e>
              <m:r>
                <m:rPr>
                  <m:sty m:val="p"/>
                </m:rPr>
                <m:t>min</m:t>
              </m:r>
            </m:e>
            <m:lim>
              <m:r>
                <m:t>i</m:t>
              </m:r>
              <m:r>
                <m:rPr>
                  <m:sty m:val="p"/>
                </m:rPr>
                <m:t>∈</m:t>
              </m:r>
              <m:sSub>
                <m:e>
                  <m:r>
                    <m:rPr>
                      <m:sty m:val="p"/>
                      <m:scr m:val="script"/>
                    </m:rPr>
                    <m:t>N</m:t>
                  </m:r>
                </m:e>
                <m:sub>
                  <m:r>
                    <m:t>z</m:t>
                  </m:r>
                </m:sub>
              </m:sSub>
            </m:lim>
          </m:limLow>
          <m:sSub>
            <m:e>
              <m:d>
                <m:dPr>
                  <m:begChr m:val="∥"/>
                  <m:endChr m:val="∥"/>
                  <m:sepChr m:val=""/>
                  <m:grow/>
                </m:dPr>
                <m:e>
                  <m:r>
                    <m:t>W</m:t>
                  </m:r>
                  <m:r>
                    <m:t>Γ</m:t>
                  </m:r>
                  <m:sSub>
                    <m:e>
                      <m:r>
                        <m:t>H</m:t>
                      </m:r>
                    </m:e>
                    <m:sub>
                      <m:r>
                        <m:t>d</m:t>
                      </m:r>
                    </m:sub>
                  </m:sSub>
                  <m:d>
                    <m:dPr>
                      <m:begChr m:val="("/>
                      <m:endChr m:val=")"/>
                      <m:sepChr m:val=""/>
                      <m:grow/>
                    </m:dPr>
                    <m:e>
                      <m:sSub>
                        <m:e>
                          <m:r>
                            <m:t>e</m:t>
                          </m:r>
                        </m:e>
                        <m:sub>
                          <m:r>
                            <m:t>i</m:t>
                          </m:r>
                        </m:sub>
                      </m:sSub>
                      <m:r>
                        <m:rPr>
                          <m:sty m:val="p"/>
                        </m:rPr>
                        <m:t>−</m:t>
                      </m:r>
                      <m:sSub>
                        <m:e>
                          <m:r>
                            <m:t>R</m:t>
                          </m:r>
                        </m:e>
                        <m:sub>
                          <m:r>
                            <m:rPr>
                              <m:sty m:val="p"/>
                            </m:rPr>
                            <m:t>:</m:t>
                          </m:r>
                          <m:r>
                            <m:rPr>
                              <m:sty m:val="p"/>
                            </m:rPr>
                            <m:t>,</m:t>
                          </m:r>
                          <m:r>
                            <m:t>z</m:t>
                          </m:r>
                        </m:sub>
                      </m:sSub>
                    </m:e>
                  </m:d>
                </m:e>
              </m:d>
            </m:e>
            <m:sub>
              <m:r>
                <m:t>2</m:t>
              </m:r>
            </m:sub>
          </m:sSub>
          <m:r>
            <m:rPr>
              <m:sty m:val="p"/>
            </m:rPr>
            <m:t>.</m:t>
          </m:r>
        </m:oMath>
      </m:oMathPara>
    </w:p>
    <w:p>
      <w:pPr>
        <w:pStyle w:val="FirstParagraph"/>
      </w:pPr>
      <w:r>
        <w:t xml:space="preserve">Die Ein-Knoten-Näherung erhöht die Interpretierbarkeit, kann aber die Genauigkeit erheblich verschlechtern. Die Referenzknotenwahl bestimmt auch nicht allein die Ersatzreaktanz; dazu ist anschließend eine elektrisch realisierbare zonale Netzmatrix zu identifizieren.</w:t>
      </w:r>
    </w:p>
    <w:p>
      <w:pPr>
        <w:pStyle w:val="BodyText"/>
      </w:pPr>
      <w:r>
        <w:rPr>
          <w:b/>
          <w:bCs/>
        </w:rPr>
        <w:t xml:space="preserve">IoSN-Abgleich:</w:t>
      </w:r>
      <w:r>
        <w:t xml:space="preserve"> </w:t>
      </w:r>
      <w:r>
        <w:t xml:space="preserve">[E1] verlangt die Kalibrierung äquivalenter Reaktanzen und Flusskorrekturen, aber keine kostenbasierte Referenz-PTDF oder Auswahl eines einzigen physikalischen Ersatzknotens. Diese drei Varianten sind ausdrücklich</w:t>
      </w:r>
      <w:r>
        <w:t xml:space="preserve"> </w:t>
      </w:r>
      <w:r>
        <w:rPr>
          <w:b/>
          <w:bCs/>
        </w:rPr>
        <w:t xml:space="preserve">eigene Forschungshypothesen</w:t>
      </w:r>
      <w:r>
        <w:t xml:space="preserve">.</w:t>
      </w:r>
    </w:p>
    <w:bookmarkEnd w:id="42"/>
    <w:bookmarkStart w:id="43" w:name="begriffsklärung-mcoe"/>
    <w:p>
      <w:pPr>
        <w:pStyle w:val="Heading2"/>
      </w:pPr>
      <w:r>
        <w:t xml:space="preserve">7.3 Begriffsklärung „MCOE“</w:t>
      </w:r>
    </w:p>
    <w:p>
      <w:pPr>
        <w:pStyle w:val="FirstParagraph"/>
      </w:pPr>
      <w:r>
        <w:t xml:space="preserve">In den vorliegenden Ausgangsdokumenten ist</w:t>
      </w:r>
      <w:r>
        <w:t xml:space="preserve"> </w:t>
      </w:r>
      <w:r>
        <w:rPr>
          <w:i/>
          <w:iCs/>
        </w:rPr>
        <w:t xml:space="preserve">MCOE</w:t>
      </w:r>
      <w:r>
        <w:t xml:space="preserve"> </w:t>
      </w:r>
      <w:r>
        <w:t xml:space="preserve">nicht als verifizierte eigenständige mathematische Normform definiert. Eine „Distanz zur MCOE-Formulierung“ kann nur gegenüber einer</w:t>
      </w:r>
      <w:r>
        <w:t xml:space="preserve"> </w:t>
      </w:r>
      <w:r>
        <w:rPr>
          <w:b/>
          <w:bCs/>
        </w:rPr>
        <w:t xml:space="preserve">offengelegten</w:t>
      </w:r>
      <w:r>
        <w:t xml:space="preserve"> </w:t>
      </w:r>
      <w:r>
        <w:t xml:space="preserve">Gleichung belastbar beurteilt werden. Hier wird daher ausschließlich der klar definierte marginalkostenbasierte Merit-Order-Proxy bzw. die kapazitätsbeschränkte Kostenminimierung verglichen; eine weitergehende normative Äquivalenz wird nicht behauptet.</w:t>
      </w:r>
    </w:p>
    <w:bookmarkEnd w:id="43"/>
    <w:bookmarkEnd w:id="44"/>
    <w:bookmarkStart w:id="48" w:name="X0273d950988b42ab612ada1135968198cd0b215"/>
    <w:p>
      <w:pPr>
        <w:pStyle w:val="Heading1"/>
      </w:pPr>
      <w:r>
        <w:t xml:space="preserve">8. Ersatznetzimpedanzen und struktureller Flussoffset</w:t>
      </w:r>
      <w:r>
        <w:t xml:space="preserve"> </w:t>
      </w:r>
      <m:oMath>
        <m:sSub>
          <m:e>
            <m:r>
              <m:t>F</m:t>
            </m:r>
          </m:e>
          <m:sub>
            <m:r>
              <m:t>0</m:t>
            </m:r>
          </m:sub>
        </m:sSub>
      </m:oMath>
    </w:p>
    <w:bookmarkStart w:id="45" w:name="X4d281f79d6acea2fbb751ecea1466d67465c663"/>
    <w:p>
      <w:pPr>
        <w:pStyle w:val="Heading2"/>
      </w:pPr>
      <w:r>
        <w:t xml:space="preserve">8.1 Vom detaillierten Schnittfluss zum realisierbaren Ersatznetz</w:t>
      </w:r>
    </w:p>
    <w:p>
      <w:pPr>
        <w:pStyle w:val="FirstParagraph"/>
      </w:pPr>
      <w:r>
        <w:t xml:space="preserve">Aus</w:t>
      </w:r>
      <w:r>
        <w:t xml:space="preserve"> </w:t>
      </w:r>
      <m:oMath>
        <m:r>
          <m:t>Γ</m:t>
        </m:r>
        <m:sSub>
          <m:e>
            <m:r>
              <m:t>H</m:t>
            </m:r>
          </m:e>
          <m:sub>
            <m:r>
              <m:t>d</m:t>
            </m:r>
          </m:sub>
        </m:sSub>
        <m:sSub>
          <m:e>
            <m:r>
              <m:t>R</m:t>
            </m:r>
          </m:e>
          <m:sub>
            <m:r>
              <m:t>0</m:t>
            </m:r>
          </m:sub>
        </m:sSub>
      </m:oMath>
      <w:r>
        <w:t xml:space="preserve"> </w:t>
      </w:r>
      <w:r>
        <w:t xml:space="preserve">folgt eine</w:t>
      </w:r>
      <w:r>
        <w:t xml:space="preserve"> </w:t>
      </w:r>
      <w:r>
        <w:rPr>
          <w:i/>
          <w:iCs/>
        </w:rPr>
        <w:t xml:space="preserve">aggregierte Sensitivitätsmatrix</w:t>
      </w:r>
      <w:r>
        <w:t xml:space="preserve">, aber nicht notwendigerweise eine PTDF, die durch positive Reaktanzen auf der gewählten reduzierten Topologie realisierbar ist. Für den Zonengraphen seien</w:t>
      </w:r>
      <w:r>
        <w:t xml:space="preserve"> </w:t>
      </w:r>
      <m:oMath>
        <m:sSub>
          <m:e>
            <m:r>
              <m:t>A</m:t>
            </m:r>
          </m:e>
          <m:sub>
            <m:r>
              <m:t>z</m:t>
            </m:r>
          </m:sub>
        </m:sSub>
        <m:r>
          <m:rPr>
            <m:sty m:val="p"/>
          </m:rPr>
          <m:t>∈</m:t>
        </m:r>
        <m:sSup>
          <m:e>
            <m:r>
              <m:rPr>
                <m:sty m:val="p"/>
                <m:scr m:val="double-struck"/>
              </m:rPr>
              <m:t>R</m:t>
            </m:r>
          </m:e>
          <m:sup>
            <m:r>
              <m:t>Z</m:t>
            </m:r>
            <m:r>
              <m:rPr>
                <m:sty m:val="p"/>
              </m:rPr>
              <m:t>×</m:t>
            </m:r>
            <m:r>
              <m:t>E</m:t>
            </m:r>
          </m:sup>
        </m:sSup>
      </m:oMath>
      <w:r>
        <w:t xml:space="preserve"> </w:t>
      </w:r>
      <w:r>
        <w:t xml:space="preserve">und</w:t>
      </w:r>
      <w:r>
        <w:t xml:space="preserve"> </w:t>
      </w:r>
      <m:oMath>
        <m:sSub>
          <m:e>
            <m:r>
              <m:t>X</m:t>
            </m:r>
          </m:e>
          <m:sub>
            <m:r>
              <m:t>z</m:t>
            </m:r>
          </m:sub>
        </m:sSub>
        <m:r>
          <m:rPr>
            <m:sty m:val="p"/>
          </m:rPr>
          <m:t>=</m:t>
        </m:r>
        <m:r>
          <m:rPr>
            <m:sty m:val="p"/>
          </m:rPr>
          <m:t>d</m:t>
        </m:r>
        <m:r>
          <m:rPr>
            <m:sty m:val="p"/>
          </m:rPr>
          <m:t>i</m:t>
        </m:r>
        <m:r>
          <m:rPr>
            <m:sty m:val="p"/>
          </m:rPr>
          <m:t>a</m:t>
        </m:r>
        <m:r>
          <m:rPr>
            <m:sty m:val="p"/>
          </m:rPr>
          <m:t>g</m:t>
        </m:r>
        <m:d>
          <m:dPr>
            <m:begChr m:val="("/>
            <m:endChr m:val=")"/>
            <m:sepChr m:val=""/>
            <m:grow/>
          </m:dPr>
          <m:e>
            <m:sSubSup>
              <m:e>
                <m:r>
                  <m:t>x</m:t>
                </m:r>
              </m:e>
              <m:sub>
                <m:r>
                  <m:t>e</m:t>
                </m:r>
              </m:sub>
              <m:sup>
                <m:r>
                  <m:rPr>
                    <m:sty m:val="p"/>
                  </m:rPr>
                  <m:t>e</m:t>
                </m:r>
                <m:r>
                  <m:rPr>
                    <m:sty m:val="p"/>
                  </m:rPr>
                  <m:t>q</m:t>
                </m:r>
              </m:sup>
            </m:sSubSup>
          </m:e>
        </m:d>
      </m:oMath>
      <w:r>
        <w:t xml:space="preserve">,</w:t>
      </w:r>
      <w:r>
        <w:t xml:space="preserve"> </w:t>
      </w:r>
      <m:oMath>
        <m:sSubSup>
          <m:e>
            <m:r>
              <m:t>x</m:t>
            </m:r>
          </m:e>
          <m:sub>
            <m:r>
              <m:t>e</m:t>
            </m:r>
          </m:sub>
          <m:sup>
            <m:r>
              <m:rPr>
                <m:sty m:val="p"/>
              </m:rPr>
              <m:t>e</m:t>
            </m:r>
            <m:r>
              <m:rPr>
                <m:sty m:val="p"/>
              </m:rPr>
              <m:t>q</m:t>
            </m:r>
          </m:sup>
        </m:sSubSup>
        <m:r>
          <m:rPr>
            <m:sty m:val="p"/>
          </m:rPr>
          <m:t>&gt;</m:t>
        </m:r>
        <m:r>
          <m:t>0</m:t>
        </m:r>
      </m:oMath>
      <w:r>
        <w:t xml:space="preserve">. Dann ergibt sich die passive zonale PTDF</w:t>
      </w:r>
    </w:p>
    <w:p>
      <w:pPr>
        <w:pStyle w:val="BodyText"/>
      </w:pPr>
      <m:oMathPara>
        <m:oMathParaPr>
          <m:jc m:val="center"/>
        </m:oMathParaPr>
        <m:oMath>
          <m:sSub>
            <m:e>
              <m:r>
                <m:t>H</m:t>
              </m:r>
            </m:e>
            <m:sub>
              <m:r>
                <m:rPr>
                  <m:sty m:val="p"/>
                </m:rPr>
                <m:t>e</m:t>
              </m:r>
              <m:r>
                <m:rPr>
                  <m:sty m:val="p"/>
                </m:rPr>
                <m:t>q</m:t>
              </m:r>
            </m:sub>
          </m:sSub>
          <m:d>
            <m:dPr>
              <m:begChr m:val="("/>
              <m:endChr m:val=")"/>
              <m:sepChr m:val=""/>
              <m:grow/>
            </m:dPr>
            <m:e>
              <m:r>
                <m:t>x</m:t>
              </m:r>
            </m:e>
          </m:d>
          <m:r>
            <m:rPr>
              <m:sty m:val="p"/>
            </m:rPr>
            <m:t>=</m:t>
          </m:r>
          <m:sSubSup>
            <m:e>
              <m:r>
                <m:t>X</m:t>
              </m:r>
            </m:e>
            <m:sub>
              <m:r>
                <m:t>z</m:t>
              </m:r>
            </m:sub>
            <m:sup>
              <m:r>
                <m:rPr>
                  <m:sty m:val="p"/>
                </m:rPr>
                <m:t>−</m:t>
              </m:r>
              <m:r>
                <m:t>1</m:t>
              </m:r>
            </m:sup>
          </m:sSubSup>
          <m:sSubSup>
            <m:e>
              <m:r>
                <m:t>A</m:t>
              </m:r>
            </m:e>
            <m:sub>
              <m:r>
                <m:t>z</m:t>
              </m:r>
            </m:sub>
            <m:sup>
              <m:r>
                <m:rPr>
                  <m:sty m:val="p"/>
                  <m:scr m:val="sans-serif"/>
                </m:rPr>
                <m:t>T</m:t>
              </m:r>
            </m:sup>
          </m:sSubSup>
          <m:sSup>
            <m:e>
              <m:d>
                <m:dPr>
                  <m:begChr m:val="("/>
                  <m:endChr m:val=")"/>
                  <m:sepChr m:val=""/>
                  <m:grow/>
                </m:dPr>
                <m:e>
                  <m:sSub>
                    <m:e>
                      <m:r>
                        <m:t>A</m:t>
                      </m:r>
                    </m:e>
                    <m:sub>
                      <m:r>
                        <m:t>z</m:t>
                      </m:r>
                    </m:sub>
                  </m:sSub>
                  <m:sSubSup>
                    <m:e>
                      <m:r>
                        <m:t>X</m:t>
                      </m:r>
                    </m:e>
                    <m:sub>
                      <m:r>
                        <m:t>z</m:t>
                      </m:r>
                    </m:sub>
                    <m:sup>
                      <m:r>
                        <m:rPr>
                          <m:sty m:val="p"/>
                        </m:rPr>
                        <m:t>−</m:t>
                      </m:r>
                      <m:r>
                        <m:t>1</m:t>
                      </m:r>
                    </m:sup>
                  </m:sSubSup>
                  <m:sSubSup>
                    <m:e>
                      <m:r>
                        <m:t>A</m:t>
                      </m:r>
                    </m:e>
                    <m:sub>
                      <m:r>
                        <m:t>z</m:t>
                      </m:r>
                    </m:sub>
                    <m:sup>
                      <m:r>
                        <m:rPr>
                          <m:sty m:val="p"/>
                          <m:scr m:val="sans-serif"/>
                        </m:rPr>
                        <m:t>T</m:t>
                      </m:r>
                    </m:sup>
                  </m:sSubSup>
                </m:e>
              </m:d>
            </m:e>
            <m:sup>
              <m:r>
                <m:rPr>
                  <m:sty m:val="p"/>
                </m:rPr>
                <m:t>†</m:t>
              </m:r>
            </m:sup>
          </m:sSup>
          <m:r>
            <m:rPr>
              <m:sty m:val="p"/>
            </m:rPr>
            <m:t>.</m:t>
          </m:r>
        </m:oMath>
      </m:oMathPara>
    </w:p>
    <w:p>
      <w:pPr>
        <w:pStyle w:val="FirstParagraph"/>
      </w:pPr>
      <w:r>
        <w:t xml:space="preserve">Für eine zulässige Zoneneinspeisung</w:t>
      </w:r>
      <w:r>
        <w:t xml:space="preserve"> </w:t>
      </w:r>
      <m:oMath>
        <m:sSub>
          <m:e>
            <m:r>
              <m:t>p</m:t>
            </m:r>
          </m:e>
          <m:sub>
            <m:r>
              <m:t>z</m:t>
            </m:r>
          </m:sub>
        </m:sSub>
      </m:oMath>
      <w:r>
        <w:t xml:space="preserve"> </w:t>
      </w:r>
      <w:r>
        <w:t xml:space="preserve">ist der DC-Fluss</w:t>
      </w:r>
      <w:r>
        <w:t xml:space="preserve"> </w:t>
      </w:r>
      <m:oMath>
        <m:sSub>
          <m:e>
            <m:r>
              <m:t>H</m:t>
            </m:r>
          </m:e>
          <m:sub>
            <m:r>
              <m:rPr>
                <m:sty m:val="p"/>
              </m:rPr>
              <m:t>e</m:t>
            </m:r>
            <m:r>
              <m:rPr>
                <m:sty m:val="p"/>
              </m:rPr>
              <m:t>q</m:t>
            </m:r>
          </m:sub>
        </m:sSub>
        <m:d>
          <m:dPr>
            <m:begChr m:val="("/>
            <m:endChr m:val=")"/>
            <m:sepChr m:val=""/>
            <m:grow/>
          </m:dPr>
          <m:e>
            <m:r>
              <m:t>x</m:t>
            </m:r>
          </m:e>
        </m:d>
        <m:sSub>
          <m:e>
            <m:r>
              <m:t>p</m:t>
            </m:r>
          </m:e>
          <m:sub>
            <m:r>
              <m:t>z</m:t>
            </m:r>
          </m:sub>
        </m:sSub>
      </m:oMath>
      <w:r>
        <w:t xml:space="preserve">. Um intrazonal ausgelöste Loop-Flows abzubilden, kann man einen über die Kalibrierungsperiode konstanten Nullbilanzfluss</w:t>
      </w:r>
      <w:r>
        <w:t xml:space="preserve"> </w:t>
      </w:r>
      <m:oMath>
        <m:sSup>
          <m:e>
            <m:r>
              <m:t>c</m:t>
            </m:r>
          </m:e>
          <m:sup>
            <m:r>
              <m:t>0</m:t>
            </m:r>
          </m:sup>
        </m:sSup>
      </m:oMath>
      <w:r>
        <w:t xml:space="preserve"> </w:t>
      </w:r>
      <w:r>
        <w:t xml:space="preserve">ergänzen:</w:t>
      </w:r>
    </w:p>
    <w:p>
      <w:pPr>
        <w:pStyle w:val="BodyText"/>
      </w:pPr>
      <w:r>
        <w:rPr>
          <w:b/>
          <w:bCs/>
        </w:rPr>
        <w:t xml:space="preserve">(E1) Affines Ersatznetzmodell [R/E].</w:t>
      </w:r>
    </w:p>
    <w:p>
      <w:pPr>
        <w:pStyle w:val="BodyText"/>
      </w:pPr>
      <m:oMathPara>
        <m:oMathParaPr>
          <m:jc m:val="center"/>
        </m:oMathParaPr>
        <m:oMath>
          <m:borderBox>
            <m:e>
              <m:sSub>
                <m:e>
                  <m:acc>
                    <m:accPr>
                      <m:chr m:val="̂"/>
                    </m:accPr>
                    <m:e>
                      <m:r>
                        <m:t>f</m:t>
                      </m:r>
                    </m:e>
                  </m:acc>
                </m:e>
                <m:sub>
                  <m:r>
                    <m:t>z</m:t>
                  </m:r>
                  <m:r>
                    <m:rPr>
                      <m:sty m:val="p"/>
                    </m:rPr>
                    <m:t>,</m:t>
                  </m:r>
                  <m:r>
                    <m:t>t</m:t>
                  </m:r>
                </m:sub>
              </m:sSub>
              <m:r>
                <m:rPr>
                  <m:sty m:val="p"/>
                </m:rPr>
                <m:t>=</m:t>
              </m:r>
              <m:sSub>
                <m:e>
                  <m:r>
                    <m:t>H</m:t>
                  </m:r>
                </m:e>
                <m:sub>
                  <m:r>
                    <m:rPr>
                      <m:sty m:val="p"/>
                    </m:rPr>
                    <m:t>e</m:t>
                  </m:r>
                  <m:r>
                    <m:rPr>
                      <m:sty m:val="p"/>
                    </m:rPr>
                    <m:t>q</m:t>
                  </m:r>
                </m:sub>
              </m:sSub>
              <m:d>
                <m:dPr>
                  <m:begChr m:val="("/>
                  <m:endChr m:val=")"/>
                  <m:sepChr m:val=""/>
                  <m:grow/>
                </m:dPr>
                <m:e>
                  <m:r>
                    <m:t>x</m:t>
                  </m:r>
                </m:e>
              </m:d>
              <m:sSub>
                <m:e>
                  <m:r>
                    <m:t>p</m:t>
                  </m:r>
                </m:e>
                <m:sub>
                  <m:r>
                    <m:t>z</m:t>
                  </m:r>
                  <m:r>
                    <m:rPr>
                      <m:sty m:val="p"/>
                    </m:rPr>
                    <m:t>,</m:t>
                  </m:r>
                  <m:r>
                    <m:t>t</m:t>
                  </m:r>
                </m:sub>
              </m:sSub>
              <m:r>
                <m:rPr>
                  <m:sty m:val="p"/>
                </m:rPr>
                <m:t>+</m:t>
              </m:r>
              <m:sSup>
                <m:e>
                  <m:r>
                    <m:t>c</m:t>
                  </m:r>
                </m:e>
                <m:sup>
                  <m:r>
                    <m:t>0</m:t>
                  </m:r>
                </m:sup>
              </m:sSup>
            </m:e>
          </m:borderBox>
          <m:r>
            <m:rPr>
              <m:sty m:val="p"/>
            </m:rPr>
            <m:t>,</m:t>
          </m:r>
          <m:r>
            <m:t>  </m:t>
          </m:r>
          <m:sSub>
            <m:e>
              <m:r>
                <m:t>A</m:t>
              </m:r>
            </m:e>
            <m:sub>
              <m:r>
                <m:t>z</m:t>
              </m:r>
            </m:sub>
          </m:sSub>
          <m:sSup>
            <m:e>
              <m:r>
                <m:t>c</m:t>
              </m:r>
            </m:e>
            <m:sup>
              <m:r>
                <m:t>0</m:t>
              </m:r>
            </m:sup>
          </m:sSup>
          <m:r>
            <m:rPr>
              <m:sty m:val="p"/>
            </m:rPr>
            <m:t>=</m:t>
          </m:r>
          <m:r>
            <m:t>0</m:t>
          </m:r>
          <m:r>
            <m:rPr>
              <m:sty m:val="p"/>
            </m:rPr>
            <m:t>.</m:t>
          </m:r>
        </m:oMath>
      </m:oMathPara>
    </w:p>
    <w:p>
      <w:pPr>
        <w:pStyle w:val="FirstParagraph"/>
      </w:pPr>
      <w:r>
        <w:t xml:space="preserve">Die Knotenbilanz bleibt</w:t>
      </w:r>
      <w:r>
        <w:t xml:space="preserve"> </w:t>
      </w:r>
      <m:oMath>
        <m:sSub>
          <m:e>
            <m:r>
              <m:t>A</m:t>
            </m:r>
          </m:e>
          <m:sub>
            <m:r>
              <m:t>z</m:t>
            </m:r>
          </m:sub>
        </m:sSub>
        <m:sSub>
          <m:e>
            <m:acc>
              <m:accPr>
                <m:chr m:val="̂"/>
              </m:accPr>
              <m:e>
                <m:r>
                  <m:t>f</m:t>
                </m:r>
              </m:e>
            </m:acc>
          </m:e>
          <m:sub>
            <m:r>
              <m:t>z</m:t>
            </m:r>
            <m:r>
              <m:rPr>
                <m:sty m:val="p"/>
              </m:rPr>
              <m:t>,</m:t>
            </m:r>
            <m:r>
              <m:t>t</m:t>
            </m:r>
          </m:sub>
        </m:sSub>
        <m:r>
          <m:rPr>
            <m:sty m:val="p"/>
          </m:rPr>
          <m:t>=</m:t>
        </m:r>
        <m:sSub>
          <m:e>
            <m:r>
              <m:t>p</m:t>
            </m:r>
          </m:e>
          <m:sub>
            <m:r>
              <m:t>z</m:t>
            </m:r>
            <m:r>
              <m:rPr>
                <m:sty m:val="p"/>
              </m:rPr>
              <m:t>,</m:t>
            </m:r>
            <m:r>
              <m:t>t</m:t>
            </m:r>
          </m:sub>
        </m:sSub>
      </m:oMath>
      <w:r>
        <w:t xml:space="preserve">. Mit einer beliebigen Zyklenbasis</w:t>
      </w:r>
      <w:r>
        <w:t xml:space="preserve"> </w:t>
      </w:r>
      <m:oMath>
        <m:sSub>
          <m:e>
            <m:r>
              <m:t>C</m:t>
            </m:r>
          </m:e>
          <m:sub>
            <m:r>
              <m:t>z</m:t>
            </m:r>
          </m:sub>
        </m:sSub>
      </m:oMath>
      <w:r>
        <w:t xml:space="preserve"> </w:t>
      </w:r>
      <w:r>
        <w:t xml:space="preserve">des reduzierten Netzes gilt die</w:t>
      </w:r>
      <w:r>
        <w:t xml:space="preserve"> </w:t>
      </w:r>
      <w:r>
        <w:rPr>
          <w:b/>
          <w:bCs/>
        </w:rPr>
        <w:t xml:space="preserve">modifizierte</w:t>
      </w:r>
      <w:r>
        <w:t xml:space="preserve"> </w:t>
      </w:r>
      <w:r>
        <w:t xml:space="preserve">Maschenbeziehung</w:t>
      </w:r>
    </w:p>
    <w:p>
      <w:pPr>
        <w:pStyle w:val="BodyText"/>
      </w:pPr>
      <m:oMathPara>
        <m:oMathParaPr>
          <m:jc m:val="center"/>
        </m:oMathParaPr>
        <m:oMath>
          <m:borderBox>
            <m:e>
              <m:sSubSup>
                <m:e>
                  <m:r>
                    <m:t>C</m:t>
                  </m:r>
                </m:e>
                <m:sub>
                  <m:r>
                    <m:t>z</m:t>
                  </m:r>
                </m:sub>
                <m:sup>
                  <m:r>
                    <m:rPr>
                      <m:sty m:val="p"/>
                      <m:scr m:val="sans-serif"/>
                    </m:rPr>
                    <m:t>T</m:t>
                  </m:r>
                </m:sup>
              </m:sSubSup>
              <m:sSub>
                <m:e>
                  <m:r>
                    <m:t>X</m:t>
                  </m:r>
                </m:e>
                <m:sub>
                  <m:r>
                    <m:t>z</m:t>
                  </m:r>
                </m:sub>
              </m:sSub>
              <m:d>
                <m:dPr>
                  <m:begChr m:val="("/>
                  <m:endChr m:val=")"/>
                  <m:sepChr m:val=""/>
                  <m:grow/>
                </m:dPr>
                <m:e>
                  <m:sSub>
                    <m:e>
                      <m:acc>
                        <m:accPr>
                          <m:chr m:val="̂"/>
                        </m:accPr>
                        <m:e>
                          <m:r>
                            <m:t>f</m:t>
                          </m:r>
                        </m:e>
                      </m:acc>
                    </m:e>
                    <m:sub>
                      <m:r>
                        <m:t>z</m:t>
                      </m:r>
                      <m:r>
                        <m:rPr>
                          <m:sty m:val="p"/>
                        </m:rPr>
                        <m:t>,</m:t>
                      </m:r>
                      <m:r>
                        <m:t>t</m:t>
                      </m:r>
                    </m:sub>
                  </m:sSub>
                  <m:r>
                    <m:rPr>
                      <m:sty m:val="p"/>
                    </m:rPr>
                    <m:t>−</m:t>
                  </m:r>
                  <m:sSup>
                    <m:e>
                      <m:r>
                        <m:t>c</m:t>
                      </m:r>
                    </m:e>
                    <m:sup>
                      <m:r>
                        <m:t>0</m:t>
                      </m:r>
                    </m:sup>
                  </m:sSup>
                </m:e>
              </m:d>
              <m:r>
                <m:rPr>
                  <m:sty m:val="p"/>
                </m:rPr>
                <m:t>=</m:t>
              </m:r>
              <m:r>
                <m:t>0</m:t>
              </m:r>
            </m:e>
          </m:borderBox>
          <m:r>
            <m:rPr>
              <m:sty m:val="p"/>
            </m:rPr>
            <m:t>.</m:t>
          </m:r>
        </m:oMath>
      </m:oMathPara>
    </w:p>
    <w:p>
      <w:pPr>
        <w:pStyle w:val="FirstParagraph"/>
      </w:pPr>
      <w:r>
        <w:t xml:space="preserve">Der Offset ist somit ein</w:t>
      </w:r>
      <w:r>
        <w:t xml:space="preserve"> </w:t>
      </w:r>
      <w:r>
        <w:rPr>
          <w:b/>
          <w:bCs/>
        </w:rPr>
        <w:t xml:space="preserve">explizit modellierter affiner KVL-Beitrag</w:t>
      </w:r>
      <w:r>
        <w:t xml:space="preserve">. Ein gewöhnlicher passiver PyPSA-Lastfluss ohne zusätzliche Gleichungen reproduziert im Allgemeinen</w:t>
      </w:r>
      <w:r>
        <w:t xml:space="preserve"> </w:t>
      </w:r>
      <w:r>
        <w:rPr>
          <w:b/>
          <w:bCs/>
        </w:rPr>
        <w:t xml:space="preserve">keine</w:t>
      </w:r>
      <w:r>
        <w:t xml:space="preserve"> </w:t>
      </w:r>
      <w:r>
        <w:t xml:space="preserve">von null verschiedenen Flüsse bei</w:t>
      </w:r>
      <w:r>
        <w:t xml:space="preserve"> </w:t>
      </w:r>
      <m:oMath>
        <m:sSub>
          <m:e>
            <m:r>
              <m:t>p</m:t>
            </m:r>
          </m:e>
          <m:sub>
            <m:r>
              <m:t>z</m:t>
            </m:r>
          </m:sub>
        </m:sSub>
        <m:r>
          <m:rPr>
            <m:sty m:val="p"/>
          </m:rPr>
          <m:t>=</m:t>
        </m:r>
        <m:r>
          <m:t>0</m:t>
        </m:r>
      </m:oMath>
      <w:r>
        <w:t xml:space="preserve">; sie dürfen nicht bloß nachträglich in einem Ergebnisfeld addiert und dann als physikalisch bindend bezeichnet werden. Für einen festgesetzten</w:t>
      </w:r>
      <w:r>
        <w:t xml:space="preserve"> </w:t>
      </w:r>
      <m:oMath>
        <m:sSup>
          <m:e>
            <m:r>
              <m:t>c</m:t>
            </m:r>
          </m:e>
          <m:sup>
            <m:r>
              <m:t>0</m:t>
            </m:r>
          </m:sup>
        </m:sSup>
      </m:oMath>
      <w:r>
        <w:t xml:space="preserve"> </w:t>
      </w:r>
      <w:r>
        <w:t xml:space="preserve">ist eine algebraische Emulation über äquivalente Branch-Source-Terme möglich; diese sind aber keine Aussage über reale PSTs.</w:t>
      </w:r>
    </w:p>
    <w:bookmarkEnd w:id="45"/>
    <w:bookmarkStart w:id="46" w:name="X6e3c6744e63e2ae929cadd13417368839bf622a"/>
    <w:p>
      <w:pPr>
        <w:pStyle w:val="Heading2"/>
      </w:pPr>
      <w:r>
        <w:t xml:space="preserve">8.2 Kalibrierungsproblem und Zerlegung des Fehlers</w:t>
      </w:r>
    </w:p>
    <w:p>
      <w:pPr>
        <w:pStyle w:val="FirstParagraph"/>
      </w:pPr>
      <w:r>
        <w:rPr>
          <w:b/>
          <w:bCs/>
        </w:rPr>
        <w:t xml:space="preserve">(E2) Explizit vorgeschlagene, nicht normativ vorgegebene Identifikation [E].</w:t>
      </w:r>
    </w:p>
    <w:p>
      <w:pPr>
        <w:pStyle w:val="BodyText"/>
      </w:pPr>
      <m:oMathPara>
        <m:oMathParaPr>
          <m:jc m:val="center"/>
        </m:oMathParaPr>
        <m:oMath>
          <m:m>
            <m:mPr>
              <m:baseJc m:val="center"/>
              <m:plcHide m:val="on"/>
              <m:mcs>
                <m:mc>
                  <m:mcPr>
                    <m:mcJc m:val="right"/>
                    <m:count m:val="1"/>
                  </m:mcPr>
                </m:mc>
                <m:mc>
                  <m:mcPr>
                    <m:mcJc m:val="left"/>
                    <m:count m:val="1"/>
                  </m:mcPr>
                </m:mc>
              </m:mcs>
            </m:mPr>
            <m:mr>
              <m:e>
                <m:limLow>
                  <m:e>
                    <m:r>
                      <m:rPr>
                        <m:sty m:val="p"/>
                      </m:rPr>
                      <m:t>min</m:t>
                    </m:r>
                  </m:e>
                  <m:lim>
                    <m:r>
                      <m:t>x</m:t>
                    </m:r>
                    <m:r>
                      <m:rPr>
                        <m:sty m:val="p"/>
                      </m:rPr>
                      <m:t>,</m:t>
                    </m:r>
                    <m:sSup>
                      <m:e>
                        <m:r>
                          <m:t>c</m:t>
                        </m:r>
                      </m:e>
                      <m:sup>
                        <m:r>
                          <m:t>0</m:t>
                        </m:r>
                      </m:sup>
                    </m:sSup>
                  </m:lim>
                </m:limLow>
                <m:r>
                  <m:t> </m:t>
                </m:r>
              </m:e>
              <m:e>
                <m:nary>
                  <m:naryPr>
                    <m:chr m:val="∑"/>
                    <m:limLoc m:val="undOvr"/>
                    <m:subHide m:val="off"/>
                    <m:supHide m:val="on"/>
                  </m:naryPr>
                  <m:sub>
                    <m:r>
                      <m:t>t</m:t>
                    </m:r>
                    <m:r>
                      <m:rPr>
                        <m:sty m:val="p"/>
                      </m:rPr>
                      <m:t>∈</m:t>
                    </m:r>
                    <m:sSub>
                      <m:e>
                        <m:r>
                          <m:rPr>
                            <m:sty m:val="p"/>
                            <m:scr m:val="script"/>
                          </m:rPr>
                          <m:t>T</m:t>
                        </m:r>
                      </m:e>
                      <m:sub>
                        <m:r>
                          <m:rPr>
                            <m:sty m:val="p"/>
                          </m:rPr>
                          <m:t>c</m:t>
                        </m:r>
                        <m:r>
                          <m:rPr>
                            <m:sty m:val="p"/>
                          </m:rPr>
                          <m:t>a</m:t>
                        </m:r>
                        <m:r>
                          <m:rPr>
                            <m:sty m:val="p"/>
                          </m:rPr>
                          <m:t>l</m:t>
                        </m:r>
                      </m:sub>
                    </m:sSub>
                  </m:sub>
                  <m:sup>
                    <m:r>
                      <m:t>​</m:t>
                    </m:r>
                  </m:sup>
                  <m:e>
                    <m:sSub>
                      <m:e>
                        <m:r>
                          <m:t>ω</m:t>
                        </m:r>
                      </m:e>
                      <m:sub>
                        <m:r>
                          <m:t>t</m:t>
                        </m:r>
                      </m:sub>
                    </m:sSub>
                  </m:e>
                </m:nary>
                <m:sSubSup>
                  <m:e>
                    <m:d>
                      <m:dPr>
                        <m:begChr m:val="∥"/>
                        <m:endChr m:val="∥"/>
                        <m:sepChr m:val=""/>
                        <m:grow/>
                      </m:dPr>
                      <m:e>
                        <m:sSub>
                          <m:e>
                            <m:r>
                              <m:t>W</m:t>
                            </m:r>
                          </m:e>
                          <m:sub>
                            <m:r>
                              <m:t>f</m:t>
                            </m:r>
                          </m:sub>
                        </m:sSub>
                        <m:d>
                          <m:dPr>
                            <m:begChr m:val="["/>
                            <m:endChr m:val="]"/>
                            <m:sepChr m:val=""/>
                            <m:grow/>
                          </m:dPr>
                          <m:e>
                            <m:sSub>
                              <m:e>
                                <m:r>
                                  <m:t>H</m:t>
                                </m:r>
                              </m:e>
                              <m:sub>
                                <m:r>
                                  <m:rPr>
                                    <m:sty m:val="p"/>
                                  </m:rPr>
                                  <m:t>e</m:t>
                                </m:r>
                                <m:r>
                                  <m:rPr>
                                    <m:sty m:val="p"/>
                                  </m:rPr>
                                  <m:t>q</m:t>
                                </m:r>
                              </m:sub>
                            </m:sSub>
                            <m:d>
                              <m:dPr>
                                <m:begChr m:val="("/>
                                <m:endChr m:val=")"/>
                                <m:sepChr m:val=""/>
                                <m:grow/>
                              </m:dPr>
                              <m:e>
                                <m:r>
                                  <m:t>x</m:t>
                                </m:r>
                              </m:e>
                            </m:d>
                            <m:sSub>
                              <m:e>
                                <m:r>
                                  <m:t>p</m:t>
                                </m:r>
                              </m:e>
                              <m:sub>
                                <m:r>
                                  <m:t>z</m:t>
                                </m:r>
                                <m:r>
                                  <m:rPr>
                                    <m:sty m:val="p"/>
                                  </m:rPr>
                                  <m:t>,</m:t>
                                </m:r>
                                <m:r>
                                  <m:t>t</m:t>
                                </m:r>
                              </m:sub>
                            </m:sSub>
                            <m:r>
                              <m:rPr>
                                <m:sty m:val="p"/>
                              </m:rPr>
                              <m:t>+</m:t>
                            </m:r>
                            <m:sSup>
                              <m:e>
                                <m:r>
                                  <m:t>c</m:t>
                                </m:r>
                              </m:e>
                              <m:sup>
                                <m:r>
                                  <m:t>0</m:t>
                                </m:r>
                              </m:sup>
                            </m:sSup>
                            <m:r>
                              <m:rPr>
                                <m:sty m:val="p"/>
                              </m:rPr>
                              <m:t>−</m:t>
                            </m:r>
                            <m:r>
                              <m:t>Γ</m:t>
                            </m:r>
                            <m:sSub>
                              <m:e>
                                <m:r>
                                  <m:t>f</m:t>
                                </m:r>
                              </m:e>
                              <m:sub>
                                <m:r>
                                  <m:t>d</m:t>
                                </m:r>
                                <m:r>
                                  <m:rPr>
                                    <m:sty m:val="p"/>
                                  </m:rPr>
                                  <m:t>,</m:t>
                                </m:r>
                                <m:r>
                                  <m:t>t</m:t>
                                </m:r>
                              </m:sub>
                            </m:sSub>
                          </m:e>
                        </m:d>
                      </m:e>
                    </m:d>
                  </m:e>
                  <m:sub>
                    <m:r>
                      <m:t>2</m:t>
                    </m:r>
                  </m:sub>
                  <m:sup>
                    <m:r>
                      <m:t>2</m:t>
                    </m:r>
                  </m:sup>
                </m:sSubSup>
                <m:r>
                  <m:rPr>
                    <m:sty m:val="p"/>
                  </m:rPr>
                  <m:t>+</m:t>
                </m:r>
                <m:sSub>
                  <m:e>
                    <m:r>
                      <m:t>λ</m:t>
                    </m:r>
                  </m:e>
                  <m:sub>
                    <m:r>
                      <m:t>x</m:t>
                    </m:r>
                  </m:sub>
                </m:sSub>
                <m:r>
                  <m:rPr>
                    <m:sty m:val="p"/>
                  </m:rPr>
                  <m:t>∥</m:t>
                </m:r>
                <m:r>
                  <m:rPr>
                    <m:sty m:val="p"/>
                  </m:rPr>
                  <m:t>log</m:t>
                </m:r>
                <m:d>
                  <m:dPr>
                    <m:begChr m:val="("/>
                    <m:endChr m:val=")"/>
                    <m:sepChr m:val=""/>
                    <m:grow/>
                  </m:dPr>
                  <m:e>
                    <m:r>
                      <m:t>x</m:t>
                    </m:r>
                    <m:r>
                      <m:rPr>
                        <m:sty m:val="p"/>
                      </m:rPr>
                      <m:t>/</m:t>
                    </m:r>
                    <m:sSup>
                      <m:e>
                        <m:r>
                          <m:t>x</m:t>
                        </m:r>
                      </m:e>
                      <m:sup>
                        <m:r>
                          <m:rPr>
                            <m:sty m:val="p"/>
                          </m:rPr>
                          <m:t>p</m:t>
                        </m:r>
                        <m:r>
                          <m:rPr>
                            <m:sty m:val="p"/>
                          </m:rPr>
                          <m:t>r</m:t>
                        </m:r>
                        <m:r>
                          <m:rPr>
                            <m:sty m:val="p"/>
                          </m:rPr>
                          <m:t>i</m:t>
                        </m:r>
                        <m:r>
                          <m:rPr>
                            <m:sty m:val="p"/>
                          </m:rPr>
                          <m:t>o</m:t>
                        </m:r>
                        <m:r>
                          <m:rPr>
                            <m:sty m:val="p"/>
                          </m:rPr>
                          <m:t>r</m:t>
                        </m:r>
                      </m:sup>
                    </m:sSup>
                  </m:e>
                </m:d>
                <m:sSubSup>
                  <m:e>
                    <m:r>
                      <m:rPr>
                        <m:sty m:val="p"/>
                      </m:rPr>
                      <m:t>∥</m:t>
                    </m:r>
                  </m:e>
                  <m:sub>
                    <m:r>
                      <m:t>2</m:t>
                    </m:r>
                  </m:sub>
                  <m:sup>
                    <m:r>
                      <m:t>2</m:t>
                    </m:r>
                  </m:sup>
                </m:sSubSup>
                <m:r>
                  <m:rPr>
                    <m:sty m:val="p"/>
                  </m:rPr>
                  <m:t>+</m:t>
                </m:r>
                <m:sSub>
                  <m:e>
                    <m:r>
                      <m:t>λ</m:t>
                    </m:r>
                  </m:e>
                  <m:sub>
                    <m:r>
                      <m:t>c</m:t>
                    </m:r>
                  </m:sub>
                </m:sSub>
                <m:r>
                  <m:rPr>
                    <m:sty m:val="p"/>
                  </m:rPr>
                  <m:t>∥</m:t>
                </m:r>
                <m:sSup>
                  <m:e>
                    <m:r>
                      <m:t>c</m:t>
                    </m:r>
                  </m:e>
                  <m:sup>
                    <m:r>
                      <m:t>0</m:t>
                    </m:r>
                  </m:sup>
                </m:sSup>
                <m:sSubSup>
                  <m:e>
                    <m:r>
                      <m:rPr>
                        <m:sty m:val="p"/>
                      </m:rPr>
                      <m:t>∥</m:t>
                    </m:r>
                  </m:e>
                  <m:sub>
                    <m:r>
                      <m:t>2</m:t>
                    </m:r>
                  </m:sub>
                  <m:sup>
                    <m:r>
                      <m:t>2</m:t>
                    </m:r>
                  </m:sup>
                </m:sSubSup>
                <m:r>
                  <m:rPr>
                    <m:sty m:val="p"/>
                  </m:rPr>
                  <m:t>,</m:t>
                </m:r>
              </m:e>
            </m:mr>
            <m:mr>
              <m:e>
                <m:r>
                  <m:rPr>
                    <m:nor/>
                    <m:sty m:val="p"/>
                  </m:rPr>
                  <m:t>unter</m:t>
                </m:r>
                <m:r>
                  <m:t> </m:t>
                </m:r>
              </m:e>
              <m:e>
                <m:sSub>
                  <m:e>
                    <m:r>
                      <m:t>x</m:t>
                    </m:r>
                  </m:e>
                  <m:sub>
                    <m:r>
                      <m:rPr>
                        <m:sty m:val="p"/>
                      </m:rPr>
                      <m:t>min</m:t>
                    </m:r>
                  </m:sub>
                </m:sSub>
                <m:r>
                  <m:rPr>
                    <m:sty m:val="p"/>
                  </m:rPr>
                  <m:t>≤</m:t>
                </m:r>
                <m:r>
                  <m:t>x</m:t>
                </m:r>
                <m:r>
                  <m:rPr>
                    <m:sty m:val="p"/>
                  </m:rPr>
                  <m:t>≤</m:t>
                </m:r>
                <m:sSub>
                  <m:e>
                    <m:r>
                      <m:t>x</m:t>
                    </m:r>
                  </m:e>
                  <m:sub>
                    <m:r>
                      <m:rPr>
                        <m:sty m:val="p"/>
                      </m:rPr>
                      <m:t>max</m:t>
                    </m:r>
                  </m:sub>
                </m:sSub>
                <m:r>
                  <m:rPr>
                    <m:sty m:val="p"/>
                  </m:rPr>
                  <m:t>,</m:t>
                </m:r>
                <m:r>
                  <m:t>  </m:t>
                </m:r>
                <m:sSub>
                  <m:e>
                    <m:r>
                      <m:t>A</m:t>
                    </m:r>
                  </m:e>
                  <m:sub>
                    <m:r>
                      <m:t>z</m:t>
                    </m:r>
                  </m:sub>
                </m:sSub>
                <m:sSup>
                  <m:e>
                    <m:r>
                      <m:t>c</m:t>
                    </m:r>
                  </m:e>
                  <m:sup>
                    <m:r>
                      <m:t>0</m:t>
                    </m:r>
                  </m:sup>
                </m:sSup>
                <m:r>
                  <m:rPr>
                    <m:sty m:val="p"/>
                  </m:rPr>
                  <m:t>=</m:t>
                </m:r>
                <m:r>
                  <m:t>0</m:t>
                </m:r>
                <m:r>
                  <m:rPr>
                    <m:sty m:val="p"/>
                  </m:rPr>
                  <m:t>,</m:t>
                </m:r>
              </m:e>
            </m:mr>
          </m:m>
        </m:oMath>
      </m:oMathPara>
    </w:p>
    <w:p>
      <w:pPr>
        <w:pStyle w:val="FirstParagraph"/>
      </w:pPr>
      <w:r>
        <w:t xml:space="preserve">wobei</w:t>
      </w:r>
      <w:r>
        <w:t xml:space="preserve"> </w:t>
      </w:r>
      <m:oMath>
        <m:sSub>
          <m:e>
            <m:r>
              <m:t>W</m:t>
            </m:r>
          </m:e>
          <m:sub>
            <m:r>
              <m:t>f</m:t>
            </m:r>
          </m:sub>
        </m:sSub>
      </m:oMath>
      <w:r>
        <w:t xml:space="preserve"> </w:t>
      </w:r>
      <w:r>
        <w:t xml:space="preserve">z. B. nach kritischen Verbindungen oder Referenzflüssen gewichtet. Die genaue Gewichtung, Regularisierung und der Solver sind</w:t>
      </w:r>
      <w:r>
        <w:t xml:space="preserve"> </w:t>
      </w:r>
      <w:r>
        <w:rPr>
          <w:b/>
          <w:bCs/>
        </w:rPr>
        <w:t xml:space="preserve">eigene Entscheidungen</w:t>
      </w:r>
      <w:r>
        <w:t xml:space="preserve">. ENTSO-E nennt als Aufgabe die gemeinsame Minimierung des Flussfehlers durch Impedanzen und strukturelle Korrekturen, nicht das vollständige mathematische Programm [E1, S. 27, 48–49].</w:t>
      </w:r>
    </w:p>
    <w:p>
      <w:pPr>
        <w:pStyle w:val="BodyText"/>
      </w:pPr>
      <w:r>
        <w:t xml:space="preserve">Bei vorgegebenem</w:t>
      </w:r>
      <w:r>
        <w:t xml:space="preserve"> </w:t>
      </w:r>
      <m:oMath>
        <m:sSub>
          <m:e>
            <m:r>
              <m:t>R</m:t>
            </m:r>
          </m:e>
          <m:sub>
            <m:r>
              <m:t>0</m:t>
            </m:r>
          </m:sub>
        </m:sSub>
      </m:oMath>
      <w:r>
        <w:t xml:space="preserve"> </w:t>
      </w:r>
      <w:r>
        <w:t xml:space="preserve">folgt die fehlerdiagnostische, exakte Zerlegung</w:t>
      </w:r>
    </w:p>
    <w:p>
      <w:pPr>
        <w:pStyle w:val="BodyText"/>
      </w:pPr>
      <m:oMathPara>
        <m:oMathParaPr>
          <m:jc m:val="center"/>
        </m:oMathParaPr>
        <m:oMath>
          <m:r>
            <m:t>Γ</m:t>
          </m:r>
          <m:sSub>
            <m:e>
              <m:r>
                <m:t>f</m:t>
              </m:r>
            </m:e>
            <m:sub>
              <m:r>
                <m:t>d</m:t>
              </m:r>
              <m:r>
                <m:rPr>
                  <m:sty m:val="p"/>
                </m:rPr>
                <m:t>,</m:t>
              </m:r>
              <m:r>
                <m:t>t</m:t>
              </m:r>
            </m:sub>
          </m:sSub>
          <m:r>
            <m:rPr>
              <m:sty m:val="p"/>
            </m:rPr>
            <m:t>−</m:t>
          </m:r>
          <m:sSub>
            <m:e>
              <m:r>
                <m:t>H</m:t>
              </m:r>
            </m:e>
            <m:sub>
              <m:r>
                <m:rPr>
                  <m:sty m:val="p"/>
                </m:rPr>
                <m:t>e</m:t>
              </m:r>
              <m:r>
                <m:rPr>
                  <m:sty m:val="p"/>
                </m:rPr>
                <m:t>q</m:t>
              </m:r>
            </m:sub>
          </m:sSub>
          <m:d>
            <m:dPr>
              <m:begChr m:val="("/>
              <m:endChr m:val=")"/>
              <m:sepChr m:val=""/>
              <m:grow/>
            </m:dPr>
            <m:e>
              <m:r>
                <m:t>x</m:t>
              </m:r>
            </m:e>
          </m:d>
          <m:sSub>
            <m:e>
              <m:r>
                <m:t>p</m:t>
              </m:r>
            </m:e>
            <m:sub>
              <m:r>
                <m:t>z</m:t>
              </m:r>
              <m:r>
                <m:rPr>
                  <m:sty m:val="p"/>
                </m:rPr>
                <m:t>,</m:t>
              </m:r>
              <m:r>
                <m:t>t</m:t>
              </m:r>
            </m:sub>
          </m:sSub>
          <m:r>
            <m:rPr>
              <m:sty m:val="p"/>
            </m:rPr>
            <m:t>=</m:t>
          </m:r>
          <m:limLow>
            <m:e>
              <m:limLow>
                <m:e>
                  <m:r>
                    <m:t>Γ</m:t>
                  </m:r>
                  <m:sSub>
                    <m:e>
                      <m:r>
                        <m:t>H</m:t>
                      </m:r>
                    </m:e>
                    <m:sub>
                      <m:r>
                        <m:t>d</m:t>
                      </m:r>
                    </m:sub>
                  </m:sSub>
                  <m:d>
                    <m:dPr>
                      <m:begChr m:val="("/>
                      <m:endChr m:val=")"/>
                      <m:sepChr m:val=""/>
                      <m:grow/>
                    </m:dPr>
                    <m:e>
                      <m:r>
                        <m:t>I</m:t>
                      </m:r>
                      <m:r>
                        <m:rPr>
                          <m:sty m:val="p"/>
                        </m:rPr>
                        <m:t>−</m:t>
                      </m:r>
                      <m:sSub>
                        <m:e>
                          <m:r>
                            <m:t>R</m:t>
                          </m:r>
                        </m:e>
                        <m:sub>
                          <m:r>
                            <m:t>0</m:t>
                          </m:r>
                        </m:sub>
                      </m:sSub>
                      <m:r>
                        <m:t>P</m:t>
                      </m:r>
                    </m:e>
                  </m:d>
                  <m:sSub>
                    <m:e>
                      <m:r>
                        <m:t>p</m:t>
                      </m:r>
                    </m:e>
                    <m:sub>
                      <m:r>
                        <m:t>d</m:t>
                      </m:r>
                      <m:r>
                        <m:rPr>
                          <m:sty m:val="p"/>
                        </m:rPr>
                        <m:t>,</m:t>
                      </m:r>
                      <m:r>
                        <m:t>t</m:t>
                      </m:r>
                    </m:sub>
                  </m:sSub>
                </m:e>
                <m:lim>
                  <m:r>
                    <m:rPr>
                      <m:sty m:val="p"/>
                    </m:rPr>
                    <m:t>⏟</m:t>
                  </m:r>
                </m:lim>
              </m:limLow>
            </m:e>
            <m:lim>
              <m:r>
                <m:rPr>
                  <m:nor/>
                  <m:sty m:val="p"/>
                </m:rPr>
                <m:t>Verlust intrazonaler Verteilung</m:t>
              </m:r>
            </m:lim>
          </m:limLow>
          <m:r>
            <m:rPr>
              <m:sty m:val="p"/>
            </m:rPr>
            <m:t>+</m:t>
          </m:r>
          <m:limLow>
            <m:e>
              <m:limLow>
                <m:e>
                  <m:d>
                    <m:dPr>
                      <m:begChr m:val="("/>
                      <m:endChr m:val=")"/>
                      <m:sepChr m:val=""/>
                      <m:grow/>
                    </m:dPr>
                    <m:e>
                      <m:r>
                        <m:t>Γ</m:t>
                      </m:r>
                      <m:sSub>
                        <m:e>
                          <m:r>
                            <m:t>H</m:t>
                          </m:r>
                        </m:e>
                        <m:sub>
                          <m:r>
                            <m:t>d</m:t>
                          </m:r>
                        </m:sub>
                      </m:sSub>
                      <m:sSub>
                        <m:e>
                          <m:r>
                            <m:t>R</m:t>
                          </m:r>
                        </m:e>
                        <m:sub>
                          <m:r>
                            <m:t>0</m:t>
                          </m:r>
                        </m:sub>
                      </m:sSub>
                      <m:r>
                        <m:rPr>
                          <m:sty m:val="p"/>
                        </m:rPr>
                        <m:t>−</m:t>
                      </m:r>
                      <m:sSub>
                        <m:e>
                          <m:r>
                            <m:t>H</m:t>
                          </m:r>
                        </m:e>
                        <m:sub>
                          <m:r>
                            <m:rPr>
                              <m:sty m:val="p"/>
                            </m:rPr>
                            <m:t>e</m:t>
                          </m:r>
                          <m:r>
                            <m:rPr>
                              <m:sty m:val="p"/>
                            </m:rPr>
                            <m:t>q</m:t>
                          </m:r>
                        </m:sub>
                      </m:sSub>
                      <m:d>
                        <m:dPr>
                          <m:begChr m:val="("/>
                          <m:endChr m:val=")"/>
                          <m:sepChr m:val=""/>
                          <m:grow/>
                        </m:dPr>
                        <m:e>
                          <m:r>
                            <m:t>x</m:t>
                          </m:r>
                        </m:e>
                      </m:d>
                    </m:e>
                  </m:d>
                  <m:sSub>
                    <m:e>
                      <m:r>
                        <m:t>p</m:t>
                      </m:r>
                    </m:e>
                    <m:sub>
                      <m:r>
                        <m:t>z</m:t>
                      </m:r>
                      <m:r>
                        <m:rPr>
                          <m:sty m:val="p"/>
                        </m:rPr>
                        <m:t>,</m:t>
                      </m:r>
                      <m:r>
                        <m:t>t</m:t>
                      </m:r>
                    </m:sub>
                  </m:sSub>
                </m:e>
                <m:lim>
                  <m:r>
                    <m:rPr>
                      <m:sty m:val="p"/>
                    </m:rPr>
                    <m:t>⏟</m:t>
                  </m:r>
                </m:lim>
              </m:limLow>
            </m:e>
            <m:lim>
              <m:r>
                <m:rPr>
                  <m:nor/>
                  <m:sty m:val="p"/>
                </m:rPr>
                <m:t>elektrische Ersatznetzabweichung</m:t>
              </m:r>
            </m:lim>
          </m:limLow>
          <m:r>
            <m:rPr>
              <m:sty m:val="p"/>
            </m:rPr>
            <m:t>+</m:t>
          </m:r>
          <m:r>
            <m:t>Γ</m:t>
          </m:r>
          <m:sSubSup>
            <m:e>
              <m:r>
                <m:t>b</m:t>
              </m:r>
            </m:e>
            <m:sub>
              <m:r>
                <m:t>t</m:t>
              </m:r>
            </m:sub>
            <m:sup>
              <m:r>
                <m:t>ϕ</m:t>
              </m:r>
            </m:sup>
          </m:sSubSup>
          <m:r>
            <m:rPr>
              <m:sty m:val="p"/>
            </m:rPr>
            <m:t>.</m:t>
          </m:r>
        </m:oMath>
      </m:oMathPara>
    </w:p>
    <w:p>
      <w:pPr>
        <w:pStyle w:val="FirstParagraph"/>
      </w:pPr>
      <w:r>
        <w:rPr>
          <w:b/>
          <w:bCs/>
        </w:rPr>
        <w:t xml:space="preserve">Wissenschaftlicher Nutzen:</w:t>
      </w:r>
      <w:r>
        <w:t xml:space="preserve"> </w:t>
      </w:r>
      <w:r>
        <w:t xml:space="preserve">Die technologiespezifische Zerlegung erklärt den</w:t>
      </w:r>
      <w:r>
        <w:t xml:space="preserve"> </w:t>
      </w:r>
      <w:r>
        <w:rPr>
          <w:i/>
          <w:iCs/>
        </w:rPr>
        <w:t xml:space="preserve">räumlichen</w:t>
      </w:r>
      <w:r>
        <w:t xml:space="preserve"> </w:t>
      </w:r>
      <w:r>
        <w:t xml:space="preserve">Beitrag, während die Impedanzidentifikation den</w:t>
      </w:r>
      <w:r>
        <w:t xml:space="preserve"> </w:t>
      </w:r>
      <w:r>
        <w:rPr>
          <w:i/>
          <w:iCs/>
        </w:rPr>
        <w:t xml:space="preserve">netzstrukturellen</w:t>
      </w:r>
      <w:r>
        <w:t xml:space="preserve"> </w:t>
      </w:r>
      <w:r>
        <w:t xml:space="preserve">Beitrag approximiert. Ein frei optimiertes</w:t>
      </w:r>
      <w:r>
        <w:t xml:space="preserve"> </w:t>
      </w:r>
      <m:oMath>
        <m:sSup>
          <m:e>
            <m:r>
              <m:t>c</m:t>
            </m:r>
          </m:e>
          <m:sup>
            <m:r>
              <m:t>0</m:t>
            </m:r>
          </m:sup>
        </m:sSup>
      </m:oMath>
      <w:r>
        <w:t xml:space="preserve"> </w:t>
      </w:r>
      <w:r>
        <w:t xml:space="preserve">kann beide Anteile überlagern; Attribution und Identifikationsparameter müssen deshalb auseinandergehalten werden.</w:t>
      </w:r>
    </w:p>
    <w:bookmarkEnd w:id="46"/>
    <w:bookmarkStart w:id="47" w:name="identifizierbarkeit"/>
    <w:p>
      <w:pPr>
        <w:pStyle w:val="Heading2"/>
      </w:pPr>
      <w:r>
        <w:t xml:space="preserve">8.3 Identifizierbarkeit</w:t>
      </w:r>
    </w:p>
    <w:p>
      <w:pPr>
        <w:pStyle w:val="FirstParagraph"/>
      </w:pPr>
      <w:r>
        <w:t xml:space="preserve">Wenn alle positiven zonalen Reaktanzen eines zusammenhängenden AC-Zonennetzes mit demselben Faktor</w:t>
      </w:r>
      <w:r>
        <w:t xml:space="preserve"> </w:t>
      </w:r>
      <m:oMath>
        <m:r>
          <m:t>η</m:t>
        </m:r>
        <m:r>
          <m:rPr>
            <m:sty m:val="p"/>
          </m:rPr>
          <m:t>&gt;</m:t>
        </m:r>
        <m:r>
          <m:t>0</m:t>
        </m:r>
      </m:oMath>
      <w:r>
        <w:t xml:space="preserve"> </w:t>
      </w:r>
      <w:r>
        <w:t xml:space="preserve">skaliert werden, bleiben die DC-Flüsse bei vorgegebenen Einspeisungen unverändert:</w:t>
      </w:r>
    </w:p>
    <w:p>
      <w:pPr>
        <w:pStyle w:val="BodyText"/>
      </w:pPr>
      <m:oMathPara>
        <m:oMathParaPr>
          <m:jc m:val="center"/>
        </m:oMathParaPr>
        <m:oMath>
          <m:sSub>
            <m:e>
              <m:r>
                <m:t>H</m:t>
              </m:r>
            </m:e>
            <m:sub>
              <m:r>
                <m:rPr>
                  <m:sty m:val="p"/>
                </m:rPr>
                <m:t>e</m:t>
              </m:r>
              <m:r>
                <m:rPr>
                  <m:sty m:val="p"/>
                </m:rPr>
                <m:t>q</m:t>
              </m:r>
            </m:sub>
          </m:sSub>
          <m:d>
            <m:dPr>
              <m:begChr m:val="("/>
              <m:endChr m:val=")"/>
              <m:sepChr m:val=""/>
              <m:grow/>
            </m:dPr>
            <m:e>
              <m:r>
                <m:t>η</m:t>
              </m:r>
              <m:r>
                <m:t>x</m:t>
              </m:r>
            </m:e>
          </m:d>
          <m:r>
            <m:rPr>
              <m:sty m:val="p"/>
            </m:rPr>
            <m:t>=</m:t>
          </m:r>
          <m:sSub>
            <m:e>
              <m:r>
                <m:t>H</m:t>
              </m:r>
            </m:e>
            <m:sub>
              <m:r>
                <m:rPr>
                  <m:sty m:val="p"/>
                </m:rPr>
                <m:t>e</m:t>
              </m:r>
              <m:r>
                <m:rPr>
                  <m:sty m:val="p"/>
                </m:rPr>
                <m:t>q</m:t>
              </m:r>
            </m:sub>
          </m:sSub>
          <m:d>
            <m:dPr>
              <m:begChr m:val="("/>
              <m:endChr m:val=")"/>
              <m:sepChr m:val=""/>
              <m:grow/>
            </m:dPr>
            <m:e>
              <m:r>
                <m:t>x</m:t>
              </m:r>
            </m:e>
          </m:d>
          <m:r>
            <m:rPr>
              <m:sty m:val="p"/>
            </m:rPr>
            <m:t>.</m:t>
          </m:r>
        </m:oMath>
      </m:oMathPara>
    </w:p>
    <w:p>
      <w:pPr>
        <w:pStyle w:val="FirstParagraph"/>
      </w:pPr>
      <w:r>
        <w:t xml:space="preserve">Diese globale Skalierungsfreiheit muss etwa durch eine feste Referenzreaktanz oder eine physikalische Priorinformation gebrochen werden. Bei einem</w:t>
      </w:r>
      <w:r>
        <w:t xml:space="preserve"> </w:t>
      </w:r>
      <w:r>
        <w:rPr>
          <w:b/>
          <w:bCs/>
        </w:rPr>
        <w:t xml:space="preserve">baumförmigen Zonennetz</w:t>
      </w:r>
      <w:r>
        <w:t xml:space="preserve"> </w:t>
      </w:r>
      <w:r>
        <w:t xml:space="preserve">ist die gesamte Flussverteilung bereits durch KCL eindeutig; die Reaktanzen sind aus Flussdaten</w:t>
      </w:r>
      <w:r>
        <w:t xml:space="preserve"> </w:t>
      </w:r>
      <w:r>
        <w:rPr>
          <w:b/>
          <w:bCs/>
        </w:rPr>
        <w:t xml:space="preserve">überhaupt nicht identifizierbar</w:t>
      </w:r>
      <w:r>
        <w:t xml:space="preserve">. Ein kleiner RMSE in diesem Fall ist kein Nachweis der elektrischen Qualität. Auch in vermaschten Netzen sind Rang der Anregung über die Stunden und Parameterkorrelationen zu prüfen.</w:t>
      </w:r>
    </w:p>
    <w:p>
      <w:pPr>
        <w:pStyle w:val="BodyText"/>
      </w:pPr>
      <w:r>
        <w:rPr>
          <w:b/>
          <w:bCs/>
        </w:rPr>
        <w:t xml:space="preserve">IoSN-Abgleich:</w:t>
      </w:r>
      <w:r>
        <w:t xml:space="preserve"> </w:t>
      </w:r>
      <w:r>
        <w:t xml:space="preserve">[E1, S. 48] benennt ausdrücklich die fehlende Eindeutigkeit und den Kompromiss zwischen Robustheit und Genauigkeit. Unsere analytische Identifizierbarkeitsprüfung konkretisiert diese Aussage.</w:t>
      </w:r>
    </w:p>
    <w:bookmarkEnd w:id="47"/>
    <w:bookmarkEnd w:id="48"/>
    <w:bookmarkStart w:id="54" w:name="Xc8a667b658390123b65dcf2faeb37adc05736a6"/>
    <w:p>
      <w:pPr>
        <w:pStyle w:val="Heading1"/>
      </w:pPr>
      <w:r>
        <w:t xml:space="preserve">9. N-1-Sicherheitsabbildung: detaillierte PTDF und LODF</w:t>
      </w:r>
    </w:p>
    <w:bookmarkStart w:id="49" w:name="X22b7c49d090bb3c74f98b97c0d35648ef4f168c"/>
    <w:p>
      <w:pPr>
        <w:pStyle w:val="Heading2"/>
      </w:pPr>
      <w:r>
        <w:t xml:space="preserve">9.1 Leitungsausfälle und vollständiger Kontingenzoperator</w:t>
      </w:r>
    </w:p>
    <w:p>
      <w:pPr>
        <w:pStyle w:val="FirstParagraph"/>
      </w:pPr>
      <w:r>
        <w:t xml:space="preserve">Für den Ausfall von Zweig</w:t>
      </w:r>
      <w:r>
        <w:t xml:space="preserve"> </w:t>
      </w:r>
      <m:oMath>
        <m:r>
          <m:t>k</m:t>
        </m:r>
      </m:oMath>
      <w:r>
        <w:t xml:space="preserve"> </w:t>
      </w:r>
      <w:r>
        <w:t xml:space="preserve">sei</w:t>
      </w:r>
      <w:r>
        <w:t xml:space="preserve"> </w:t>
      </w:r>
      <m:oMath>
        <m:sSub>
          <m:e>
            <m:r>
              <m:t>d</m:t>
            </m:r>
          </m:e>
          <m:sub>
            <m:r>
              <m:t>k</m:t>
            </m:r>
          </m:sub>
        </m:sSub>
        <m:r>
          <m:rPr>
            <m:sty m:val="p"/>
          </m:rPr>
          <m:t>=</m:t>
        </m:r>
        <m:sSub>
          <m:e>
            <m:r>
              <m:t>A</m:t>
            </m:r>
          </m:e>
          <m:sub>
            <m:r>
              <m:t>d</m:t>
            </m:r>
            <m:r>
              <m:rPr>
                <m:sty m:val="p"/>
              </m:rPr>
              <m:t>,</m:t>
            </m:r>
            <m:r>
              <m:rPr>
                <m:sty m:val="p"/>
              </m:rPr>
              <m:t>:</m:t>
            </m:r>
            <m:r>
              <m:rPr>
                <m:sty m:val="p"/>
              </m:rPr>
              <m:t>,</m:t>
            </m:r>
            <m:r>
              <m:t>k</m:t>
            </m:r>
          </m:sub>
        </m:sSub>
      </m:oMath>
      <w:r>
        <w:t xml:space="preserve"> </w:t>
      </w:r>
      <w:r>
        <w:t xml:space="preserve">die zugehörige nodale Transaktion. Mit</w:t>
      </w:r>
      <w:r>
        <w:t xml:space="preserve"> </w:t>
      </w:r>
      <m:oMath>
        <m:r>
          <m:t>T</m:t>
        </m:r>
        <m:r>
          <m:rPr>
            <m:sty m:val="p"/>
          </m:rPr>
          <m:t>=</m:t>
        </m:r>
        <m:sSub>
          <m:e>
            <m:r>
              <m:t>H</m:t>
            </m:r>
          </m:e>
          <m:sub>
            <m:r>
              <m:t>d</m:t>
            </m:r>
          </m:sub>
        </m:sSub>
        <m:sSub>
          <m:e>
            <m:r>
              <m:t>A</m:t>
            </m:r>
          </m:e>
          <m:sub>
            <m:r>
              <m:t>d</m:t>
            </m:r>
          </m:sub>
        </m:sSub>
      </m:oMath>
      <w:r>
        <w:t xml:space="preserve"> </w:t>
      </w:r>
      <w:r>
        <w:t xml:space="preserve">und einem</w:t>
      </w:r>
      <w:r>
        <w:t xml:space="preserve"> </w:t>
      </w:r>
      <w:r>
        <w:rPr>
          <w:b/>
          <w:bCs/>
        </w:rPr>
        <w:t xml:space="preserve">nicht inselbildenden</w:t>
      </w:r>
      <w:r>
        <w:t xml:space="preserve"> </w:t>
      </w:r>
      <w:r>
        <w:t xml:space="preserve">Einzelausfall gilt</w:t>
      </w:r>
    </w:p>
    <w:p>
      <w:pPr>
        <w:pStyle w:val="BodyText"/>
      </w:pPr>
      <w:r>
        <w:rPr>
          <w:b/>
          <w:bCs/>
        </w:rPr>
        <w:t xml:space="preserve">(N1) Line Outage Distribution Factors [L/R].</w:t>
      </w:r>
    </w:p>
    <w:p>
      <w:pPr>
        <w:pStyle w:val="BodyText"/>
      </w:pPr>
      <m:oMathPara>
        <m:oMathParaPr>
          <m:jc m:val="center"/>
        </m:oMathParaPr>
        <m:oMath>
          <m:sSub>
            <m:e>
              <m:r>
                <m:t>D</m:t>
              </m:r>
            </m:e>
            <m:sub>
              <m:r>
                <m:rPr>
                  <m:sty m:val="p"/>
                </m:rPr>
                <m:t>ℓ</m:t>
              </m:r>
              <m:r>
                <m:t>k</m:t>
              </m:r>
            </m:sub>
          </m:sSub>
          <m:r>
            <m:rPr>
              <m:sty m:val="p"/>
            </m:rPr>
            <m:t>=</m:t>
          </m:r>
          <m:f>
            <m:fPr>
              <m:type m:val="bar"/>
            </m:fPr>
            <m:num>
              <m:sSub>
                <m:e>
                  <m:r>
                    <m:t>T</m:t>
                  </m:r>
                </m:e>
                <m:sub>
                  <m:r>
                    <m:rPr>
                      <m:sty m:val="p"/>
                    </m:rPr>
                    <m:t>ℓ</m:t>
                  </m:r>
                  <m:r>
                    <m:t>k</m:t>
                  </m:r>
                </m:sub>
              </m:sSub>
            </m:num>
            <m:den>
              <m:r>
                <m:t>1</m:t>
              </m:r>
              <m:r>
                <m:rPr>
                  <m:sty m:val="p"/>
                </m:rPr>
                <m:t>−</m:t>
              </m:r>
              <m:sSub>
                <m:e>
                  <m:r>
                    <m:t>T</m:t>
                  </m:r>
                </m:e>
                <m:sub>
                  <m:r>
                    <m:t>k</m:t>
                  </m:r>
                  <m:r>
                    <m:t>k</m:t>
                  </m:r>
                </m:sub>
              </m:sSub>
            </m:den>
          </m:f>
          <m:r>
            <m:t> </m:t>
          </m:r>
          <m:d>
            <m:dPr>
              <m:begChr m:val="("/>
              <m:endChr m:val=")"/>
              <m:sepChr m:val=""/>
              <m:grow/>
            </m:dPr>
            <m:e>
              <m:r>
                <m:rPr>
                  <m:sty m:val="p"/>
                </m:rPr>
                <m:t>ℓ</m:t>
              </m:r>
              <m:r>
                <m:rPr>
                  <m:sty m:val="p"/>
                </m:rPr>
                <m:t>≠</m:t>
              </m:r>
              <m:r>
                <m:t>k</m:t>
              </m:r>
            </m:e>
          </m:d>
          <m:r>
            <m:rPr>
              <m:sty m:val="p"/>
            </m:rPr>
            <m:t>,</m:t>
          </m:r>
          <m:r>
            <m:t>  </m:t>
          </m:r>
          <m:sSub>
            <m:e>
              <m:r>
                <m:t>D</m:t>
              </m:r>
            </m:e>
            <m:sub>
              <m:r>
                <m:t>k</m:t>
              </m:r>
              <m:r>
                <m:t>k</m:t>
              </m:r>
            </m:sub>
          </m:sSub>
          <m:r>
            <m:rPr>
              <m:sty m:val="p"/>
            </m:rPr>
            <m:t>=</m:t>
          </m:r>
          <m:r>
            <m:rPr>
              <m:sty m:val="p"/>
            </m:rPr>
            <m:t>−</m:t>
          </m:r>
          <m:r>
            <m:t>1</m:t>
          </m:r>
          <m:r>
            <m:rPr>
              <m:sty m:val="p"/>
            </m:rPr>
            <m:t>,</m:t>
          </m:r>
        </m:oMath>
      </m:oMathPara>
    </w:p>
    <w:p>
      <w:pPr>
        <w:pStyle w:val="FirstParagraph"/>
      </w:pPr>
      <w:r>
        <w:t xml:space="preserve">und somit</w:t>
      </w:r>
      <w:r>
        <w:t xml:space="preserve"> </w:t>
      </w:r>
      <m:oMath>
        <m:sSubSup>
          <m:e>
            <m:r>
              <m:t>f</m:t>
            </m:r>
          </m:e>
          <m:sub>
            <m:r>
              <m:rPr>
                <m:sty m:val="p"/>
              </m:rPr>
              <m:t>ℓ</m:t>
            </m:r>
          </m:sub>
          <m:sup>
            <m:d>
              <m:dPr>
                <m:begChr m:val="("/>
                <m:endChr m:val=")"/>
                <m:sepChr m:val=""/>
                <m:grow/>
              </m:dPr>
              <m:e>
                <m:r>
                  <m:t>k</m:t>
                </m:r>
              </m:e>
            </m:d>
          </m:sup>
        </m:sSubSup>
        <m:r>
          <m:rPr>
            <m:sty m:val="p"/>
          </m:rPr>
          <m:t>=</m:t>
        </m:r>
        <m:sSub>
          <m:e>
            <m:r>
              <m:t>f</m:t>
            </m:r>
          </m:e>
          <m:sub>
            <m:r>
              <m:rPr>
                <m:sty m:val="p"/>
              </m:rPr>
              <m:t>ℓ</m:t>
            </m:r>
          </m:sub>
        </m:sSub>
        <m:r>
          <m:rPr>
            <m:sty m:val="p"/>
          </m:rPr>
          <m:t>+</m:t>
        </m:r>
        <m:sSub>
          <m:e>
            <m:r>
              <m:t>D</m:t>
            </m:r>
          </m:e>
          <m:sub>
            <m:r>
              <m:rPr>
                <m:sty m:val="p"/>
              </m:rPr>
              <m:t>ℓ</m:t>
            </m:r>
            <m:r>
              <m:t>k</m:t>
            </m:r>
          </m:sub>
        </m:sSub>
        <m:sSub>
          <m:e>
            <m:r>
              <m:t>f</m:t>
            </m:r>
          </m:e>
          <m:sub>
            <m:r>
              <m:t>k</m:t>
            </m:r>
          </m:sub>
        </m:sSub>
      </m:oMath>
      <w:r>
        <w:t xml:space="preserve">. Für Brücken/Ausfälle, die das AC-Netz separieren, ist der Nenner null oder numerisch unbrauchbar; solche Fälle dürfen</w:t>
      </w:r>
      <w:r>
        <w:t xml:space="preserve"> </w:t>
      </w:r>
      <w:r>
        <w:rPr>
          <w:b/>
          <w:bCs/>
        </w:rPr>
        <w:t xml:space="preserve">nicht</w:t>
      </w:r>
      <w:r>
        <w:t xml:space="preserve"> </w:t>
      </w:r>
      <w:r>
        <w:t xml:space="preserve">stillschweigend als sicher gelten. Andere Topologieänderungen oder Gegenmaßnahmen benötigen separate Modelle.</w:t>
      </w:r>
    </w:p>
    <w:p>
      <w:pPr>
        <w:pStyle w:val="BodyText"/>
      </w:pPr>
      <w:r>
        <w:t xml:space="preserve">Sei</w:t>
      </w:r>
      <w:r>
        <w:t xml:space="preserve"> </w:t>
      </w:r>
      <m:oMath>
        <m:r>
          <m:t>K</m:t>
        </m:r>
        <m:r>
          <m:rPr>
            <m:sty m:val="p"/>
          </m:rPr>
          <m:t>∈</m:t>
        </m:r>
        <m:sSup>
          <m:e>
            <m:r>
              <m:rPr>
                <m:sty m:val="p"/>
                <m:scr m:val="double-struck"/>
              </m:rPr>
              <m:t>R</m:t>
            </m:r>
          </m:e>
          <m:sup>
            <m:r>
              <m:t>C</m:t>
            </m:r>
            <m:r>
              <m:rPr>
                <m:sty m:val="p"/>
              </m:rPr>
              <m:t>×</m:t>
            </m:r>
            <m:r>
              <m:t>L</m:t>
            </m:r>
          </m:sup>
        </m:sSup>
      </m:oMath>
      <w:r>
        <w:t xml:space="preserve"> </w:t>
      </w:r>
      <w:r>
        <w:t xml:space="preserve">eine Matrix aus Zeilen</w:t>
      </w:r>
      <w:r>
        <w:t xml:space="preserve"> </w:t>
      </w:r>
      <m:oMath>
        <m:sSubSup>
          <m:e>
            <m:r>
              <m:t>e</m:t>
            </m:r>
          </m:e>
          <m:sub>
            <m:r>
              <m:rPr>
                <m:sty m:val="p"/>
              </m:rPr>
              <m:t>ℓ</m:t>
            </m:r>
          </m:sub>
          <m:sup>
            <m:r>
              <m:rPr>
                <m:sty m:val="p"/>
                <m:scr m:val="sans-serif"/>
              </m:rPr>
              <m:t>T</m:t>
            </m:r>
          </m:sup>
        </m:sSubSup>
      </m:oMath>
      <w:r>
        <w:t xml:space="preserve"> </w:t>
      </w:r>
      <w:r>
        <w:t xml:space="preserve">(N-0) und</w:t>
      </w:r>
      <w:r>
        <w:t xml:space="preserve"> </w:t>
      </w:r>
      <m:oMath>
        <m:sSubSup>
          <m:e>
            <m:r>
              <m:t>e</m:t>
            </m:r>
          </m:e>
          <m:sub>
            <m:r>
              <m:rPr>
                <m:sty m:val="p"/>
              </m:rPr>
              <m:t>ℓ</m:t>
            </m:r>
          </m:sub>
          <m:sup>
            <m:r>
              <m:rPr>
                <m:sty m:val="p"/>
                <m:scr m:val="sans-serif"/>
              </m:rPr>
              <m:t>T</m:t>
            </m:r>
          </m:sup>
        </m:sSubSup>
        <m:r>
          <m:rPr>
            <m:sty m:val="p"/>
          </m:rPr>
          <m:t>+</m:t>
        </m:r>
        <m:sSub>
          <m:e>
            <m:r>
              <m:t>D</m:t>
            </m:r>
          </m:e>
          <m:sub>
            <m:r>
              <m:rPr>
                <m:sty m:val="p"/>
              </m:rPr>
              <m:t>ℓ</m:t>
            </m:r>
            <m:r>
              <m:t>k</m:t>
            </m:r>
          </m:sub>
        </m:sSub>
        <m:sSubSup>
          <m:e>
            <m:r>
              <m:t>e</m:t>
            </m:r>
          </m:e>
          <m:sub>
            <m:r>
              <m:t>k</m:t>
            </m:r>
          </m:sub>
          <m:sup>
            <m:r>
              <m:rPr>
                <m:sty m:val="p"/>
                <m:scr m:val="sans-serif"/>
              </m:rPr>
              <m:t>T</m:t>
            </m:r>
          </m:sup>
        </m:sSubSup>
      </m:oMath>
      <w:r>
        <w:t xml:space="preserve"> </w:t>
      </w:r>
      <w:r>
        <w:t xml:space="preserve">(überwachter Zweig</w:t>
      </w:r>
      <w:r>
        <w:t xml:space="preserve"> </w:t>
      </w:r>
      <m:oMath>
        <m:r>
          <m:rPr>
            <m:sty m:val="p"/>
          </m:rPr>
          <m:t>ℓ</m:t>
        </m:r>
        <m:r>
          <m:rPr>
            <m:sty m:val="p"/>
          </m:rPr>
          <m:t>≠</m:t>
        </m:r>
        <m:r>
          <m:t>k</m:t>
        </m:r>
      </m:oMath>
      <w:r>
        <w:t xml:space="preserve"> </w:t>
      </w:r>
      <w:r>
        <w:t xml:space="preserve">unter Ausfall</w:t>
      </w:r>
      <w:r>
        <w:t xml:space="preserve"> </w:t>
      </w:r>
      <m:oMath>
        <m:r>
          <m:t>k</m:t>
        </m:r>
      </m:oMath>
      <w:r>
        <w:t xml:space="preserve">). Dann</w:t>
      </w:r>
    </w:p>
    <w:p>
      <w:pPr>
        <w:pStyle w:val="BodyText"/>
      </w:pPr>
      <w:r>
        <w:rPr>
          <w:b/>
          <w:bCs/>
        </w:rPr>
        <w:t xml:space="preserve">(N2) Gekoppelte N-1-Sicherheitsregion [L/R].</w:t>
      </w:r>
    </w:p>
    <w:p>
      <w:pPr>
        <w:pStyle w:val="BodyText"/>
      </w:pPr>
      <m:oMathPara>
        <m:oMathParaPr>
          <m:jc m:val="center"/>
        </m:oMathParaPr>
        <m:oMath>
          <m:borderBox>
            <m:e>
              <m:r>
                <m:rPr>
                  <m:sty m:val="p"/>
                </m:rPr>
                <m:t>−</m:t>
              </m:r>
              <m:sSub>
                <m:e>
                  <m:bar>
                    <m:barPr>
                      <m:pos m:val="top"/>
                    </m:barPr>
                    <m:e>
                      <m:r>
                        <m:t>f</m:t>
                      </m:r>
                    </m:e>
                  </m:bar>
                </m:e>
                <m:sub>
                  <m:r>
                    <m:t>C</m:t>
                  </m:r>
                </m:sub>
              </m:sSub>
              <m:r>
                <m:rPr>
                  <m:sty m:val="p"/>
                </m:rPr>
                <m:t>≤</m:t>
              </m:r>
              <m:r>
                <m:t>K</m:t>
              </m:r>
              <m:d>
                <m:dPr>
                  <m:begChr m:val="("/>
                  <m:endChr m:val=")"/>
                  <m:sepChr m:val=""/>
                  <m:grow/>
                </m:dPr>
                <m:e>
                  <m:sSub>
                    <m:e>
                      <m:r>
                        <m:t>H</m:t>
                      </m:r>
                    </m:e>
                    <m:sub>
                      <m:r>
                        <m:t>d</m:t>
                      </m:r>
                    </m:sub>
                  </m:sSub>
                  <m:sSub>
                    <m:e>
                      <m:r>
                        <m:t>p</m:t>
                      </m:r>
                    </m:e>
                    <m:sub>
                      <m:r>
                        <m:t>d</m:t>
                      </m:r>
                    </m:sub>
                  </m:sSub>
                  <m:r>
                    <m:rPr>
                      <m:sty m:val="p"/>
                    </m:rPr>
                    <m:t>+</m:t>
                  </m:r>
                  <m:sSup>
                    <m:e>
                      <m:r>
                        <m:t>b</m:t>
                      </m:r>
                    </m:e>
                    <m:sup>
                      <m:r>
                        <m:t>ϕ</m:t>
                      </m:r>
                    </m:sup>
                  </m:sSup>
                </m:e>
              </m:d>
              <m:r>
                <m:rPr>
                  <m:sty m:val="p"/>
                </m:rPr>
                <m:t>≤</m:t>
              </m:r>
              <m:sSub>
                <m:e>
                  <m:bar>
                    <m:barPr>
                      <m:pos m:val="top"/>
                    </m:barPr>
                    <m:e>
                      <m:r>
                        <m:t>f</m:t>
                      </m:r>
                    </m:e>
                  </m:bar>
                </m:e>
                <m:sub>
                  <m:r>
                    <m:t>C</m:t>
                  </m:r>
                </m:sub>
              </m:sSub>
            </m:e>
          </m:borderBox>
          <m:r>
            <m:rPr>
              <m:sty m:val="p"/>
            </m:rPr>
            <m:t>.</m:t>
          </m:r>
        </m:oMath>
      </m:oMathPara>
    </w:p>
    <w:p>
      <w:pPr>
        <w:pStyle w:val="FirstParagraph"/>
      </w:pPr>
      <w:r>
        <w:t xml:space="preserve">Jedem Überwachungsfall wird die zugehörige zulässige (ggf. saisonale) MW-Grenze zugeordnet.</w:t>
      </w:r>
      <w:r>
        <w:t xml:space="preserve"> </w:t>
      </w:r>
      <m:oMath>
        <m:r>
          <m:t>K</m:t>
        </m:r>
      </m:oMath>
      <w:r>
        <w:t xml:space="preserve"> </w:t>
      </w:r>
      <w:r>
        <w:t xml:space="preserve">ist ein</w:t>
      </w:r>
      <w:r>
        <w:t xml:space="preserve"> </w:t>
      </w:r>
      <w:r>
        <w:rPr>
          <w:b/>
          <w:bCs/>
        </w:rPr>
        <w:t xml:space="preserve">CNEC-Selektions-/Transformationsoperator</w:t>
      </w:r>
      <w:r>
        <w:t xml:space="preserve">, kein Aggregationsoperator</w:t>
      </w:r>
      <w:r>
        <w:t xml:space="preserve"> </w:t>
      </w:r>
      <m:oMath>
        <m:r>
          <m:t>Γ</m:t>
        </m:r>
      </m:oMath>
      <w:r>
        <w:t xml:space="preserve">.</w:t>
      </w:r>
    </w:p>
    <w:bookmarkEnd w:id="49"/>
    <w:bookmarkStart w:id="50" w:name="Xfff41a5ddfbf4fd192d6f91b97a5278b01920e7"/>
    <w:p>
      <w:pPr>
        <w:pStyle w:val="Heading2"/>
      </w:pPr>
      <w:r>
        <w:t xml:space="preserve">9.2 Direkte zonale N-1-Projektion bei festem räumlichem Schlüssel</w:t>
      </w:r>
    </w:p>
    <w:p>
      <w:pPr>
        <w:pStyle w:val="FirstParagraph"/>
      </w:pPr>
      <w:r>
        <w:t xml:space="preserve">Für</w:t>
      </w:r>
      <w:r>
        <w:t xml:space="preserve"> </w:t>
      </w:r>
      <m:oMath>
        <m:sSub>
          <m:e>
            <m:r>
              <m:t>p</m:t>
            </m:r>
          </m:e>
          <m:sub>
            <m:r>
              <m:t>d</m:t>
            </m:r>
          </m:sub>
        </m:sSub>
        <m:r>
          <m:rPr>
            <m:sty m:val="p"/>
          </m:rPr>
          <m:t>=</m:t>
        </m:r>
        <m:r>
          <m:t>R</m:t>
        </m:r>
        <m:sSub>
          <m:e>
            <m:r>
              <m:t>p</m:t>
            </m:r>
          </m:e>
          <m:sub>
            <m:r>
              <m:t>z</m:t>
            </m:r>
          </m:sub>
        </m:sSub>
        <m:r>
          <m:rPr>
            <m:sty m:val="p"/>
          </m:rPr>
          <m:t>+</m:t>
        </m:r>
        <m:r>
          <m:t>u</m:t>
        </m:r>
      </m:oMath>
      <w:r>
        <w:t xml:space="preserve">,</w:t>
      </w:r>
      <w:r>
        <w:t xml:space="preserve"> </w:t>
      </w:r>
      <m:oMath>
        <m:r>
          <m:t>P</m:t>
        </m:r>
        <m:r>
          <m:t>R</m:t>
        </m:r>
        <m:r>
          <m:rPr>
            <m:sty m:val="p"/>
          </m:rPr>
          <m:t>=</m:t>
        </m:r>
        <m:r>
          <m:t>I</m:t>
        </m:r>
      </m:oMath>
      <w:r>
        <w:t xml:space="preserve"> </w:t>
      </w:r>
      <w:r>
        <w:t xml:space="preserve">und</w:t>
      </w:r>
      <w:r>
        <w:t xml:space="preserve"> </w:t>
      </w:r>
      <m:oMath>
        <m:r>
          <m:t>P</m:t>
        </m:r>
        <m:r>
          <m:t>u</m:t>
        </m:r>
        <m:r>
          <m:rPr>
            <m:sty m:val="p"/>
          </m:rPr>
          <m:t>=</m:t>
        </m:r>
        <m:r>
          <m:t>0</m:t>
        </m:r>
      </m:oMath>
      <w:r>
        <w:t xml:space="preserve"> </w:t>
      </w:r>
      <w:r>
        <w:t xml:space="preserve">gilt</w:t>
      </w:r>
    </w:p>
    <w:p>
      <w:pPr>
        <w:pStyle w:val="BodyText"/>
      </w:pPr>
      <w:r>
        <w:rPr>
          <w:b/>
          <w:bCs/>
        </w:rPr>
        <w:t xml:space="preserve">(N3) N-1-Sicherheitsabbildung in zonale Nettopositionen [R/E].</w:t>
      </w:r>
    </w:p>
    <w:p>
      <w:pPr>
        <w:pStyle w:val="BodyText"/>
      </w:pPr>
      <m:oMathPara>
        <m:oMathParaPr>
          <m:jc m:val="center"/>
        </m:oMathParaPr>
        <m:oMath>
          <m:borderBox>
            <m:e>
              <m:r>
                <m:rPr>
                  <m:sty m:val="p"/>
                </m:rPr>
                <m:t>−</m:t>
              </m:r>
              <m:sSub>
                <m:e>
                  <m:bar>
                    <m:barPr>
                      <m:pos m:val="top"/>
                    </m:barPr>
                    <m:e>
                      <m:r>
                        <m:t>f</m:t>
                      </m:r>
                    </m:e>
                  </m:bar>
                </m:e>
                <m:sub>
                  <m:r>
                    <m:t>C</m:t>
                  </m:r>
                </m:sub>
              </m:sSub>
              <m:r>
                <m:rPr>
                  <m:sty m:val="p"/>
                </m:rPr>
                <m:t>≤</m:t>
              </m:r>
              <m:sSub>
                <m:e>
                  <m:r>
                    <m:t>H</m:t>
                  </m:r>
                </m:e>
                <m:sub>
                  <m:r>
                    <m:t>C</m:t>
                  </m:r>
                  <m:r>
                    <m:rPr>
                      <m:sty m:val="p"/>
                    </m:rPr>
                    <m:t>,</m:t>
                  </m:r>
                  <m:r>
                    <m:t>z</m:t>
                  </m:r>
                </m:sub>
              </m:sSub>
              <m:sSub>
                <m:e>
                  <m:r>
                    <m:t>p</m:t>
                  </m:r>
                </m:e>
                <m:sub>
                  <m:r>
                    <m:t>z</m:t>
                  </m:r>
                </m:sub>
              </m:sSub>
              <m:r>
                <m:rPr>
                  <m:sty m:val="p"/>
                </m:rPr>
                <m:t>+</m:t>
              </m:r>
              <m:sSub>
                <m:e>
                  <m:r>
                    <m:t>f</m:t>
                  </m:r>
                </m:e>
                <m:sub>
                  <m:r>
                    <m:t>0</m:t>
                  </m:r>
                  <m:r>
                    <m:rPr>
                      <m:sty m:val="p"/>
                    </m:rPr>
                    <m:t>,</m:t>
                  </m:r>
                  <m:r>
                    <m:t>C</m:t>
                  </m:r>
                </m:sub>
              </m:sSub>
              <m:r>
                <m:rPr>
                  <m:sty m:val="p"/>
                </m:rPr>
                <m:t>≤</m:t>
              </m:r>
              <m:sSub>
                <m:e>
                  <m:bar>
                    <m:barPr>
                      <m:pos m:val="top"/>
                    </m:barPr>
                    <m:e>
                      <m:r>
                        <m:t>f</m:t>
                      </m:r>
                    </m:e>
                  </m:bar>
                </m:e>
                <m:sub>
                  <m:r>
                    <m:t>C</m:t>
                  </m:r>
                </m:sub>
              </m:sSub>
            </m:e>
          </m:borderBox>
          <m:r>
            <m:rPr>
              <m:sty m:val="p"/>
            </m:rPr>
            <m:t>,</m:t>
          </m:r>
        </m:oMath>
      </m:oMathPara>
    </w:p>
    <w:p>
      <w:pPr>
        <w:pStyle w:val="FirstParagraph"/>
      </w:pPr>
      <w:r>
        <w:t xml:space="preserve">mit</w:t>
      </w:r>
      <w:r>
        <w:t xml:space="preserve"> </w:t>
      </w:r>
      <m:oMath>
        <m:sSub>
          <m:e>
            <m:r>
              <m:t>H</m:t>
            </m:r>
          </m:e>
          <m:sub>
            <m:r>
              <m:t>C</m:t>
            </m:r>
            <m:r>
              <m:rPr>
                <m:sty m:val="p"/>
              </m:rPr>
              <m:t>,</m:t>
            </m:r>
            <m:r>
              <m:t>z</m:t>
            </m:r>
          </m:sub>
        </m:sSub>
        <m:r>
          <m:rPr>
            <m:sty m:val="p"/>
          </m:rPr>
          <m:t>=</m:t>
        </m:r>
        <m:r>
          <m:t>K</m:t>
        </m:r>
        <m:sSub>
          <m:e>
            <m:r>
              <m:t>H</m:t>
            </m:r>
          </m:e>
          <m:sub>
            <m:r>
              <m:t>d</m:t>
            </m:r>
          </m:sub>
        </m:sSub>
        <m:r>
          <m:t>R</m:t>
        </m:r>
      </m:oMath>
      <w:r>
        <w:t xml:space="preserve"> </w:t>
      </w:r>
      <w:r>
        <w:t xml:space="preserve">und</w:t>
      </w:r>
      <w:r>
        <w:t xml:space="preserve"> </w:t>
      </w:r>
      <m:oMath>
        <m:sSub>
          <m:e>
            <m:r>
              <m:t>f</m:t>
            </m:r>
          </m:e>
          <m:sub>
            <m:r>
              <m:t>0</m:t>
            </m:r>
            <m:r>
              <m:rPr>
                <m:sty m:val="p"/>
              </m:rPr>
              <m:t>,</m:t>
            </m:r>
            <m:r>
              <m:t>C</m:t>
            </m:r>
          </m:sub>
        </m:sSub>
        <m:r>
          <m:rPr>
            <m:sty m:val="p"/>
          </m:rPr>
          <m:t>=</m:t>
        </m:r>
        <m:r>
          <m:t>K</m:t>
        </m:r>
        <m:d>
          <m:dPr>
            <m:begChr m:val="("/>
            <m:endChr m:val=")"/>
            <m:sepChr m:val=""/>
            <m:grow/>
          </m:dPr>
          <m:e>
            <m:sSub>
              <m:e>
                <m:r>
                  <m:t>H</m:t>
                </m:r>
              </m:e>
              <m:sub>
                <m:r>
                  <m:t>d</m:t>
                </m:r>
              </m:sub>
            </m:sSub>
            <m:r>
              <m:t>u</m:t>
            </m:r>
            <m:r>
              <m:rPr>
                <m:sty m:val="p"/>
              </m:rPr>
              <m:t>+</m:t>
            </m:r>
            <m:sSup>
              <m:e>
                <m:r>
                  <m:t>b</m:t>
                </m:r>
              </m:e>
              <m:sup>
                <m:r>
                  <m:t>ϕ</m:t>
                </m:r>
              </m:sup>
            </m:sSup>
          </m:e>
        </m:d>
      </m:oMath>
      <w:r>
        <w:t xml:space="preserve">. Diese Formulierung ist in der linearen Netzapproximation</w:t>
      </w:r>
      <w:r>
        <w:t xml:space="preserve"> </w:t>
      </w:r>
      <w:r>
        <w:rPr>
          <w:b/>
          <w:bCs/>
        </w:rPr>
        <w:t xml:space="preserve">exakt konditional</w:t>
      </w:r>
      <w:r>
        <w:t xml:space="preserve"> </w:t>
      </w:r>
      <w:r>
        <w:t xml:space="preserve">auf</w:t>
      </w:r>
      <w:r>
        <w:t xml:space="preserve"> </w:t>
      </w:r>
      <m:oMath>
        <m:r>
          <m:t>R</m:t>
        </m:r>
      </m:oMath>
      <w:r>
        <w:t xml:space="preserve">,</w:t>
      </w:r>
      <w:r>
        <w:t xml:space="preserve"> </w:t>
      </w:r>
      <m:oMath>
        <m:r>
          <m:t>u</m:t>
        </m:r>
      </m:oMath>
      <w:r>
        <w:t xml:space="preserve">, Topologie, fixierte PST-/HVDC-Einwirkungen und die betrachteten Kontingenzen.</w:t>
      </w:r>
    </w:p>
    <w:p>
      <w:pPr>
        <w:pStyle w:val="BodyText"/>
      </w:pPr>
      <w:r>
        <w:t xml:space="preserve">Die Wahl des intra-zonalen Betriebs ist hierbei entscheidend:</w:t>
      </w:r>
    </w:p>
    <w:p>
      <w:pPr>
        <w:pStyle w:val="Compact"/>
        <w:numPr>
          <w:ilvl w:val="0"/>
          <w:numId w:val="1004"/>
        </w:numPr>
      </w:pPr>
      <w:r>
        <w:rPr>
          <w:b/>
          <w:bCs/>
        </w:rPr>
        <w:t xml:space="preserve">Feste intrazonale Struktur:</w:t>
      </w:r>
      <w:r>
        <w:t xml:space="preserve"> </w:t>
      </w:r>
      <m:oMath>
        <m:r>
          <m:t>u</m:t>
        </m:r>
        <m:r>
          <m:rPr>
            <m:sty m:val="p"/>
          </m:rPr>
          <m:t>=</m:t>
        </m:r>
        <m:sSup>
          <m:e>
            <m:r>
              <m:t>u</m:t>
            </m:r>
          </m:e>
          <m:sup>
            <m:r>
              <m:rPr>
                <m:sty m:val="p"/>
              </m:rPr>
              <m:t>r</m:t>
            </m:r>
            <m:r>
              <m:rPr>
                <m:sty m:val="p"/>
              </m:rPr>
              <m:t>e</m:t>
            </m:r>
            <m:r>
              <m:rPr>
                <m:sty m:val="p"/>
              </m:rPr>
              <m:t>f</m:t>
            </m:r>
          </m:sup>
        </m:sSup>
      </m:oMath>
      <w:r>
        <w:t xml:space="preserve"> </w:t>
      </w:r>
      <w:r>
        <w:t xml:space="preserve">ergibt ein einzelnes gekoppeltes Zonensicherheits-Polyeder.</w:t>
      </w:r>
    </w:p>
    <w:p>
      <w:pPr>
        <w:pStyle w:val="Compact"/>
        <w:numPr>
          <w:ilvl w:val="0"/>
          <w:numId w:val="1004"/>
        </w:numPr>
      </w:pPr>
      <w:r>
        <w:rPr>
          <w:b/>
          <w:bCs/>
        </w:rPr>
        <w:t xml:space="preserve">Existenzielle Projektion:</w:t>
      </w:r>
      <w:r>
        <w:t xml:space="preserve"> </w:t>
      </w:r>
      <m:oMath>
        <m:sSub>
          <m:e>
            <m:r>
              <m:t>p</m:t>
            </m:r>
          </m:e>
          <m:sub>
            <m:r>
              <m:t>z</m:t>
            </m:r>
          </m:sub>
        </m:sSub>
      </m:oMath>
      <w:r>
        <w:t xml:space="preserve"> </w:t>
      </w:r>
      <w:r>
        <w:t xml:space="preserve">gilt als zulässig, wenn ein</w:t>
      </w:r>
      <w:r>
        <w:t xml:space="preserve"> </w:t>
      </w:r>
      <m:oMath>
        <m:r>
          <m:t>u</m:t>
        </m:r>
        <m:r>
          <m:rPr>
            <m:sty m:val="p"/>
          </m:rPr>
          <m:t>∈</m:t>
        </m:r>
        <m:r>
          <m:rPr>
            <m:sty m:val="p"/>
            <m:scr m:val="script"/>
          </m:rPr>
          <m:t>U</m:t>
        </m:r>
      </m:oMath>
      <w:r>
        <w:t xml:space="preserve"> </w:t>
      </w:r>
      <w:r>
        <w:t xml:space="preserve">existiert, das sämtliche Restriktionen erfüllt; dies bildet die erlaubte Re-Dispatch-Flexibilität ab, benötigt aber ihre technische Beschreibung.</w:t>
      </w:r>
    </w:p>
    <w:p>
      <w:pPr>
        <w:pStyle w:val="Compact"/>
        <w:numPr>
          <w:ilvl w:val="0"/>
          <w:numId w:val="1004"/>
        </w:numPr>
      </w:pPr>
      <w:r>
        <w:rPr>
          <w:b/>
          <w:bCs/>
        </w:rPr>
        <w:t xml:space="preserve">Robuste Projektion:</w:t>
      </w:r>
      <w:r>
        <w:t xml:space="preserve"> </w:t>
      </w:r>
      <m:oMath>
        <m:sSub>
          <m:e>
            <m:r>
              <m:t>p</m:t>
            </m:r>
          </m:e>
          <m:sub>
            <m:r>
              <m:t>z</m:t>
            </m:r>
          </m:sub>
        </m:sSub>
      </m:oMath>
      <w:r>
        <w:t xml:space="preserve"> </w:t>
      </w:r>
      <w:r>
        <w:t xml:space="preserve">gilt nur als zulässig, wenn die Restriktionen für</w:t>
      </w:r>
      <w:r>
        <w:t xml:space="preserve"> </w:t>
      </w:r>
      <w:r>
        <w:rPr>
          <w:b/>
          <w:bCs/>
        </w:rPr>
        <w:t xml:space="preserve">jedes</w:t>
      </w:r>
      <w:r>
        <w:t xml:space="preserve"> </w:t>
      </w:r>
      <m:oMath>
        <m:r>
          <m:t>u</m:t>
        </m:r>
        <m:r>
          <m:rPr>
            <m:sty m:val="p"/>
          </m:rPr>
          <m:t>∈</m:t>
        </m:r>
        <m:r>
          <m:rPr>
            <m:sty m:val="p"/>
            <m:scr m:val="script"/>
          </m:rPr>
          <m:t>U</m:t>
        </m:r>
      </m:oMath>
      <w:r>
        <w:t xml:space="preserve"> </w:t>
      </w:r>
      <w:r>
        <w:t xml:space="preserve">gelten; dieses Polyeder ist meist konservativer.</w:t>
      </w:r>
    </w:p>
    <w:p>
      <w:pPr>
        <w:pStyle w:val="FirstParagraph"/>
      </w:pPr>
      <w:r>
        <w:t xml:space="preserve">Die letzte Unterscheidung ist für die langfristige Planung wesentlich: Eine feste GSK-Verteilung ist weder automatisch eine vollständige noch eine robuste Projektion aller operativen Freiheitsgrade.</w:t>
      </w:r>
    </w:p>
    <w:bookmarkEnd w:id="50"/>
    <w:bookmarkStart w:id="51" w:name="sichere-bilaterale-handelsänderung"/>
    <w:p>
      <w:pPr>
        <w:pStyle w:val="Heading2"/>
      </w:pPr>
      <w:r>
        <w:t xml:space="preserve">9.3 Sichere bilaterale Handelsänderung</w:t>
      </w:r>
    </w:p>
    <w:p>
      <w:pPr>
        <w:pStyle w:val="FirstParagraph"/>
      </w:pPr>
      <w:r>
        <w:t xml:space="preserve">Für einen</w:t>
      </w:r>
      <w:r>
        <w:t xml:space="preserve"> </w:t>
      </w:r>
      <w:r>
        <w:rPr>
          <w:b/>
          <w:bCs/>
        </w:rPr>
        <w:t xml:space="preserve">N-1-sicheren Referenzzustand</w:t>
      </w:r>
      <w:r>
        <w:t xml:space="preserve"> </w:t>
      </w:r>
      <m:oMath>
        <m:sSubSup>
          <m:e>
            <m:r>
              <m:t>p</m:t>
            </m:r>
          </m:e>
          <m:sub>
            <m:r>
              <m:t>z</m:t>
            </m:r>
          </m:sub>
          <m:sup>
            <m:r>
              <m:rPr>
                <m:sty m:val="p"/>
              </m:rPr>
              <m:t>r</m:t>
            </m:r>
            <m:r>
              <m:rPr>
                <m:sty m:val="p"/>
              </m:rPr>
              <m:t>e</m:t>
            </m:r>
            <m:r>
              <m:rPr>
                <m:sty m:val="p"/>
              </m:rPr>
              <m:t>f</m:t>
            </m:r>
          </m:sup>
        </m:sSubSup>
      </m:oMath>
      <w:r>
        <w:t xml:space="preserve"> </w:t>
      </w:r>
      <w:r>
        <w:t xml:space="preserve">und den Transfervektor</w:t>
      </w:r>
      <w:r>
        <w:t xml:space="preserve"> </w:t>
      </w:r>
      <m:oMath>
        <m:sSub>
          <m:e>
            <m:r>
              <m:t>d</m:t>
            </m:r>
          </m:e>
          <m:sub>
            <m:r>
              <m:t>a</m:t>
            </m:r>
            <m:r>
              <m:t>b</m:t>
            </m:r>
          </m:sub>
        </m:sSub>
        <m:r>
          <m:rPr>
            <m:sty m:val="p"/>
          </m:rPr>
          <m:t>=</m:t>
        </m:r>
        <m:sSub>
          <m:e>
            <m:r>
              <m:t>e</m:t>
            </m:r>
          </m:e>
          <m:sub>
            <m:r>
              <m:t>a</m:t>
            </m:r>
          </m:sub>
        </m:sSub>
        <m:r>
          <m:rPr>
            <m:sty m:val="p"/>
          </m:rPr>
          <m:t>−</m:t>
        </m:r>
        <m:sSub>
          <m:e>
            <m:r>
              <m:t>e</m:t>
            </m:r>
          </m:e>
          <m:sub>
            <m:r>
              <m:t>b</m:t>
            </m:r>
          </m:sub>
        </m:sSub>
      </m:oMath>
      <w:r>
        <w:t xml:space="preserve"> </w:t>
      </w:r>
      <w:r>
        <w:t xml:space="preserve">gilt</w:t>
      </w:r>
      <w:r>
        <w:t xml:space="preserve"> </w:t>
      </w:r>
      <m:oMath>
        <m:sSub>
          <m:e>
            <m:r>
              <m:t>p</m:t>
            </m:r>
          </m:e>
          <m:sub>
            <m:r>
              <m:t>z</m:t>
            </m:r>
          </m:sub>
        </m:sSub>
        <m:d>
          <m:dPr>
            <m:begChr m:val="("/>
            <m:endChr m:val=")"/>
            <m:sepChr m:val=""/>
            <m:grow/>
          </m:dPr>
          <m:e>
            <m:r>
              <m:t>τ</m:t>
            </m:r>
          </m:e>
        </m:d>
        <m:r>
          <m:rPr>
            <m:sty m:val="p"/>
          </m:rPr>
          <m:t>=</m:t>
        </m:r>
        <m:sSubSup>
          <m:e>
            <m:r>
              <m:t>p</m:t>
            </m:r>
          </m:e>
          <m:sub>
            <m:r>
              <m:t>z</m:t>
            </m:r>
          </m:sub>
          <m:sup>
            <m:r>
              <m:rPr>
                <m:sty m:val="p"/>
              </m:rPr>
              <m:t>r</m:t>
            </m:r>
            <m:r>
              <m:rPr>
                <m:sty m:val="p"/>
              </m:rPr>
              <m:t>e</m:t>
            </m:r>
            <m:r>
              <m:rPr>
                <m:sty m:val="p"/>
              </m:rPr>
              <m:t>f</m:t>
            </m:r>
          </m:sup>
        </m:sSubSup>
        <m:r>
          <m:rPr>
            <m:sty m:val="p"/>
          </m:rPr>
          <m:t>+</m:t>
        </m:r>
        <m:r>
          <m:t>τ</m:t>
        </m:r>
        <m:sSub>
          <m:e>
            <m:r>
              <m:t>d</m:t>
            </m:r>
          </m:e>
          <m:sub>
            <m:r>
              <m:t>a</m:t>
            </m:r>
            <m:r>
              <m:t>b</m:t>
            </m:r>
          </m:sub>
        </m:sSub>
      </m:oMath>
      <w:r>
        <w:t xml:space="preserve"> </w:t>
      </w:r>
      <w:r>
        <w:t xml:space="preserve">mit</w:t>
      </w:r>
      <w:r>
        <w:t xml:space="preserve"> </w:t>
      </w:r>
      <m:oMath>
        <m:r>
          <m:t>τ</m:t>
        </m:r>
        <m:r>
          <m:rPr>
            <m:sty m:val="p"/>
          </m:rPr>
          <m:t>≥</m:t>
        </m:r>
        <m:r>
          <m:t>0</m:t>
        </m:r>
      </m:oMath>
      <w:r>
        <w:t xml:space="preserve">. Definiere</w:t>
      </w:r>
      <w:r>
        <w:t xml:space="preserve"> </w:t>
      </w:r>
      <m:oMath>
        <m:r>
          <m:t>b</m:t>
        </m:r>
        <m:r>
          <m:rPr>
            <m:sty m:val="p"/>
          </m:rPr>
          <m:t>=</m:t>
        </m:r>
        <m:sSub>
          <m:e>
            <m:r>
              <m:t>H</m:t>
            </m:r>
          </m:e>
          <m:sub>
            <m:r>
              <m:t>C</m:t>
            </m:r>
            <m:r>
              <m:rPr>
                <m:sty m:val="p"/>
              </m:rPr>
              <m:t>,</m:t>
            </m:r>
            <m:r>
              <m:t>z</m:t>
            </m:r>
          </m:sub>
        </m:sSub>
        <m:sSubSup>
          <m:e>
            <m:r>
              <m:t>p</m:t>
            </m:r>
          </m:e>
          <m:sub>
            <m:r>
              <m:t>z</m:t>
            </m:r>
          </m:sub>
          <m:sup>
            <m:r>
              <m:rPr>
                <m:sty m:val="p"/>
              </m:rPr>
              <m:t>r</m:t>
            </m:r>
            <m:r>
              <m:rPr>
                <m:sty m:val="p"/>
              </m:rPr>
              <m:t>e</m:t>
            </m:r>
            <m:r>
              <m:rPr>
                <m:sty m:val="p"/>
              </m:rPr>
              <m:t>f</m:t>
            </m:r>
          </m:sup>
        </m:sSubSup>
        <m:r>
          <m:rPr>
            <m:sty m:val="p"/>
          </m:rPr>
          <m:t>+</m:t>
        </m:r>
        <m:sSub>
          <m:e>
            <m:r>
              <m:t>f</m:t>
            </m:r>
          </m:e>
          <m:sub>
            <m:r>
              <m:t>0</m:t>
            </m:r>
            <m:r>
              <m:rPr>
                <m:sty m:val="p"/>
              </m:rPr>
              <m:t>,</m:t>
            </m:r>
            <m:r>
              <m:t>C</m:t>
            </m:r>
          </m:sub>
        </m:sSub>
      </m:oMath>
      <w:r>
        <w:t xml:space="preserve"> </w:t>
      </w:r>
      <w:r>
        <w:t xml:space="preserve">und</w:t>
      </w:r>
      <w:r>
        <w:t xml:space="preserve"> </w:t>
      </w:r>
      <m:oMath>
        <m:r>
          <m:t>g</m:t>
        </m:r>
        <m:r>
          <m:rPr>
            <m:sty m:val="p"/>
          </m:rPr>
          <m:t>=</m:t>
        </m:r>
        <m:sSub>
          <m:e>
            <m:r>
              <m:t>H</m:t>
            </m:r>
          </m:e>
          <m:sub>
            <m:r>
              <m:t>C</m:t>
            </m:r>
            <m:r>
              <m:rPr>
                <m:sty m:val="p"/>
              </m:rPr>
              <m:t>,</m:t>
            </m:r>
            <m:r>
              <m:t>z</m:t>
            </m:r>
          </m:sub>
        </m:sSub>
        <m:sSub>
          <m:e>
            <m:r>
              <m:t>d</m:t>
            </m:r>
          </m:e>
          <m:sub>
            <m:r>
              <m:t>a</m:t>
            </m:r>
            <m:r>
              <m:t>b</m:t>
            </m:r>
          </m:sub>
        </m:sSub>
      </m:oMath>
      <w:r>
        <w:t xml:space="preserve">.</w:t>
      </w:r>
    </w:p>
    <w:p>
      <w:pPr>
        <w:pStyle w:val="BodyText"/>
      </w:pPr>
      <w:r>
        <w:rPr>
          <w:b/>
          <w:bCs/>
        </w:rPr>
        <w:t xml:space="preserve">(N4) Maximale sichere Transfererhöhung [R].</w:t>
      </w:r>
    </w:p>
    <w:p>
      <w:pPr>
        <w:pStyle w:val="BodyText"/>
      </w:pPr>
      <m:oMathPara>
        <m:oMathParaPr>
          <m:jc m:val="center"/>
        </m:oMathParaPr>
        <m:oMath>
          <m:borderBox>
            <m:e>
              <m:sSubSup>
                <m:e>
                  <m:r>
                    <m:t>τ</m:t>
                  </m:r>
                </m:e>
                <m:sub>
                  <m:r>
                    <m:rPr>
                      <m:sty m:val="p"/>
                    </m:rPr>
                    <m:t>max</m:t>
                  </m:r>
                </m:sub>
                <m:sup>
                  <m:r>
                    <m:t>a</m:t>
                  </m:r>
                  <m:r>
                    <m:rPr>
                      <m:sty m:val="p"/>
                    </m:rPr>
                    <m:t>→</m:t>
                  </m:r>
                  <m:r>
                    <m:t>b</m:t>
                  </m:r>
                </m:sup>
              </m:sSubSup>
              <m:r>
                <m:rPr>
                  <m:sty m:val="p"/>
                </m:rPr>
                <m:t>=</m:t>
              </m:r>
              <m:limLow>
                <m:e>
                  <m:r>
                    <m:rPr>
                      <m:sty m:val="p"/>
                    </m:rPr>
                    <m:t>min</m:t>
                  </m:r>
                </m:e>
                <m:lim>
                  <m:r>
                    <m:t>r</m:t>
                  </m:r>
                  <m:r>
                    <m:rPr>
                      <m:sty m:val="p"/>
                    </m:rPr>
                    <m:t>:</m:t>
                  </m:r>
                  <m:r>
                    <m:t> </m:t>
                  </m:r>
                  <m:sSub>
                    <m:e>
                      <m:r>
                        <m:t>g</m:t>
                      </m:r>
                    </m:e>
                    <m:sub>
                      <m:r>
                        <m:t>r</m:t>
                      </m:r>
                    </m:sub>
                  </m:sSub>
                  <m:r>
                    <m:rPr>
                      <m:sty m:val="p"/>
                    </m:rPr>
                    <m:t>≠</m:t>
                  </m:r>
                  <m:r>
                    <m:t>0</m:t>
                  </m:r>
                </m:lim>
              </m:limLow>
              <m:f>
                <m:fPr>
                  <m:type m:val="bar"/>
                </m:fPr>
                <m:num>
                  <m:sSub>
                    <m:e>
                      <m:bar>
                        <m:barPr>
                          <m:pos m:val="top"/>
                        </m:barPr>
                        <m:e>
                          <m:r>
                            <m:t>f</m:t>
                          </m:r>
                        </m:e>
                      </m:bar>
                    </m:e>
                    <m:sub>
                      <m:r>
                        <m:t>C</m:t>
                      </m:r>
                      <m:r>
                        <m:rPr>
                          <m:sty m:val="p"/>
                        </m:rPr>
                        <m:t>,</m:t>
                      </m:r>
                      <m:r>
                        <m:t>r</m:t>
                      </m:r>
                    </m:sub>
                  </m:sSub>
                  <m:r>
                    <m:rPr>
                      <m:sty m:val="p"/>
                    </m:rPr>
                    <m:t>−</m:t>
                  </m:r>
                  <m:r>
                    <m:rPr>
                      <m:sty m:val="p"/>
                    </m:rPr>
                    <m:t>sgn</m:t>
                  </m:r>
                  <m:d>
                    <m:dPr>
                      <m:begChr m:val="("/>
                      <m:endChr m:val=")"/>
                      <m:sepChr m:val=""/>
                      <m:grow/>
                    </m:dPr>
                    <m:e>
                      <m:sSub>
                        <m:e>
                          <m:r>
                            <m:t>g</m:t>
                          </m:r>
                        </m:e>
                        <m:sub>
                          <m:r>
                            <m:t>r</m:t>
                          </m:r>
                        </m:sub>
                      </m:sSub>
                    </m:e>
                  </m:d>
                  <m:sSub>
                    <m:e>
                      <m:r>
                        <m:t>b</m:t>
                      </m:r>
                    </m:e>
                    <m:sub>
                      <m:r>
                        <m:t>r</m:t>
                      </m:r>
                    </m:sub>
                  </m:sSub>
                </m:num>
                <m:den>
                  <m:d>
                    <m:dPr>
                      <m:begChr m:val="|"/>
                      <m:endChr m:val="|"/>
                      <m:sepChr m:val=""/>
                      <m:grow/>
                    </m:dPr>
                    <m:e>
                      <m:sSub>
                        <m:e>
                          <m:r>
                            <m:t>g</m:t>
                          </m:r>
                        </m:e>
                        <m:sub>
                          <m:r>
                            <m:t>r</m:t>
                          </m:r>
                        </m:sub>
                      </m:sSub>
                    </m:e>
                  </m:d>
                </m:den>
              </m:f>
            </m:e>
          </m:borderBox>
        </m:oMath>
      </m:oMathPara>
    </w:p>
    <w:p>
      <w:pPr>
        <w:pStyle w:val="FirstParagraph"/>
      </w:pPr>
      <w:r>
        <w:t xml:space="preserve">unter den Nebenbedingungen, dass alle</w:t>
      </w:r>
      <w:r>
        <w:t xml:space="preserve"> </w:t>
      </w:r>
      <m:oMath>
        <m:sSub>
          <m:e>
            <m:r>
              <m:t>g</m:t>
            </m:r>
          </m:e>
          <m:sub>
            <m:r>
              <m:t>r</m:t>
            </m:r>
          </m:sub>
        </m:sSub>
        <m:r>
          <m:rPr>
            <m:sty m:val="p"/>
          </m:rPr>
          <m:t>=</m:t>
        </m:r>
        <m:r>
          <m:t>0</m:t>
        </m:r>
      </m:oMath>
      <w:r>
        <w:t xml:space="preserve"> </w:t>
      </w:r>
      <w:r>
        <w:t xml:space="preserve">bereits zulässig sind, die Basis</w:t>
      </w:r>
      <w:r>
        <w:t xml:space="preserve"> </w:t>
      </w:r>
      <m:oMath>
        <m:d>
          <m:dPr>
            <m:begChr m:val="|"/>
            <m:endChr m:val="|"/>
            <m:sepChr m:val=""/>
            <m:grow/>
          </m:dPr>
          <m:e>
            <m:sSub>
              <m:e>
                <m:r>
                  <m:t>b</m:t>
                </m:r>
              </m:e>
              <m:sub>
                <m:r>
                  <m:t>r</m:t>
                </m:r>
              </m:sub>
            </m:sSub>
          </m:e>
        </m:d>
        <m:r>
          <m:rPr>
            <m:sty m:val="p"/>
          </m:rPr>
          <m:t>≤</m:t>
        </m:r>
        <m:sSub>
          <m:e>
            <m:bar>
              <m:barPr>
                <m:pos m:val="top"/>
              </m:barPr>
              <m:e>
                <m:r>
                  <m:t>f</m:t>
                </m:r>
              </m:e>
            </m:bar>
          </m:e>
          <m:sub>
            <m:r>
              <m:t>C</m:t>
            </m:r>
            <m:r>
              <m:rPr>
                <m:sty m:val="p"/>
              </m:rPr>
              <m:t>,</m:t>
            </m:r>
            <m:r>
              <m:t>r</m:t>
            </m:r>
          </m:sub>
        </m:sSub>
      </m:oMath>
      <w:r>
        <w:t xml:space="preserve"> </w:t>
      </w:r>
      <w:r>
        <w:t xml:space="preserve">ist und alle N-0-/N-1-Restriktionen enthalten sind. Für eine Gegenrichtung wird</w:t>
      </w:r>
      <w:r>
        <w:t xml:space="preserve"> </w:t>
      </w:r>
      <m:oMath>
        <m:sSub>
          <m:e>
            <m:r>
              <m:t>d</m:t>
            </m:r>
          </m:e>
          <m:sub>
            <m:r>
              <m:t>a</m:t>
            </m:r>
            <m:r>
              <m:t>b</m:t>
            </m:r>
          </m:sub>
        </m:sSub>
      </m:oMath>
      <w:r>
        <w:t xml:space="preserve"> </w:t>
      </w:r>
      <w:r>
        <w:t xml:space="preserve">negiert. Ist die Menge der einschränkenden Zeilen leer, ist</w:t>
      </w:r>
      <w:r>
        <w:t xml:space="preserve"> </w:t>
      </w:r>
      <m:oMath>
        <m:r>
          <m:t>τ</m:t>
        </m:r>
      </m:oMath>
      <w:r>
        <w:t xml:space="preserve"> </w:t>
      </w:r>
      <w:r>
        <w:t xml:space="preserve">hinsichtlich</w:t>
      </w:r>
      <w:r>
        <w:t xml:space="preserve"> </w:t>
      </w:r>
      <w:r>
        <w:rPr>
          <w:b/>
          <w:bCs/>
        </w:rPr>
        <w:t xml:space="preserve">dieser</w:t>
      </w:r>
      <w:r>
        <w:t xml:space="preserve"> </w:t>
      </w:r>
      <w:r>
        <w:t xml:space="preserve">Restriktionen unbeschränkt; weitere Markt-/Erzeugungsgrenzen fehlen dann noch.</w:t>
      </w:r>
    </w:p>
    <w:p>
      <w:pPr>
        <w:pStyle w:val="BodyText"/>
      </w:pPr>
      <w:r>
        <w:t xml:space="preserve">Der Wert ist</w:t>
      </w:r>
      <w:r>
        <w:t xml:space="preserve"> </w:t>
      </w:r>
      <w:r>
        <w:rPr>
          <w:b/>
          <w:bCs/>
        </w:rPr>
        <w:t xml:space="preserve">keine universelle Ersatzkapazität der Verbindung</w:t>
      </w:r>
      <w:r>
        <w:rPr>
          <w:b/>
          <w:bCs/>
        </w:rPr>
        <w:t xml:space="preserve"> </w:t>
      </w:r>
      <m:oMath>
        <m:r>
          <m:t>e</m:t>
        </m:r>
        <m:r>
          <m:rPr>
            <m:sty m:val="p"/>
          </m:rPr>
          <m:t>=</m:t>
        </m:r>
        <m:d>
          <m:dPr>
            <m:begChr m:val="("/>
            <m:endChr m:val=")"/>
            <m:sepChr m:val=""/>
            <m:grow/>
          </m:dPr>
          <m:e>
            <m:r>
              <m:t>a</m:t>
            </m:r>
            <m:r>
              <m:rPr>
                <m:sty m:val="p"/>
              </m:rPr>
              <m:t>,</m:t>
            </m:r>
            <m:r>
              <m:t>b</m:t>
            </m:r>
          </m:e>
        </m:d>
      </m:oMath>
      <w:r>
        <w:t xml:space="preserve">: Eine bilaterale Nettopositionsänderung verteilt sich über sämtliche parallelen und vermaschten Pfade. Der zulässige Wert hängt von</w:t>
      </w:r>
      <w:r>
        <w:t xml:space="preserve"> </w:t>
      </w:r>
      <m:oMath>
        <m:sSubSup>
          <m:e>
            <m:r>
              <m:t>p</m:t>
            </m:r>
          </m:e>
          <m:sub>
            <m:r>
              <m:t>z</m:t>
            </m:r>
          </m:sub>
          <m:sup>
            <m:r>
              <m:rPr>
                <m:sty m:val="p"/>
              </m:rPr>
              <m:t>r</m:t>
            </m:r>
            <m:r>
              <m:rPr>
                <m:sty m:val="p"/>
              </m:rPr>
              <m:t>e</m:t>
            </m:r>
            <m:r>
              <m:rPr>
                <m:sty m:val="p"/>
              </m:rPr>
              <m:t>f</m:t>
            </m:r>
          </m:sup>
        </m:sSubSup>
      </m:oMath>
      <w:r>
        <w:t xml:space="preserve">,</w:t>
      </w:r>
      <w:r>
        <w:t xml:space="preserve"> </w:t>
      </w:r>
      <m:oMath>
        <m:r>
          <m:t>R</m:t>
        </m:r>
      </m:oMath>
      <w:r>
        <w:t xml:space="preserve"> </w:t>
      </w:r>
      <w:r>
        <w:t xml:space="preserve">und anderen Transaktionen ab.</w:t>
      </w:r>
    </w:p>
    <w:bookmarkEnd w:id="51"/>
    <w:bookmarkStart w:id="52" w:name="X3c92c497ba2d94ff954030cb56fc24977b7b6c4"/>
    <w:p>
      <w:pPr>
        <w:pStyle w:val="Heading2"/>
      </w:pPr>
      <w:r>
        <w:t xml:space="preserve">9.4 Unterschied zwischen Sicherheits-Polyeder und vier Grenzwerten</w:t>
      </w:r>
    </w:p>
    <w:p>
      <w:pPr>
        <w:pStyle w:val="FirstParagraph"/>
      </w:pPr>
      <w:r>
        <w:t xml:space="preserve">Die durch (N3) definierte Region enthält gekoppelte Restriktionen. Unabhängig je Ersatzverbindung maximierte Schnittflüsse</w:t>
      </w:r>
      <w:r>
        <w:t xml:space="preserve"> </w:t>
      </w:r>
      <m:oMath>
        <m:r>
          <m:rPr>
            <m:sty m:val="p"/>
          </m:rPr>
          <m:t>max</m:t>
        </m:r>
        <m:r>
          <m:rPr>
            <m:sty m:val="p"/>
          </m:rPr>
          <m:t>{</m:t>
        </m:r>
        <m:sSub>
          <m:e>
            <m:d>
              <m:dPr>
                <m:begChr m:val="("/>
                <m:endChr m:val=")"/>
                <m:sepChr m:val=""/>
                <m:grow/>
              </m:dPr>
              <m:e>
                <m:r>
                  <m:t>Γ</m:t>
                </m:r>
                <m:sSub>
                  <m:e>
                    <m:r>
                      <m:t>f</m:t>
                    </m:r>
                  </m:e>
                  <m:sub>
                    <m:r>
                      <m:t>d</m:t>
                    </m:r>
                  </m:sub>
                </m:sSub>
              </m:e>
            </m:d>
          </m:e>
          <m:sub>
            <m:r>
              <m:t>e</m:t>
            </m:r>
          </m:sub>
        </m:sSub>
        <m:r>
          <m:rPr>
            <m:sty m:val="p"/>
          </m:rPr>
          <m:t>}</m:t>
        </m:r>
      </m:oMath>
      <w:r>
        <w:t xml:space="preserve"> </w:t>
      </w:r>
      <w:r>
        <w:t xml:space="preserve">bilden in der Regel nur ein</w:t>
      </w:r>
      <w:r>
        <w:t xml:space="preserve"> </w:t>
      </w:r>
      <w:r>
        <w:rPr>
          <w:b/>
          <w:bCs/>
        </w:rPr>
        <w:t xml:space="preserve">achsparalleles äußeres Begrenzungsrechteck</w:t>
      </w:r>
      <w:r>
        <w:t xml:space="preserve">; die gleichzeitige Ausschöpfung aller Maxima kann unzulässig sein. Eine garantiert sichere innere Approximation benötigt zusätzliche robuste Restriktionen oder eine explizite Inklusionsprüfung.</w:t>
      </w:r>
    </w:p>
    <w:p>
      <w:pPr>
        <w:pStyle w:val="BodyText"/>
      </w:pPr>
      <w:r>
        <w:rPr>
          <w:b/>
          <w:bCs/>
        </w:rPr>
        <w:t xml:space="preserve">IoSN-Abgleich:</w:t>
      </w:r>
      <w:r>
        <w:t xml:space="preserve"> </w:t>
      </w:r>
      <w:r>
        <w:t xml:space="preserve">[E1, S. 50–51] bestimmt vier saisonale, gerichtete Ersatzkapazitäten aus stündlichen Grenzflüssen und N-1-Maximalbelastungen sowie Sonderregeln für einseitigen Fluss und unzureichend identifizierbare Daten. (N3) und (N4) sind</w:t>
      </w:r>
      <w:r>
        <w:t xml:space="preserve"> </w:t>
      </w:r>
      <w:r>
        <w:rPr>
          <w:b/>
          <w:bCs/>
        </w:rPr>
        <w:t xml:space="preserve">alternative analytische Referenzmethoden</w:t>
      </w:r>
      <w:r>
        <w:t xml:space="preserve">, nicht dieselbe Kapazitätsschätzung. Ein direkter zahlenmäßiger Vergleich ohne identischen Referenzzustand und identische Sicherheitsmengen ist methodisch unzulässig.</w:t>
      </w:r>
    </w:p>
    <w:bookmarkEnd w:id="52"/>
    <w:bookmarkStart w:id="53" w:name="analytische-dreiknotenillustration-as"/>
    <w:p>
      <w:pPr>
        <w:pStyle w:val="Heading2"/>
      </w:pPr>
      <w:r>
        <w:t xml:space="preserve">9.5 Analytische Dreiknotenillustration [A/S]</w:t>
      </w:r>
    </w:p>
    <w:p>
      <w:pPr>
        <w:pStyle w:val="FirstParagraph"/>
      </w:pPr>
      <w:r>
        <w:t xml:space="preserve">Ein Dreiecksnetz mit identischen Zweigreaktanzen besitzt drei Leitungen A–B (100 MW), B–C (100 MW) und C–A (80 MW). Bei einer A-zu-B-Transaktion</w:t>
      </w:r>
      <w:r>
        <w:t xml:space="preserve"> </w:t>
      </w:r>
      <m:oMath>
        <m:r>
          <m:t>τ</m:t>
        </m:r>
      </m:oMath>
      <w:r>
        <w:t xml:space="preserve"> </w:t>
      </w:r>
      <w:r>
        <w:t xml:space="preserve">fließen im Normalzustand</w:t>
      </w:r>
      <w:r>
        <w:t xml:space="preserve"> </w:t>
      </w:r>
      <m:oMath>
        <m:r>
          <m:t>2</m:t>
        </m:r>
        <m:r>
          <m:t>τ</m:t>
        </m:r>
        <m:r>
          <m:rPr>
            <m:sty m:val="p"/>
          </m:rPr>
          <m:t>/</m:t>
        </m:r>
        <m:r>
          <m:t>3</m:t>
        </m:r>
      </m:oMath>
      <w:r>
        <w:t xml:space="preserve"> </w:t>
      </w:r>
      <w:r>
        <w:t xml:space="preserve">über A–B und jeweils</w:t>
      </w:r>
      <w:r>
        <w:t xml:space="preserve"> </w:t>
      </w:r>
      <m:oMath>
        <m:r>
          <m:t>τ</m:t>
        </m:r>
        <m:r>
          <m:rPr>
            <m:sty m:val="p"/>
          </m:rPr>
          <m:t>/</m:t>
        </m:r>
        <m:r>
          <m:t>3</m:t>
        </m:r>
      </m:oMath>
      <w:r>
        <w:t xml:space="preserve"> </w:t>
      </w:r>
      <w:r>
        <w:t xml:space="preserve">über den alternativen Weg. Die N-0-Grenze beträgt daher 150 MW. Nach Ausfall von A–B fließt die gesamte Transaktion über den alternativen Weg; C–A wird bereits bei 80 MW bindend. Unter Berücksichtigung aller drei möglichen Einfachausfälle ergibt die N-1-Transfergrenze</w:t>
      </w:r>
      <w:r>
        <w:t xml:space="preserve"> </w:t>
      </w:r>
      <w:r>
        <w:rPr>
          <w:b/>
          <w:bCs/>
        </w:rPr>
        <w:t xml:space="preserve">80 MW</w:t>
      </w:r>
      <w:r>
        <w:t xml:space="preserve">. Dies zeigt unmittelbar, warum eine Addition der thermischen Leitungsgrenzen weder eine korrekte N-0- noch eine N-1-Kapazität liefert.</w:t>
      </w:r>
    </w:p>
    <w:p>
      <w:pPr>
        <w:pStyle w:val="BodyText"/>
      </w:pPr>
      <w:r>
        <w:t xml:space="preserve">Der begleitende Python-Test</w:t>
      </w:r>
      <w:r>
        <w:t xml:space="preserve"> </w:t>
      </w:r>
      <w:r>
        <w:rPr>
          <w:rStyle w:val="VerbatimChar"/>
        </w:rPr>
        <w:t xml:space="preserve">test_triangle_transfer_n0_150_n1_80</w:t>
      </w:r>
      <w:r>
        <w:t xml:space="preserve"> </w:t>
      </w:r>
      <w:r>
        <w:t xml:space="preserve">prüft diese Aussage als analytischen Referenzfall. Es handelt sich ausdrücklich um</w:t>
      </w:r>
      <w:r>
        <w:t xml:space="preserve"> </w:t>
      </w:r>
      <w:r>
        <w:rPr>
          <w:b/>
          <w:bCs/>
        </w:rPr>
        <w:t xml:space="preserve">synthetische Daten</w:t>
      </w:r>
      <w:r>
        <w:t xml:space="preserve"> </w:t>
      </w:r>
      <w:r>
        <w:t xml:space="preserve">und nicht um eine TYNDP-Topologie.</w:t>
      </w:r>
    </w:p>
    <w:bookmarkEnd w:id="53"/>
    <w:bookmarkEnd w:id="54"/>
    <w:bookmarkStart w:id="59" w:name="X7f3161d819f1ed137adbbc318ddc10d6dad481b"/>
    <w:p>
      <w:pPr>
        <w:pStyle w:val="Heading1"/>
      </w:pPr>
      <w:r>
        <w:t xml:space="preserve">10. Drei Kapazitätsmethoden und ihre Aussagekraft</w:t>
      </w:r>
    </w:p>
    <w:bookmarkStart w:id="55" w:name="X6c8dccdbf869f6e34b0d3922071c683fad9bec2"/>
    <w:p>
      <w:pPr>
        <w:pStyle w:val="Heading2"/>
      </w:pPr>
      <w:r>
        <w:t xml:space="preserve">10.1 K1: IoSN-nahe stündliche Ersatzkapazität [D/R]</w:t>
      </w:r>
    </w:p>
    <w:p>
      <w:pPr>
        <w:pStyle w:val="FirstParagraph"/>
      </w:pPr>
      <w:r>
        <w:t xml:space="preserve">Für jede reduzierte Verbindung</w:t>
      </w:r>
      <w:r>
        <w:t xml:space="preserve"> </w:t>
      </w:r>
      <m:oMath>
        <m:r>
          <m:t>e</m:t>
        </m:r>
      </m:oMath>
      <w:r>
        <w:t xml:space="preserve"> </w:t>
      </w:r>
      <w:r>
        <w:t xml:space="preserve">werden stündliche Schnittflüsse</w:t>
      </w:r>
      <w:r>
        <w:t xml:space="preserve"> </w:t>
      </w:r>
      <m:oMath>
        <m:sSub>
          <m:e>
            <m:r>
              <m:t>F</m:t>
            </m:r>
          </m:e>
          <m:sub>
            <m:r>
              <m:t>e</m:t>
            </m:r>
            <m:r>
              <m:rPr>
                <m:sty m:val="p"/>
              </m:rPr>
              <m:t>,</m:t>
            </m:r>
            <m:r>
              <m:t>t</m:t>
            </m:r>
          </m:sub>
        </m:sSub>
        <m:r>
          <m:rPr>
            <m:sty m:val="p"/>
          </m:rPr>
          <m:t>=</m:t>
        </m:r>
        <m:sSub>
          <m:e>
            <m:d>
              <m:dPr>
                <m:begChr m:val="("/>
                <m:endChr m:val=")"/>
                <m:sepChr m:val=""/>
                <m:grow/>
              </m:dPr>
              <m:e>
                <m:r>
                  <m:t>Γ</m:t>
                </m:r>
                <m:sSub>
                  <m:e>
                    <m:r>
                      <m:t>f</m:t>
                    </m:r>
                  </m:e>
                  <m:sub>
                    <m:r>
                      <m:t>d</m:t>
                    </m:r>
                    <m:r>
                      <m:rPr>
                        <m:sty m:val="p"/>
                      </m:rPr>
                      <m:t>,</m:t>
                    </m:r>
                    <m:r>
                      <m:t>t</m:t>
                    </m:r>
                  </m:sub>
                </m:sSub>
              </m:e>
            </m:d>
          </m:e>
          <m:sub>
            <m:r>
              <m:t>e</m:t>
            </m:r>
          </m:sub>
        </m:sSub>
      </m:oMath>
      <w:r>
        <w:t xml:space="preserve"> </w:t>
      </w:r>
      <w:r>
        <w:t xml:space="preserve">und die maximalen N-1-Belastungen beteiligter kritischer physikalischer Zweige ausgewertet:</w:t>
      </w:r>
    </w:p>
    <w:p>
      <w:pPr>
        <w:pStyle w:val="BodyText"/>
      </w:pPr>
      <m:oMathPara>
        <m:oMathParaPr>
          <m:jc m:val="center"/>
        </m:oMathParaPr>
        <m:oMath>
          <m:sSubSup>
            <m:e>
              <m:r>
                <m:t>ρ</m:t>
              </m:r>
            </m:e>
            <m:sub>
              <m:r>
                <m:t>e</m:t>
              </m:r>
              <m:r>
                <m:rPr>
                  <m:sty m:val="p"/>
                </m:rPr>
                <m:t>,</m:t>
              </m:r>
              <m:r>
                <m:t>t</m:t>
              </m:r>
            </m:sub>
            <m:sup>
              <m:r>
                <m:t>N</m:t>
              </m:r>
              <m:r>
                <m:rPr>
                  <m:sty m:val="p"/>
                </m:rPr>
                <m:t>−</m:t>
              </m:r>
              <m:r>
                <m:t>1</m:t>
              </m:r>
            </m:sup>
          </m:sSubSup>
          <m:r>
            <m:rPr>
              <m:sty m:val="p"/>
            </m:rPr>
            <m:t>=</m:t>
          </m:r>
          <m:limLow>
            <m:e>
              <m:r>
                <m:rPr>
                  <m:sty m:val="p"/>
                </m:rPr>
                <m:t>max</m:t>
              </m:r>
            </m:e>
            <m:lim>
              <m:d>
                <m:dPr>
                  <m:begChr m:val="("/>
                  <m:endChr m:val=")"/>
                  <m:sepChr m:val=""/>
                  <m:grow/>
                </m:dPr>
                <m:e>
                  <m:r>
                    <m:rPr>
                      <m:sty m:val="p"/>
                    </m:rPr>
                    <m:t>ℓ</m:t>
                  </m:r>
                  <m:r>
                    <m:rPr>
                      <m:sty m:val="p"/>
                    </m:rPr>
                    <m:t>,</m:t>
                  </m:r>
                  <m:r>
                    <m:t>k</m:t>
                  </m:r>
                </m:e>
              </m:d>
              <m:r>
                <m:rPr>
                  <m:sty m:val="p"/>
                </m:rPr>
                <m:t>∈</m:t>
              </m:r>
              <m:sSub>
                <m:e>
                  <m:r>
                    <m:rPr>
                      <m:sty m:val="p"/>
                      <m:scr m:val="script"/>
                    </m:rPr>
                    <m:t>C</m:t>
                  </m:r>
                </m:e>
                <m:sub>
                  <m:r>
                    <m:t>e</m:t>
                  </m:r>
                </m:sub>
              </m:sSub>
            </m:lim>
          </m:limLow>
          <m:f>
            <m:fPr>
              <m:type m:val="bar"/>
            </m:fPr>
            <m:num>
              <m:d>
                <m:dPr>
                  <m:begChr m:val="|"/>
                  <m:endChr m:val="|"/>
                  <m:sepChr m:val=""/>
                  <m:grow/>
                </m:dPr>
                <m:e>
                  <m:sSub>
                    <m:e>
                      <m:r>
                        <m:t>f</m:t>
                      </m:r>
                    </m:e>
                    <m:sub>
                      <m:r>
                        <m:rPr>
                          <m:sty m:val="p"/>
                        </m:rPr>
                        <m:t>ℓ</m:t>
                      </m:r>
                      <m:r>
                        <m:rPr>
                          <m:sty m:val="p"/>
                        </m:rPr>
                        <m:t>,</m:t>
                      </m:r>
                      <m:r>
                        <m:t>t</m:t>
                      </m:r>
                    </m:sub>
                  </m:sSub>
                  <m:r>
                    <m:rPr>
                      <m:sty m:val="p"/>
                    </m:rPr>
                    <m:t>+</m:t>
                  </m:r>
                  <m:sSub>
                    <m:e>
                      <m:r>
                        <m:t>D</m:t>
                      </m:r>
                    </m:e>
                    <m:sub>
                      <m:r>
                        <m:rPr>
                          <m:sty m:val="p"/>
                        </m:rPr>
                        <m:t>ℓ</m:t>
                      </m:r>
                      <m:r>
                        <m:t>k</m:t>
                      </m:r>
                    </m:sub>
                  </m:sSub>
                  <m:sSub>
                    <m:e>
                      <m:r>
                        <m:t>f</m:t>
                      </m:r>
                    </m:e>
                    <m:sub>
                      <m:r>
                        <m:t>k</m:t>
                      </m:r>
                      <m:r>
                        <m:rPr>
                          <m:sty m:val="p"/>
                        </m:rPr>
                        <m:t>,</m:t>
                      </m:r>
                      <m:r>
                        <m:t>t</m:t>
                      </m:r>
                    </m:sub>
                  </m:sSub>
                </m:e>
              </m:d>
            </m:num>
            <m:den>
              <m:sSub>
                <m:e>
                  <m:bar>
                    <m:barPr>
                      <m:pos m:val="top"/>
                    </m:barPr>
                    <m:e>
                      <m:r>
                        <m:t>f</m:t>
                      </m:r>
                    </m:e>
                  </m:bar>
                </m:e>
                <m:sub>
                  <m:r>
                    <m:rPr>
                      <m:sty m:val="p"/>
                    </m:rPr>
                    <m:t>ℓ</m:t>
                  </m:r>
                  <m:r>
                    <m:rPr>
                      <m:sty m:val="p"/>
                    </m:rPr>
                    <m:t>,</m:t>
                  </m:r>
                  <m:r>
                    <m:t>t</m:t>
                  </m:r>
                </m:sub>
              </m:sSub>
            </m:den>
          </m:f>
          <m:r>
            <m:rPr>
              <m:sty m:val="p"/>
            </m:rPr>
            <m:t>.</m:t>
          </m:r>
        </m:oMath>
      </m:oMathPara>
    </w:p>
    <w:p>
      <w:pPr>
        <w:pStyle w:val="FirstParagraph"/>
      </w:pPr>
      <w:r>
        <w:t xml:space="preserve">N-0-Überwachungsfälle gehören ebenfalls in die Sicherheitsprüfung. Nach Sommer/Winter und Vorzeichen von</w:t>
      </w:r>
      <w:r>
        <w:t xml:space="preserve"> </w:t>
      </w:r>
      <m:oMath>
        <m:sSub>
          <m:e>
            <m:r>
              <m:t>F</m:t>
            </m:r>
          </m:e>
          <m:sub>
            <m:r>
              <m:t>e</m:t>
            </m:r>
            <m:r>
              <m:rPr>
                <m:sty m:val="p"/>
              </m:rPr>
              <m:t>,</m:t>
            </m:r>
            <m:r>
              <m:t>t</m:t>
            </m:r>
          </m:sub>
        </m:sSub>
      </m:oMath>
      <w:r>
        <w:t xml:space="preserve"> </w:t>
      </w:r>
      <w:r>
        <w:t xml:space="preserve">werden vier bedingte Transfergrenzen nahe der 100-%-Belastung identifiziert. Die ENTSO-E erläutert Sonderfälle: über 99,5 % einseitige Flüsse, unzureichende Stützstellen nahe 100 %, Schwellen von 1 % bzw. 130 % und diffuse Punktwolken [E1, S. 50–51]. Das konkrete statistische Schätzverfahren ist nicht vollständig offengelegt; eine lineare Regression mit Intercept ist</w:t>
      </w:r>
      <w:r>
        <w:t xml:space="preserve"> </w:t>
      </w:r>
      <w:r>
        <w:rPr>
          <w:b/>
          <w:bCs/>
        </w:rPr>
        <w:t xml:space="preserve">nur ein Forschungsproxy</w:t>
      </w:r>
      <w:r>
        <w:t xml:space="preserve">, kein verifizierter Originalalgorithmus.</w:t>
      </w:r>
    </w:p>
    <w:p>
      <w:pPr>
        <w:pStyle w:val="BodyText"/>
      </w:pPr>
      <w:r>
        <w:rPr>
          <w:b/>
          <w:bCs/>
        </w:rPr>
        <w:t xml:space="preserve">Stärke:</w:t>
      </w:r>
      <w:r>
        <w:t xml:space="preserve"> </w:t>
      </w:r>
      <w:r>
        <w:t xml:space="preserve">betriebszustandsbezogene, praxisnahe Kapazität je Ersatzlink.</w:t>
      </w:r>
      <w:r>
        <w:t xml:space="preserve"> </w:t>
      </w:r>
      <w:r>
        <w:rPr>
          <w:b/>
          <w:bCs/>
        </w:rPr>
        <w:t xml:space="preserve">Schwäche:</w:t>
      </w:r>
      <w:r>
        <w:t xml:space="preserve"> </w:t>
      </w:r>
      <w:r>
        <w:t xml:space="preserve">daten- und stichprobenabhängig, mögliche Scheinkorrelation und nicht garantierte gleichzeitige Sicherheit.</w:t>
      </w:r>
    </w:p>
    <w:bookmarkEnd w:id="55"/>
    <w:bookmarkStart w:id="56" w:name="k2-analytische-n-1-polyederprojektion-re"/>
    <w:p>
      <w:pPr>
        <w:pStyle w:val="Heading2"/>
      </w:pPr>
      <w:r>
        <w:t xml:space="preserve">10.2 K2: analytische N-1-Polyederprojektion [R/E]</w:t>
      </w:r>
    </w:p>
    <w:p>
      <w:pPr>
        <w:pStyle w:val="FirstParagraph"/>
      </w:pPr>
      <w:r>
        <w:t xml:space="preserve">K2 bewahrt die einzelnen N-0-/N-1-Restriktionen (N3); Transfergrenzen sind (N4), oder für die äquivalente Schnittflussgröße kann über die gesamte zulässige Domäne ein lineares Programm gelöst werden:</w:t>
      </w:r>
    </w:p>
    <w:p>
      <w:pPr>
        <w:pStyle w:val="BodyText"/>
      </w:pPr>
      <m:oMathPara>
        <m:oMathParaPr>
          <m:jc m:val="center"/>
        </m:oMathParaPr>
        <m:oMath>
          <m:limLow>
            <m:e>
              <m:r>
                <m:rPr>
                  <m:sty m:val="p"/>
                </m:rPr>
                <m:t>max</m:t>
              </m:r>
            </m:e>
            <m:lim>
              <m:sSub>
                <m:e>
                  <m:r>
                    <m:t>p</m:t>
                  </m:r>
                </m:e>
                <m:sub>
                  <m:r>
                    <m:t>z</m:t>
                  </m:r>
                </m:sub>
              </m:sSub>
              <m:r>
                <m:rPr>
                  <m:sty m:val="p"/>
                </m:rPr>
                <m:t>∈</m:t>
              </m:r>
              <m:r>
                <m:rPr>
                  <m:sty m:val="p"/>
                  <m:scr m:val="script"/>
                </m:rPr>
                <m:t>P</m:t>
              </m:r>
            </m:lim>
          </m:limLow>
          <m:r>
            <m:t> </m:t>
          </m:r>
          <m:r>
            <m:rPr>
              <m:sty m:val="p"/>
            </m:rPr>
            <m:t>±</m:t>
          </m:r>
          <m:sSubSup>
            <m:e>
              <m:r>
                <m:t>e</m:t>
              </m:r>
            </m:e>
            <m:sub>
              <m:r>
                <m:t>e</m:t>
              </m:r>
            </m:sub>
            <m:sup>
              <m:r>
                <m:rPr>
                  <m:sty m:val="p"/>
                  <m:scr m:val="sans-serif"/>
                </m:rPr>
                <m:t>T</m:t>
              </m:r>
            </m:sup>
          </m:sSubSup>
          <m:r>
            <m:t>Γ</m:t>
          </m:r>
          <m:sSub>
            <m:e>
              <m:r>
                <m:t>H</m:t>
              </m:r>
            </m:e>
            <m:sub>
              <m:r>
                <m:t>d</m:t>
              </m:r>
            </m:sub>
          </m:sSub>
          <m:d>
            <m:dPr>
              <m:begChr m:val="("/>
              <m:endChr m:val=")"/>
              <m:sepChr m:val=""/>
              <m:grow/>
            </m:dPr>
            <m:e>
              <m:r>
                <m:t>R</m:t>
              </m:r>
              <m:sSub>
                <m:e>
                  <m:r>
                    <m:t>p</m:t>
                  </m:r>
                </m:e>
                <m:sub>
                  <m:r>
                    <m:t>z</m:t>
                  </m:r>
                </m:sub>
              </m:sSub>
              <m:r>
                <m:rPr>
                  <m:sty m:val="p"/>
                </m:rPr>
                <m:t>+</m:t>
              </m:r>
              <m:sSup>
                <m:e>
                  <m:r>
                    <m:t>u</m:t>
                  </m:r>
                </m:e>
                <m:sup>
                  <m:r>
                    <m:rPr>
                      <m:sty m:val="p"/>
                    </m:rPr>
                    <m:t>r</m:t>
                  </m:r>
                  <m:r>
                    <m:rPr>
                      <m:sty m:val="p"/>
                    </m:rPr>
                    <m:t>e</m:t>
                  </m:r>
                  <m:r>
                    <m:rPr>
                      <m:sty m:val="p"/>
                    </m:rPr>
                    <m:t>f</m:t>
                  </m:r>
                </m:sup>
              </m:sSup>
            </m:e>
          </m:d>
          <m:r>
            <m:t> </m:t>
          </m:r>
          <m:r>
            <m:rPr>
              <m:nor/>
              <m:sty m:val="p"/>
            </m:rPr>
            <m:t>unter</m:t>
          </m:r>
          <m:r>
            <m:t> </m:t>
          </m:r>
          <m:r>
            <m:rPr>
              <m:sty m:val="p"/>
            </m:rPr>
            <m:t>−</m:t>
          </m:r>
          <m:sSub>
            <m:e>
              <m:bar>
                <m:barPr>
                  <m:pos m:val="top"/>
                </m:barPr>
                <m:e>
                  <m:r>
                    <m:t>f</m:t>
                  </m:r>
                </m:e>
              </m:bar>
            </m:e>
            <m:sub>
              <m:r>
                <m:t>C</m:t>
              </m:r>
            </m:sub>
          </m:sSub>
          <m:r>
            <m:rPr>
              <m:sty m:val="p"/>
            </m:rPr>
            <m:t>≤</m:t>
          </m:r>
          <m:sSub>
            <m:e>
              <m:r>
                <m:t>H</m:t>
              </m:r>
            </m:e>
            <m:sub>
              <m:r>
                <m:t>C</m:t>
              </m:r>
              <m:r>
                <m:rPr>
                  <m:sty m:val="p"/>
                </m:rPr>
                <m:t>,</m:t>
              </m:r>
              <m:r>
                <m:t>z</m:t>
              </m:r>
            </m:sub>
          </m:sSub>
          <m:sSub>
            <m:e>
              <m:r>
                <m:t>p</m:t>
              </m:r>
            </m:e>
            <m:sub>
              <m:r>
                <m:t>z</m:t>
              </m:r>
            </m:sub>
          </m:sSub>
          <m:r>
            <m:rPr>
              <m:sty m:val="p"/>
            </m:rPr>
            <m:t>+</m:t>
          </m:r>
          <m:sSub>
            <m:e>
              <m:r>
                <m:t>f</m:t>
              </m:r>
            </m:e>
            <m:sub>
              <m:r>
                <m:t>0</m:t>
              </m:r>
              <m:r>
                <m:rPr>
                  <m:sty m:val="p"/>
                </m:rPr>
                <m:t>,</m:t>
              </m:r>
              <m:r>
                <m:t>C</m:t>
              </m:r>
            </m:sub>
          </m:sSub>
          <m:r>
            <m:rPr>
              <m:sty m:val="p"/>
            </m:rPr>
            <m:t>≤</m:t>
          </m:r>
          <m:sSub>
            <m:e>
              <m:bar>
                <m:barPr>
                  <m:pos m:val="top"/>
                </m:barPr>
                <m:e>
                  <m:r>
                    <m:t>f</m:t>
                  </m:r>
                </m:e>
              </m:bar>
            </m:e>
            <m:sub>
              <m:r>
                <m:t>C</m:t>
              </m:r>
            </m:sub>
          </m:sSub>
          <m:r>
            <m:rPr>
              <m:sty m:val="p"/>
            </m:rPr>
            <m:t>.</m:t>
          </m:r>
        </m:oMath>
      </m:oMathPara>
    </w:p>
    <w:p>
      <w:pPr>
        <w:pStyle w:val="FirstParagraph"/>
      </w:pPr>
      <w:r>
        <w:t xml:space="preserve">Die Menge</w:t>
      </w:r>
      <w:r>
        <w:t xml:space="preserve"> </w:t>
      </w:r>
      <m:oMath>
        <m:r>
          <m:rPr>
            <m:sty m:val="p"/>
            <m:scr m:val="script"/>
          </m:rPr>
          <m:t>P</m:t>
        </m:r>
      </m:oMath>
      <w:r>
        <w:t xml:space="preserve"> </w:t>
      </w:r>
      <w:r>
        <w:t xml:space="preserve">umfasst Balanz, Grenzen verfügbarer Technologien und ggf. vertragliche Austauschlimits. Ohne diese zusätzlichen Schranken können einzelne Optimierungen unbeschränkt sein. Ein positiver LP-Optimalwert ist eine</w:t>
      </w:r>
      <w:r>
        <w:t xml:space="preserve"> </w:t>
      </w:r>
      <w:r>
        <w:rPr>
          <w:b/>
          <w:bCs/>
        </w:rPr>
        <w:t xml:space="preserve">Stützfunktion</w:t>
      </w:r>
      <w:r>
        <w:t xml:space="preserve"> </w:t>
      </w:r>
      <w:r>
        <w:t xml:space="preserve">einer zulässigen Flussmenge, nicht automatisch ein zulässiger gemeinsamer Link-Kapazitätsvektor.</w:t>
      </w:r>
    </w:p>
    <w:p>
      <w:pPr>
        <w:pStyle w:val="BodyText"/>
      </w:pPr>
      <w:r>
        <w:rPr>
          <w:b/>
          <w:bCs/>
        </w:rPr>
        <w:t xml:space="preserve">Stärke:</w:t>
      </w:r>
      <w:r>
        <w:t xml:space="preserve"> </w:t>
      </w:r>
      <w:r>
        <w:t xml:space="preserve">mathematisch klarer Sicherheitsbezug; direkt für FBMC-artige Nebenbedingungen.</w:t>
      </w:r>
      <w:r>
        <w:t xml:space="preserve"> </w:t>
      </w:r>
      <w:r>
        <w:rPr>
          <w:b/>
          <w:bCs/>
        </w:rPr>
        <w:t xml:space="preserve">Schwäche:</w:t>
      </w:r>
      <w:r>
        <w:t xml:space="preserve"> </w:t>
      </w:r>
      <w:r>
        <w:t xml:space="preserve">größere Restriktionszahl; Modell muss räumliche Flexibilität und N-1-Sonderfälle korrekt behandeln; kapazitätsorientiertes IoSN-Format muss zusätzlich approximiert werden.</w:t>
      </w:r>
    </w:p>
    <w:bookmarkEnd w:id="56"/>
    <w:bookmarkStart w:id="57" w:name="k3-robuste-derating-approximation-le"/>
    <w:p>
      <w:pPr>
        <w:pStyle w:val="Heading2"/>
      </w:pPr>
      <w:r>
        <w:t xml:space="preserve">10.3 K3: robuste Derating-Approximation [L/E]</w:t>
      </w:r>
    </w:p>
    <w:p>
      <w:pPr>
        <w:pStyle w:val="FirstParagraph"/>
      </w:pPr>
      <w:r>
        <w:t xml:space="preserve">Eine konservative Alternative beschränkt bereits die N-0-Flüsse auf</w:t>
      </w:r>
      <w:r>
        <w:t xml:space="preserve"> </w:t>
      </w:r>
      <m:oMath>
        <m:d>
          <m:dPr>
            <m:begChr m:val="|"/>
            <m:endChr m:val="|"/>
            <m:sepChr m:val=""/>
            <m:grow/>
          </m:dPr>
          <m:e>
            <m:sSub>
              <m:e>
                <m:r>
                  <m:t>f</m:t>
                </m:r>
              </m:e>
              <m:sub>
                <m:r>
                  <m:rPr>
                    <m:sty m:val="p"/>
                  </m:rPr>
                  <m:t>ℓ</m:t>
                </m:r>
              </m:sub>
            </m:sSub>
          </m:e>
        </m:d>
        <m:r>
          <m:rPr>
            <m:sty m:val="p"/>
          </m:rPr>
          <m:t>≤</m:t>
        </m:r>
        <m:sSub>
          <m:e>
            <m:r>
              <m:t>α</m:t>
            </m:r>
          </m:e>
          <m:sub>
            <m:r>
              <m:rPr>
                <m:sty m:val="p"/>
              </m:rPr>
              <m:t>ℓ</m:t>
            </m:r>
          </m:sub>
        </m:sSub>
        <m:sSub>
          <m:e>
            <m:bar>
              <m:barPr>
                <m:pos m:val="top"/>
              </m:barPr>
              <m:e>
                <m:r>
                  <m:t>f</m:t>
                </m:r>
              </m:e>
            </m:bar>
          </m:e>
          <m:sub>
            <m:r>
              <m:rPr>
                <m:sty m:val="p"/>
              </m:rPr>
              <m:t>ℓ</m:t>
            </m:r>
          </m:sub>
        </m:sSub>
      </m:oMath>
      <w:r>
        <w:t xml:space="preserve">. Aus</w:t>
      </w:r>
    </w:p>
    <w:p>
      <w:pPr>
        <w:pStyle w:val="BodyText"/>
      </w:pPr>
      <m:oMathPara>
        <m:oMathParaPr>
          <m:jc m:val="center"/>
        </m:oMathParaPr>
        <m:oMath>
          <m:d>
            <m:dPr>
              <m:begChr m:val="|"/>
              <m:endChr m:val="|"/>
              <m:sepChr m:val=""/>
              <m:grow/>
            </m:dPr>
            <m:e>
              <m:sSubSup>
                <m:e>
                  <m:r>
                    <m:t>f</m:t>
                  </m:r>
                </m:e>
                <m:sub>
                  <m:r>
                    <m:rPr>
                      <m:sty m:val="p"/>
                    </m:rPr>
                    <m:t>ℓ</m:t>
                  </m:r>
                </m:sub>
                <m:sup>
                  <m:d>
                    <m:dPr>
                      <m:begChr m:val="("/>
                      <m:endChr m:val=")"/>
                      <m:sepChr m:val=""/>
                      <m:grow/>
                    </m:dPr>
                    <m:e>
                      <m:r>
                        <m:t>k</m:t>
                      </m:r>
                    </m:e>
                  </m:d>
                </m:sup>
              </m:sSubSup>
            </m:e>
          </m:d>
          <m:r>
            <m:rPr>
              <m:sty m:val="p"/>
            </m:rPr>
            <m:t>≤</m:t>
          </m:r>
          <m:d>
            <m:dPr>
              <m:begChr m:val="|"/>
              <m:endChr m:val="|"/>
              <m:sepChr m:val=""/>
              <m:grow/>
            </m:dPr>
            <m:e>
              <m:sSub>
                <m:e>
                  <m:r>
                    <m:t>f</m:t>
                  </m:r>
                </m:e>
                <m:sub>
                  <m:r>
                    <m:rPr>
                      <m:sty m:val="p"/>
                    </m:rPr>
                    <m:t>ℓ</m:t>
                  </m:r>
                </m:sub>
              </m:sSub>
            </m:e>
          </m:d>
          <m:r>
            <m:rPr>
              <m:sty m:val="p"/>
            </m:rPr>
            <m:t>+</m:t>
          </m:r>
          <m:d>
            <m:dPr>
              <m:begChr m:val="|"/>
              <m:endChr m:val="|"/>
              <m:sepChr m:val=""/>
              <m:grow/>
            </m:dPr>
            <m:e>
              <m:sSub>
                <m:e>
                  <m:r>
                    <m:t>D</m:t>
                  </m:r>
                </m:e>
                <m:sub>
                  <m:r>
                    <m:rPr>
                      <m:sty m:val="p"/>
                    </m:rPr>
                    <m:t>ℓ</m:t>
                  </m:r>
                  <m:r>
                    <m:t>k</m:t>
                  </m:r>
                </m:sub>
              </m:sSub>
            </m:e>
          </m:d>
          <m:r>
            <m:t> </m:t>
          </m:r>
          <m:d>
            <m:dPr>
              <m:begChr m:val="|"/>
              <m:endChr m:val="|"/>
              <m:sepChr m:val=""/>
              <m:grow/>
            </m:dPr>
            <m:e>
              <m:sSub>
                <m:e>
                  <m:r>
                    <m:t>f</m:t>
                  </m:r>
                </m:e>
                <m:sub>
                  <m:r>
                    <m:t>k</m:t>
                  </m:r>
                </m:sub>
              </m:sSub>
            </m:e>
          </m:d>
        </m:oMath>
      </m:oMathPara>
    </w:p>
    <w:p>
      <w:pPr>
        <w:pStyle w:val="FirstParagraph"/>
      </w:pPr>
      <w:r>
        <w:t xml:space="preserve">folgt die</w:t>
      </w:r>
      <w:r>
        <w:t xml:space="preserve"> </w:t>
      </w:r>
      <w:r>
        <w:rPr>
          <w:b/>
          <w:bCs/>
        </w:rPr>
        <w:t xml:space="preserve">hinreichende</w:t>
      </w:r>
      <w:r>
        <w:t xml:space="preserve"> </w:t>
      </w:r>
      <w:r>
        <w:t xml:space="preserve">Sicherheitsbedingung</w:t>
      </w:r>
    </w:p>
    <w:p>
      <w:pPr>
        <w:pStyle w:val="BodyText"/>
      </w:pPr>
      <w:r>
        <w:rPr>
          <w:b/>
          <w:bCs/>
        </w:rPr>
        <w:t xml:space="preserve">(N5) Konservativer leitungsspezifischer Sicherheitsfaktor [E].</w:t>
      </w:r>
    </w:p>
    <w:p>
      <w:pPr>
        <w:pStyle w:val="BodyText"/>
      </w:pPr>
      <m:oMathPara>
        <m:oMathParaPr>
          <m:jc m:val="center"/>
        </m:oMathParaPr>
        <m:oMath>
          <m:sSub>
            <m:e>
              <m:r>
                <m:t>α</m:t>
              </m:r>
            </m:e>
            <m:sub>
              <m:r>
                <m:rPr>
                  <m:sty m:val="p"/>
                </m:rPr>
                <m:t>ℓ</m:t>
              </m:r>
            </m:sub>
          </m:sSub>
          <m:sSub>
            <m:e>
              <m:bar>
                <m:barPr>
                  <m:pos m:val="top"/>
                </m:barPr>
                <m:e>
                  <m:r>
                    <m:t>f</m:t>
                  </m:r>
                </m:e>
              </m:bar>
            </m:e>
            <m:sub>
              <m:r>
                <m:rPr>
                  <m:sty m:val="p"/>
                </m:rPr>
                <m:t>ℓ</m:t>
              </m:r>
            </m:sub>
          </m:sSub>
          <m:r>
            <m:rPr>
              <m:sty m:val="p"/>
            </m:rPr>
            <m:t>+</m:t>
          </m:r>
          <m:d>
            <m:dPr>
              <m:begChr m:val="|"/>
              <m:endChr m:val="|"/>
              <m:sepChr m:val=""/>
              <m:grow/>
            </m:dPr>
            <m:e>
              <m:sSub>
                <m:e>
                  <m:r>
                    <m:t>D</m:t>
                  </m:r>
                </m:e>
                <m:sub>
                  <m:r>
                    <m:rPr>
                      <m:sty m:val="p"/>
                    </m:rPr>
                    <m:t>ℓ</m:t>
                  </m:r>
                  <m:r>
                    <m:t>k</m:t>
                  </m:r>
                </m:sub>
              </m:sSub>
            </m:e>
          </m:d>
          <m:sSub>
            <m:e>
              <m:r>
                <m:t>α</m:t>
              </m:r>
            </m:e>
            <m:sub>
              <m:r>
                <m:t>k</m:t>
              </m:r>
            </m:sub>
          </m:sSub>
          <m:sSub>
            <m:e>
              <m:bar>
                <m:barPr>
                  <m:pos m:val="top"/>
                </m:barPr>
                <m:e>
                  <m:r>
                    <m:t>f</m:t>
                  </m:r>
                </m:e>
              </m:bar>
            </m:e>
            <m:sub>
              <m:r>
                <m:t>k</m:t>
              </m:r>
            </m:sub>
          </m:sSub>
          <m:r>
            <m:rPr>
              <m:sty m:val="p"/>
            </m:rPr>
            <m:t>≤</m:t>
          </m:r>
          <m:sSub>
            <m:e>
              <m:bar>
                <m:barPr>
                  <m:pos m:val="top"/>
                </m:barPr>
                <m:e>
                  <m:r>
                    <m:t>f</m:t>
                  </m:r>
                </m:e>
              </m:bar>
            </m:e>
            <m:sub>
              <m:r>
                <m:rPr>
                  <m:sty m:val="p"/>
                </m:rPr>
                <m:t>ℓ</m:t>
              </m:r>
            </m:sub>
          </m:sSub>
          <m:r>
            <m:t>  </m:t>
          </m:r>
          <m:d>
            <m:dPr>
              <m:begChr m:val="("/>
              <m:endChr m:val=")"/>
              <m:sepChr m:val=""/>
              <m:grow/>
            </m:dPr>
            <m:e>
              <m:r>
                <m:rPr>
                  <m:sty m:val="p"/>
                </m:rPr>
                <m:t>ℓ</m:t>
              </m:r>
              <m:r>
                <m:rPr>
                  <m:sty m:val="p"/>
                </m:rPr>
                <m:t>≠</m:t>
              </m:r>
              <m:r>
                <m:t>k</m:t>
              </m:r>
            </m:e>
          </m:d>
          <m:r>
            <m:rPr>
              <m:sty m:val="p"/>
            </m:rPr>
            <m:t>,</m:t>
          </m:r>
          <m:r>
            <m:t> </m:t>
          </m:r>
          <m:r>
            <m:t>0</m:t>
          </m:r>
          <m:r>
            <m:rPr>
              <m:sty m:val="p"/>
            </m:rPr>
            <m:t>≤</m:t>
          </m:r>
          <m:r>
            <m:t>α</m:t>
          </m:r>
          <m:r>
            <m:rPr>
              <m:sty m:val="p"/>
            </m:rPr>
            <m:t>≤</m:t>
          </m:r>
          <m:r>
            <m:t>1</m:t>
          </m:r>
          <m:r>
            <m:rPr>
              <m:sty m:val="p"/>
            </m:rPr>
            <m:t>.</m:t>
          </m:r>
        </m:oMath>
      </m:oMathPara>
    </w:p>
    <w:p>
      <w:pPr>
        <w:pStyle w:val="FirstParagraph"/>
      </w:pPr>
      <w:r>
        <w:t xml:space="preserve">Bei einem gemeinsamen Faktor ist</w:t>
      </w:r>
    </w:p>
    <w:p>
      <w:pPr>
        <w:pStyle w:val="BodyText"/>
      </w:pPr>
      <m:oMathPara>
        <m:oMathParaPr>
          <m:jc m:val="center"/>
        </m:oMathParaPr>
        <m:oMath>
          <m:borderBox>
            <m:e>
              <m:sSub>
                <m:e>
                  <m:r>
                    <m:t>α</m:t>
                  </m:r>
                </m:e>
                <m:sub>
                  <m:r>
                    <m:rPr>
                      <m:sty m:val="p"/>
                    </m:rPr>
                    <m:t>c</m:t>
                  </m:r>
                  <m:r>
                    <m:rPr>
                      <m:sty m:val="p"/>
                    </m:rPr>
                    <m:t>o</m:t>
                  </m:r>
                  <m:r>
                    <m:rPr>
                      <m:sty m:val="p"/>
                    </m:rPr>
                    <m:t>m</m:t>
                  </m:r>
                  <m:r>
                    <m:rPr>
                      <m:sty m:val="p"/>
                    </m:rPr>
                    <m:t>m</m:t>
                  </m:r>
                  <m:r>
                    <m:rPr>
                      <m:sty m:val="p"/>
                    </m:rPr>
                    <m:t>o</m:t>
                  </m:r>
                  <m:r>
                    <m:rPr>
                      <m:sty m:val="p"/>
                    </m:rPr>
                    <m:t>n</m:t>
                  </m:r>
                </m:sub>
              </m:sSub>
              <m:r>
                <m:rPr>
                  <m:sty m:val="p"/>
                </m:rPr>
                <m:t>=</m:t>
              </m:r>
              <m:r>
                <m:rPr>
                  <m:sty m:val="p"/>
                </m:rPr>
                <m:t>min</m:t>
              </m:r>
              <m:d>
                <m:dPr>
                  <m:begChr m:val="{"/>
                  <m:endChr m:val="}"/>
                  <m:sepChr m:val=""/>
                  <m:grow/>
                </m:dPr>
                <m:e>
                  <m:r>
                    <m:t>1</m:t>
                  </m:r>
                  <m:r>
                    <m:rPr>
                      <m:sty m:val="p"/>
                    </m:rPr>
                    <m:t>,</m:t>
                  </m:r>
                  <m:r>
                    <m:t> </m:t>
                  </m:r>
                  <m:limLow>
                    <m:e>
                      <m:r>
                        <m:rPr>
                          <m:sty m:val="p"/>
                        </m:rPr>
                        <m:t>min</m:t>
                      </m:r>
                    </m:e>
                    <m:lim>
                      <m:r>
                        <m:rPr>
                          <m:sty m:val="p"/>
                        </m:rPr>
                        <m:t>ℓ</m:t>
                      </m:r>
                      <m:r>
                        <m:rPr>
                          <m:sty m:val="p"/>
                        </m:rPr>
                        <m:t>≠</m:t>
                      </m:r>
                      <m:r>
                        <m:t>k</m:t>
                      </m:r>
                    </m:lim>
                  </m:limLow>
                  <m:f>
                    <m:fPr>
                      <m:type m:val="bar"/>
                    </m:fPr>
                    <m:num>
                      <m:sSub>
                        <m:e>
                          <m:bar>
                            <m:barPr>
                              <m:pos m:val="top"/>
                            </m:barPr>
                            <m:e>
                              <m:r>
                                <m:t>f</m:t>
                              </m:r>
                            </m:e>
                          </m:bar>
                        </m:e>
                        <m:sub>
                          <m:r>
                            <m:rPr>
                              <m:sty m:val="p"/>
                            </m:rPr>
                            <m:t>ℓ</m:t>
                          </m:r>
                        </m:sub>
                      </m:sSub>
                    </m:num>
                    <m:den>
                      <m:sSub>
                        <m:e>
                          <m:bar>
                            <m:barPr>
                              <m:pos m:val="top"/>
                            </m:barPr>
                            <m:e>
                              <m:r>
                                <m:t>f</m:t>
                              </m:r>
                            </m:e>
                          </m:bar>
                        </m:e>
                        <m:sub>
                          <m:r>
                            <m:rPr>
                              <m:sty m:val="p"/>
                            </m:rPr>
                            <m:t>ℓ</m:t>
                          </m:r>
                        </m:sub>
                      </m:sSub>
                      <m:r>
                        <m:rPr>
                          <m:sty m:val="p"/>
                        </m:rPr>
                        <m:t>+</m:t>
                      </m:r>
                      <m:d>
                        <m:dPr>
                          <m:begChr m:val="|"/>
                          <m:endChr m:val="|"/>
                          <m:sepChr m:val=""/>
                          <m:grow/>
                        </m:dPr>
                        <m:e>
                          <m:sSub>
                            <m:e>
                              <m:r>
                                <m:t>D</m:t>
                              </m:r>
                            </m:e>
                            <m:sub>
                              <m:r>
                                <m:rPr>
                                  <m:sty m:val="p"/>
                                </m:rPr>
                                <m:t>ℓ</m:t>
                              </m:r>
                              <m:r>
                                <m:t>k</m:t>
                              </m:r>
                            </m:sub>
                          </m:sSub>
                        </m:e>
                      </m:d>
                      <m:sSub>
                        <m:e>
                          <m:bar>
                            <m:barPr>
                              <m:pos m:val="top"/>
                            </m:barPr>
                            <m:e>
                              <m:r>
                                <m:t>f</m:t>
                              </m:r>
                            </m:e>
                          </m:bar>
                        </m:e>
                        <m:sub>
                          <m:r>
                            <m:t>k</m:t>
                          </m:r>
                        </m:sub>
                      </m:sSub>
                    </m:den>
                  </m:f>
                </m:e>
              </m:d>
            </m:e>
          </m:borderBox>
          <m:r>
            <m:rPr>
              <m:sty m:val="p"/>
            </m:rPr>
            <m:t>.</m:t>
          </m:r>
        </m:oMath>
      </m:oMathPara>
    </w:p>
    <w:p>
      <w:pPr>
        <w:pStyle w:val="FirstParagraph"/>
      </w:pPr>
      <w:r>
        <w:t xml:space="preserve">Diese explizit</w:t>
      </w:r>
      <w:r>
        <w:t xml:space="preserve"> </w:t>
      </w:r>
      <w:r>
        <w:rPr>
          <w:b/>
          <w:bCs/>
        </w:rPr>
        <w:t xml:space="preserve">hier abgeleiteten</w:t>
      </w:r>
      <w:r>
        <w:t xml:space="preserve"> </w:t>
      </w:r>
      <w:r>
        <w:t xml:space="preserve">Schranken sind konservativ, da sie mögliche Korrelationen physikalischer Flüsse ignorieren. Sie setzen voraus, dass der angewandte N-0-Boxbereich tatsächlich die vollständigen modellierten Flüsse beschränkt; feste Offsets dürfen nicht fehlen. [N2] untersucht verwandte robuste, approximative und leitungsspezifische Verfahren, verwendet aber nicht notwendig dieselben Formeln.</w:t>
      </w:r>
    </w:p>
    <w:p>
      <w:pPr>
        <w:pStyle w:val="BodyText"/>
      </w:pPr>
      <w:r>
        <w:rPr>
          <w:b/>
          <w:bCs/>
        </w:rPr>
        <w:t xml:space="preserve">IoSN-Abgleich:</w:t>
      </w:r>
      <w:r>
        <w:t xml:space="preserve"> </w:t>
      </w:r>
      <w:r>
        <w:t xml:space="preserve">K3 ist</w:t>
      </w:r>
      <w:r>
        <w:t xml:space="preserve"> </w:t>
      </w:r>
      <w:r>
        <w:rPr>
          <w:b/>
          <w:bCs/>
        </w:rPr>
        <w:t xml:space="preserve">kein Ersatz für die dokumentierten IoSN-Kapazitäten</w:t>
      </w:r>
      <w:r>
        <w:t xml:space="preserve">, sondern ein kostengünstiger Vergleichs-/Sicherheitsbenchmark. Gute konservative K3-Werte müssen nicht dieselben Transfermöglichkeiten wie K1 oder K2 liefern.</w:t>
      </w:r>
    </w:p>
    <w:bookmarkEnd w:id="57"/>
    <w:bookmarkStart w:id="58" w:name="qualität-der-sicherheitsregion"/>
    <w:p>
      <w:pPr>
        <w:pStyle w:val="Heading2"/>
      </w:pPr>
      <w:r>
        <w:t xml:space="preserve">10.4 Qualität der Sicherheitsregion</w:t>
      </w:r>
    </w:p>
    <w:p>
      <w:pPr>
        <w:pStyle w:val="FirstParagraph"/>
      </w:pPr>
      <w:r>
        <w:t xml:space="preserve">Die drei Methoden sollten unter identischem detailliertem N-1-Prüfsatz anhand folgender Kennzahlen verglichen werden: (i) Anteil fehlerhaft zugelassener Einspeisungen (false feasible), (ii) Anteil unnötig ausgeschlossener, detailliert sicherer Einspeisungen (false infeasible), (iii) Verletzungshöhe und -dauer, (iv) zulässige Transferenergie in repräsentativen Stunden, (v) rechnerischer Aufwand und (vi) Sensitivität auf Wetterjahre, GSK/Verteilung, Outage-Sets und Sondergeräte. K1 ist nicht per Konstruktion N-1-garantiert, K2 unter klaren Bedingungen schon, K3 ist konservativ.</w:t>
      </w:r>
    </w:p>
    <w:bookmarkEnd w:id="58"/>
    <w:bookmarkEnd w:id="59"/>
    <w:bookmarkStart w:id="62" w:name="X5ba8598dc57ba8d3f8ff0d9f9f6aab49838093e"/>
    <w:p>
      <w:pPr>
        <w:pStyle w:val="Heading1"/>
      </w:pPr>
      <w:r>
        <w:t xml:space="preserve">11. Woodbury-Identität und duale LODF-Theorie</w:t>
      </w:r>
    </w:p>
    <w:bookmarkStart w:id="60" w:name="X58f9af5b772577eeff8aa0d82f0c257bed38b5f"/>
    <w:p>
      <w:pPr>
        <w:pStyle w:val="Heading2"/>
      </w:pPr>
      <w:r>
        <w:t xml:space="preserve">11.1 Sherman–Morrison–Woodbury für Einzelkontingenzen</w:t>
      </w:r>
    </w:p>
    <w:p>
      <w:pPr>
        <w:pStyle w:val="FirstParagraph"/>
      </w:pPr>
      <w:r>
        <w:t xml:space="preserve">Schneidet man zur Lösung des balancierten AC-Teilnetzes den Referenzknoten aus, ist der reduzierte nodale Laplace-Operator</w:t>
      </w:r>
      <w:r>
        <w:t xml:space="preserve"> </w:t>
      </w:r>
      <m:oMath>
        <m:sSub>
          <m:e>
            <m:r>
              <m:t>L</m:t>
            </m:r>
          </m:e>
          <m:sub>
            <m:r>
              <m:t>r</m:t>
            </m:r>
          </m:sub>
        </m:sSub>
      </m:oMath>
      <w:r>
        <w:t xml:space="preserve"> </w:t>
      </w:r>
      <w:r>
        <w:t xml:space="preserve">regulär. Ein nicht inselbildender Ausfall von Zweig</w:t>
      </w:r>
      <w:r>
        <w:t xml:space="preserve"> </w:t>
      </w:r>
      <m:oMath>
        <m:r>
          <m:t>k</m:t>
        </m:r>
      </m:oMath>
      <w:r>
        <w:t xml:space="preserve"> </w:t>
      </w:r>
      <w:r>
        <w:t xml:space="preserve">mit Suszeptanz</w:t>
      </w:r>
      <w:r>
        <w:t xml:space="preserve"> </w:t>
      </w:r>
      <m:oMath>
        <m:sSub>
          <m:e>
            <m:r>
              <m:t>b</m:t>
            </m:r>
          </m:e>
          <m:sub>
            <m:r>
              <m:t>k</m:t>
            </m:r>
          </m:sub>
        </m:sSub>
        <m:r>
          <m:rPr>
            <m:sty m:val="p"/>
          </m:rPr>
          <m:t>=</m:t>
        </m:r>
        <m:r>
          <m:t>1</m:t>
        </m:r>
        <m:r>
          <m:rPr>
            <m:sty m:val="p"/>
          </m:rPr>
          <m:t>/</m:t>
        </m:r>
        <m:sSub>
          <m:e>
            <m:r>
              <m:t>x</m:t>
            </m:r>
          </m:e>
          <m:sub>
            <m:r>
              <m:t>k</m:t>
            </m:r>
          </m:sub>
        </m:sSub>
      </m:oMath>
      <w:r>
        <w:t xml:space="preserve"> </w:t>
      </w:r>
      <w:r>
        <w:t xml:space="preserve">verändert ihn mit Rang eins:</w:t>
      </w:r>
    </w:p>
    <w:p>
      <w:pPr>
        <w:pStyle w:val="BodyText"/>
      </w:pPr>
      <m:oMathPara>
        <m:oMathParaPr>
          <m:jc m:val="center"/>
        </m:oMathParaPr>
        <m:oMath>
          <m:sSubSup>
            <m:e>
              <m:r>
                <m:t>L</m:t>
              </m:r>
            </m:e>
            <m:sub>
              <m:r>
                <m:t>r</m:t>
              </m:r>
            </m:sub>
            <m:sup>
              <m:d>
                <m:dPr>
                  <m:begChr m:val="("/>
                  <m:endChr m:val=")"/>
                  <m:sepChr m:val=""/>
                  <m:grow/>
                </m:dPr>
                <m:e>
                  <m:r>
                    <m:t>k</m:t>
                  </m:r>
                </m:e>
              </m:d>
            </m:sup>
          </m:sSubSup>
          <m:r>
            <m:rPr>
              <m:sty m:val="p"/>
            </m:rPr>
            <m:t>=</m:t>
          </m:r>
          <m:sSub>
            <m:e>
              <m:r>
                <m:t>L</m:t>
              </m:r>
            </m:e>
            <m:sub>
              <m:r>
                <m:t>r</m:t>
              </m:r>
            </m:sub>
          </m:sSub>
          <m:r>
            <m:rPr>
              <m:sty m:val="p"/>
            </m:rPr>
            <m:t>−</m:t>
          </m:r>
          <m:sSub>
            <m:e>
              <m:r>
                <m:t>b</m:t>
              </m:r>
            </m:e>
            <m:sub>
              <m:r>
                <m:t>k</m:t>
              </m:r>
            </m:sub>
          </m:sSub>
          <m:sSub>
            <m:e>
              <m:r>
                <m:t>a</m:t>
              </m:r>
            </m:e>
            <m:sub>
              <m:r>
                <m:t>k</m:t>
              </m:r>
            </m:sub>
          </m:sSub>
          <m:sSubSup>
            <m:e>
              <m:r>
                <m:t>a</m:t>
              </m:r>
            </m:e>
            <m:sub>
              <m:r>
                <m:t>k</m:t>
              </m:r>
            </m:sub>
            <m:sup>
              <m:r>
                <m:rPr>
                  <m:sty m:val="p"/>
                  <m:scr m:val="sans-serif"/>
                </m:rPr>
                <m:t>T</m:t>
              </m:r>
            </m:sup>
          </m:sSubSup>
          <m:r>
            <m:rPr>
              <m:sty m:val="p"/>
            </m:rPr>
            <m:t>.</m:t>
          </m:r>
        </m:oMath>
      </m:oMathPara>
    </w:p>
    <w:p>
      <w:pPr>
        <w:pStyle w:val="FirstParagraph"/>
      </w:pPr>
      <w:r>
        <w:rPr>
          <w:b/>
          <w:bCs/>
        </w:rPr>
        <w:t xml:space="preserve">(W1) Woodbury-Rang-eins-Update [L].</w:t>
      </w:r>
    </w:p>
    <w:p>
      <w:pPr>
        <w:pStyle w:val="BodyText"/>
      </w:pPr>
      <m:oMathPara>
        <m:oMathParaPr>
          <m:jc m:val="center"/>
        </m:oMathParaPr>
        <m:oMath>
          <m:borderBox>
            <m:e>
              <m:sSup>
                <m:e>
                  <m:d>
                    <m:dPr>
                      <m:begChr m:val="("/>
                      <m:endChr m:val=")"/>
                      <m:sepChr m:val=""/>
                      <m:grow/>
                    </m:dPr>
                    <m:e>
                      <m:sSubSup>
                        <m:e>
                          <m:r>
                            <m:t>L</m:t>
                          </m:r>
                        </m:e>
                        <m:sub>
                          <m:r>
                            <m:t>r</m:t>
                          </m:r>
                        </m:sub>
                        <m:sup>
                          <m:d>
                            <m:dPr>
                              <m:begChr m:val="("/>
                              <m:endChr m:val=")"/>
                              <m:sepChr m:val=""/>
                              <m:grow/>
                            </m:dPr>
                            <m:e>
                              <m:r>
                                <m:t>k</m:t>
                              </m:r>
                            </m:e>
                          </m:d>
                        </m:sup>
                      </m:sSubSup>
                    </m:e>
                  </m:d>
                </m:e>
                <m:sup>
                  <m:r>
                    <m:rPr>
                      <m:sty m:val="p"/>
                    </m:rPr>
                    <m:t>−</m:t>
                  </m:r>
                  <m:r>
                    <m:t>1</m:t>
                  </m:r>
                </m:sup>
              </m:sSup>
              <m:r>
                <m:rPr>
                  <m:sty m:val="p"/>
                </m:rPr>
                <m:t>=</m:t>
              </m:r>
              <m:sSubSup>
                <m:e>
                  <m:r>
                    <m:t>L</m:t>
                  </m:r>
                </m:e>
                <m:sub>
                  <m:r>
                    <m:t>r</m:t>
                  </m:r>
                </m:sub>
                <m:sup>
                  <m:r>
                    <m:rPr>
                      <m:sty m:val="p"/>
                    </m:rPr>
                    <m:t>−</m:t>
                  </m:r>
                  <m:r>
                    <m:t>1</m:t>
                  </m:r>
                </m:sup>
              </m:sSubSup>
              <m:r>
                <m:rPr>
                  <m:sty m:val="p"/>
                </m:rPr>
                <m:t>+</m:t>
              </m:r>
              <m:f>
                <m:fPr>
                  <m:type m:val="bar"/>
                </m:fPr>
                <m:num>
                  <m:sSub>
                    <m:e>
                      <m:r>
                        <m:t>b</m:t>
                      </m:r>
                    </m:e>
                    <m:sub>
                      <m:r>
                        <m:t>k</m:t>
                      </m:r>
                    </m:sub>
                  </m:sSub>
                  <m:sSubSup>
                    <m:e>
                      <m:r>
                        <m:t>L</m:t>
                      </m:r>
                    </m:e>
                    <m:sub>
                      <m:r>
                        <m:t>r</m:t>
                      </m:r>
                    </m:sub>
                    <m:sup>
                      <m:r>
                        <m:rPr>
                          <m:sty m:val="p"/>
                        </m:rPr>
                        <m:t>−</m:t>
                      </m:r>
                      <m:r>
                        <m:t>1</m:t>
                      </m:r>
                    </m:sup>
                  </m:sSubSup>
                  <m:sSub>
                    <m:e>
                      <m:r>
                        <m:t>a</m:t>
                      </m:r>
                    </m:e>
                    <m:sub>
                      <m:r>
                        <m:t>k</m:t>
                      </m:r>
                    </m:sub>
                  </m:sSub>
                  <m:sSubSup>
                    <m:e>
                      <m:r>
                        <m:t>a</m:t>
                      </m:r>
                    </m:e>
                    <m:sub>
                      <m:r>
                        <m:t>k</m:t>
                      </m:r>
                    </m:sub>
                    <m:sup>
                      <m:r>
                        <m:rPr>
                          <m:sty m:val="p"/>
                          <m:scr m:val="sans-serif"/>
                        </m:rPr>
                        <m:t>T</m:t>
                      </m:r>
                    </m:sup>
                  </m:sSubSup>
                  <m:sSubSup>
                    <m:e>
                      <m:r>
                        <m:t>L</m:t>
                      </m:r>
                    </m:e>
                    <m:sub>
                      <m:r>
                        <m:t>r</m:t>
                      </m:r>
                    </m:sub>
                    <m:sup>
                      <m:r>
                        <m:rPr>
                          <m:sty m:val="p"/>
                        </m:rPr>
                        <m:t>−</m:t>
                      </m:r>
                      <m:r>
                        <m:t>1</m:t>
                      </m:r>
                    </m:sup>
                  </m:sSubSup>
                </m:num>
                <m:den>
                  <m:r>
                    <m:t>1</m:t>
                  </m:r>
                  <m:r>
                    <m:rPr>
                      <m:sty m:val="p"/>
                    </m:rPr>
                    <m:t>−</m:t>
                  </m:r>
                  <m:sSub>
                    <m:e>
                      <m:r>
                        <m:t>b</m:t>
                      </m:r>
                    </m:e>
                    <m:sub>
                      <m:r>
                        <m:t>k</m:t>
                      </m:r>
                    </m:sub>
                  </m:sSub>
                  <m:sSubSup>
                    <m:e>
                      <m:r>
                        <m:t>a</m:t>
                      </m:r>
                    </m:e>
                    <m:sub>
                      <m:r>
                        <m:t>k</m:t>
                      </m:r>
                    </m:sub>
                    <m:sup>
                      <m:r>
                        <m:rPr>
                          <m:sty m:val="p"/>
                          <m:scr m:val="sans-serif"/>
                        </m:rPr>
                        <m:t>T</m:t>
                      </m:r>
                    </m:sup>
                  </m:sSubSup>
                  <m:sSubSup>
                    <m:e>
                      <m:r>
                        <m:t>L</m:t>
                      </m:r>
                    </m:e>
                    <m:sub>
                      <m:r>
                        <m:t>r</m:t>
                      </m:r>
                    </m:sub>
                    <m:sup>
                      <m:r>
                        <m:rPr>
                          <m:sty m:val="p"/>
                        </m:rPr>
                        <m:t>−</m:t>
                      </m:r>
                      <m:r>
                        <m:t>1</m:t>
                      </m:r>
                    </m:sup>
                  </m:sSubSup>
                  <m:sSub>
                    <m:e>
                      <m:r>
                        <m:t>a</m:t>
                      </m:r>
                    </m:e>
                    <m:sub>
                      <m:r>
                        <m:t>k</m:t>
                      </m:r>
                    </m:sub>
                  </m:sSub>
                </m:den>
              </m:f>
              <m:r>
                <m:rPr>
                  <m:sty m:val="p"/>
                </m:rPr>
                <m:t>.</m:t>
              </m:r>
            </m:e>
          </m:borderBox>
        </m:oMath>
      </m:oMathPara>
    </w:p>
    <w:p>
      <w:pPr>
        <w:pStyle w:val="FirstParagraph"/>
      </w:pPr>
      <w:r>
        <w:t xml:space="preserve">Bei singulärem Nenner ist das Netz nach dem Ausfall nicht mit derselben regulären Teilnetz-Faktorisierung behandelbar. Im produktiven numerischen Verfahren sollten</w:t>
      </w:r>
      <w:r>
        <w:t xml:space="preserve"> </w:t>
      </w:r>
      <w:r>
        <w:rPr>
          <w:b/>
          <w:bCs/>
        </w:rPr>
        <w:t xml:space="preserve">faktorisierte lineare Systeme statt expliziter inverser Matrizen</w:t>
      </w:r>
      <w:r>
        <w:t xml:space="preserve"> </w:t>
      </w:r>
      <w:r>
        <w:t xml:space="preserve">verwendet werden. Woodbury beschleunigt die Kontingenzberechnung, bestimmt aber nicht selbst die zonalen Sicherheitsgrenzen.</w:t>
      </w:r>
    </w:p>
    <w:bookmarkEnd w:id="60"/>
    <w:bookmarkStart w:id="61" w:name="duale-zyklendarstellung"/>
    <w:p>
      <w:pPr>
        <w:pStyle w:val="Heading2"/>
      </w:pPr>
      <w:r>
        <w:t xml:space="preserve">11.2 Duale Zyklendarstellung</w:t>
      </w:r>
    </w:p>
    <w:p>
      <w:pPr>
        <w:pStyle w:val="FirstParagraph"/>
      </w:pPr>
      <w:r>
        <w:t xml:space="preserve">Sei</w:t>
      </w:r>
      <w:r>
        <w:t xml:space="preserve"> </w:t>
      </w:r>
      <m:oMath>
        <m:sSub>
          <m:e>
            <m:r>
              <m:t>C</m:t>
            </m:r>
          </m:e>
          <m:sub>
            <m:r>
              <m:t>d</m:t>
            </m:r>
          </m:sub>
        </m:sSub>
        <m:r>
          <m:rPr>
            <m:sty m:val="p"/>
          </m:rPr>
          <m:t>∈</m:t>
        </m:r>
        <m:sSup>
          <m:e>
            <m:r>
              <m:rPr>
                <m:sty m:val="p"/>
                <m:scr m:val="double-struck"/>
              </m:rPr>
              <m:t>R</m:t>
            </m:r>
          </m:e>
          <m:sup>
            <m:r>
              <m:t>L</m:t>
            </m:r>
            <m:r>
              <m:rPr>
                <m:sty m:val="p"/>
              </m:rPr>
              <m:t>×</m:t>
            </m:r>
            <m:d>
              <m:dPr>
                <m:begChr m:val="("/>
                <m:endChr m:val=")"/>
                <m:sepChr m:val=""/>
                <m:grow/>
              </m:dPr>
              <m:e>
                <m:r>
                  <m:t>L</m:t>
                </m:r>
                <m:r>
                  <m:rPr>
                    <m:sty m:val="p"/>
                  </m:rPr>
                  <m:t>−</m:t>
                </m:r>
                <m:r>
                  <m:t>N</m:t>
                </m:r>
                <m:r>
                  <m:rPr>
                    <m:sty m:val="p"/>
                  </m:rPr>
                  <m:t>+</m:t>
                </m:r>
                <m:r>
                  <m:t>1</m:t>
                </m:r>
              </m:e>
            </m:d>
          </m:sup>
        </m:sSup>
      </m:oMath>
      <w:r>
        <w:t xml:space="preserve"> </w:t>
      </w:r>
      <w:r>
        <w:t xml:space="preserve">eine Basis von</w:t>
      </w:r>
      <w:r>
        <w:t xml:space="preserve"> </w:t>
      </w:r>
      <m:oMath>
        <m:r>
          <m:rPr>
            <m:sty m:val="p"/>
          </m:rPr>
          <m:t>ker</m:t>
        </m:r>
        <m:sSub>
          <m:e>
            <m:r>
              <m:t>A</m:t>
            </m:r>
          </m:e>
          <m:sub>
            <m:r>
              <m:t>d</m:t>
            </m:r>
          </m:sub>
        </m:sSub>
      </m:oMath>
      <w:r>
        <w:t xml:space="preserve"> </w:t>
      </w:r>
      <w:r>
        <w:t xml:space="preserve">und</w:t>
      </w:r>
      <w:r>
        <w:t xml:space="preserve"> </w:t>
      </w:r>
      <m:oMath>
        <m:sSub>
          <m:e>
            <m:r>
              <m:t>X</m:t>
            </m:r>
          </m:e>
          <m:sub>
            <m:r>
              <m:t>d</m:t>
            </m:r>
          </m:sub>
        </m:sSub>
        <m:r>
          <m:rPr>
            <m:sty m:val="p"/>
          </m:rPr>
          <m:t>=</m:t>
        </m:r>
        <m:r>
          <m:rPr>
            <m:sty m:val="p"/>
          </m:rPr>
          <m:t>d</m:t>
        </m:r>
        <m:r>
          <m:rPr>
            <m:sty m:val="p"/>
          </m:rPr>
          <m:t>i</m:t>
        </m:r>
        <m:r>
          <m:rPr>
            <m:sty m:val="p"/>
          </m:rPr>
          <m:t>a</m:t>
        </m:r>
        <m:r>
          <m:rPr>
            <m:sty m:val="p"/>
          </m:rPr>
          <m:t>g</m:t>
        </m:r>
        <m:d>
          <m:dPr>
            <m:begChr m:val="("/>
            <m:endChr m:val=")"/>
            <m:sepChr m:val=""/>
            <m:grow/>
          </m:dPr>
          <m:e>
            <m:r>
              <m:t>x</m:t>
            </m:r>
          </m:e>
        </m:d>
      </m:oMath>
      <w:r>
        <w:t xml:space="preserve">. Definiere</w:t>
      </w:r>
    </w:p>
    <w:p>
      <w:pPr>
        <w:pStyle w:val="BodyText"/>
      </w:pPr>
      <m:oMathPara>
        <m:oMathParaPr>
          <m:jc m:val="center"/>
        </m:oMathParaPr>
        <m:oMath>
          <m:r>
            <m:t>M</m:t>
          </m:r>
          <m:r>
            <m:rPr>
              <m:sty m:val="p"/>
            </m:rPr>
            <m:t>=</m:t>
          </m:r>
          <m:sSub>
            <m:e>
              <m:r>
                <m:t>C</m:t>
              </m:r>
            </m:e>
            <m:sub>
              <m:r>
                <m:t>d</m:t>
              </m:r>
            </m:sub>
          </m:sSub>
          <m:sSup>
            <m:e>
              <m:d>
                <m:dPr>
                  <m:begChr m:val="("/>
                  <m:endChr m:val=")"/>
                  <m:sepChr m:val=""/>
                  <m:grow/>
                </m:dPr>
                <m:e>
                  <m:sSubSup>
                    <m:e>
                      <m:r>
                        <m:t>C</m:t>
                      </m:r>
                    </m:e>
                    <m:sub>
                      <m:r>
                        <m:t>d</m:t>
                      </m:r>
                    </m:sub>
                    <m:sup>
                      <m:r>
                        <m:rPr>
                          <m:sty m:val="p"/>
                          <m:scr m:val="sans-serif"/>
                        </m:rPr>
                        <m:t>T</m:t>
                      </m:r>
                    </m:sup>
                  </m:sSubSup>
                  <m:sSub>
                    <m:e>
                      <m:r>
                        <m:t>X</m:t>
                      </m:r>
                    </m:e>
                    <m:sub>
                      <m:r>
                        <m:t>d</m:t>
                      </m:r>
                    </m:sub>
                  </m:sSub>
                  <m:sSub>
                    <m:e>
                      <m:r>
                        <m:t>C</m:t>
                      </m:r>
                    </m:e>
                    <m:sub>
                      <m:r>
                        <m:t>d</m:t>
                      </m:r>
                    </m:sub>
                  </m:sSub>
                </m:e>
              </m:d>
            </m:e>
            <m:sup>
              <m:r>
                <m:rPr>
                  <m:sty m:val="p"/>
                </m:rPr>
                <m:t>−</m:t>
              </m:r>
              <m:r>
                <m:t>1</m:t>
              </m:r>
            </m:sup>
          </m:sSup>
          <m:sSubSup>
            <m:e>
              <m:r>
                <m:t>C</m:t>
              </m:r>
            </m:e>
            <m:sub>
              <m:r>
                <m:t>d</m:t>
              </m:r>
            </m:sub>
            <m:sup>
              <m:r>
                <m:rPr>
                  <m:sty m:val="p"/>
                  <m:scr m:val="sans-serif"/>
                </m:rPr>
                <m:t>T</m:t>
              </m:r>
            </m:sup>
          </m:sSubSup>
          <m:r>
            <m:rPr>
              <m:sty m:val="p"/>
            </m:rPr>
            <m:t>.</m:t>
          </m:r>
        </m:oMath>
      </m:oMathPara>
    </w:p>
    <w:p>
      <w:pPr>
        <w:pStyle w:val="FirstParagraph"/>
      </w:pPr>
      <w:r>
        <w:t xml:space="preserve">Für nicht inselbildende Zweige gilt die duale Darstellung [N1]:</w:t>
      </w:r>
    </w:p>
    <w:p>
      <w:pPr>
        <w:pStyle w:val="BodyText"/>
      </w:pPr>
      <w:r>
        <w:rPr>
          <w:b/>
          <w:bCs/>
        </w:rPr>
        <w:t xml:space="preserve">(W2) Kreisraum-basierte LODF [L].</w:t>
      </w:r>
    </w:p>
    <w:p>
      <w:pPr>
        <w:pStyle w:val="BodyText"/>
      </w:pPr>
      <m:oMathPara>
        <m:oMathParaPr>
          <m:jc m:val="center"/>
        </m:oMathParaPr>
        <m:oMath>
          <m:borderBox>
            <m:e>
              <m:sSub>
                <m:e>
                  <m:r>
                    <m:t>D</m:t>
                  </m:r>
                </m:e>
                <m:sub>
                  <m:r>
                    <m:rPr>
                      <m:sty m:val="p"/>
                    </m:rPr>
                    <m:t>ℓ</m:t>
                  </m:r>
                  <m:r>
                    <m:t>k</m:t>
                  </m:r>
                </m:sub>
              </m:sSub>
              <m:r>
                <m:rPr>
                  <m:sty m:val="p"/>
                </m:rPr>
                <m:t>=</m:t>
              </m:r>
              <m:r>
                <m:rPr>
                  <m:sty m:val="p"/>
                </m:rPr>
                <m:t>−</m:t>
              </m:r>
              <m:sSub>
                <m:e>
                  <m:r>
                    <m:t>M</m:t>
                  </m:r>
                </m:e>
                <m:sub>
                  <m:r>
                    <m:rPr>
                      <m:sty m:val="p"/>
                    </m:rPr>
                    <m:t>ℓ</m:t>
                  </m:r>
                  <m:r>
                    <m:t>k</m:t>
                  </m:r>
                </m:sub>
              </m:sSub>
              <m:r>
                <m:rPr>
                  <m:sty m:val="p"/>
                </m:rPr>
                <m:t>/</m:t>
              </m:r>
              <m:sSub>
                <m:e>
                  <m:r>
                    <m:t>M</m:t>
                  </m:r>
                </m:e>
                <m:sub>
                  <m:r>
                    <m:t>k</m:t>
                  </m:r>
                  <m:r>
                    <m:t>k</m:t>
                  </m:r>
                </m:sub>
              </m:sSub>
              <m:r>
                <m:t> </m:t>
              </m:r>
              <m:d>
                <m:dPr>
                  <m:begChr m:val="("/>
                  <m:endChr m:val=")"/>
                  <m:sepChr m:val=""/>
                  <m:grow/>
                </m:dPr>
                <m:e>
                  <m:r>
                    <m:rPr>
                      <m:sty m:val="p"/>
                    </m:rPr>
                    <m:t>ℓ</m:t>
                  </m:r>
                  <m:r>
                    <m:rPr>
                      <m:sty m:val="p"/>
                    </m:rPr>
                    <m:t>≠</m:t>
                  </m:r>
                  <m:r>
                    <m:t>k</m:t>
                  </m:r>
                </m:e>
              </m:d>
            </m:e>
          </m:borderBox>
          <m:r>
            <m:rPr>
              <m:sty m:val="p"/>
            </m:rPr>
            <m:t>,</m:t>
          </m:r>
          <m:r>
            <m:t>  </m:t>
          </m:r>
          <m:sSub>
            <m:e>
              <m:r>
                <m:t>D</m:t>
              </m:r>
            </m:e>
            <m:sub>
              <m:r>
                <m:t>k</m:t>
              </m:r>
              <m:r>
                <m:t>k</m:t>
              </m:r>
            </m:sub>
          </m:sSub>
          <m:r>
            <m:rPr>
              <m:sty m:val="p"/>
            </m:rPr>
            <m:t>=</m:t>
          </m:r>
          <m:r>
            <m:rPr>
              <m:sty m:val="p"/>
            </m:rPr>
            <m:t>−</m:t>
          </m:r>
          <m:r>
            <m:t>1</m:t>
          </m:r>
          <m:r>
            <m:rPr>
              <m:sty m:val="p"/>
            </m:rPr>
            <m:t>.</m:t>
          </m:r>
        </m:oMath>
      </m:oMathPara>
    </w:p>
    <w:p>
      <w:pPr>
        <w:pStyle w:val="FirstParagraph"/>
      </w:pPr>
      <w:r>
        <w:t xml:space="preserve">Auch diese Darstellung scheitert im Grenzfall einer Brücke: Eine Brücke liegt in keinem Kreis und hat</w:t>
      </w:r>
      <w:r>
        <w:t xml:space="preserve"> </w:t>
      </w:r>
      <m:oMath>
        <m:sSub>
          <m:e>
            <m:r>
              <m:t>M</m:t>
            </m:r>
          </m:e>
          <m:sub>
            <m:r>
              <m:t>k</m:t>
            </m:r>
            <m:r>
              <m:t>k</m:t>
            </m:r>
          </m:sub>
        </m:sSub>
        <m:r>
          <m:rPr>
            <m:sty m:val="p"/>
          </m:rPr>
          <m:t>=</m:t>
        </m:r>
        <m:r>
          <m:t>0</m:t>
        </m:r>
      </m:oMath>
      <w:r>
        <w:t xml:space="preserve">. Für</w:t>
      </w:r>
      <w:r>
        <w:t xml:space="preserve"> </w:t>
      </w:r>
      <w:r>
        <w:rPr>
          <w:b/>
          <w:bCs/>
        </w:rPr>
        <w:t xml:space="preserve">schwach vermaschte Netze</w:t>
      </w:r>
      <w:r>
        <w:t xml:space="preserve"> </w:t>
      </w:r>
      <w:r>
        <w:t xml:space="preserve">mit wenigen unabhängigen Zyklen kann die Kreisraumformulierung attraktiv sein. Welcher Ansatz schneller ist, hängt von Sparse-Faktorisierung, Zahl der Kontingenzen und Netzstruktur ab und muss empirisch benchmarkiert werden.</w:t>
      </w:r>
    </w:p>
    <w:p>
      <w:pPr>
        <w:pStyle w:val="BodyText"/>
      </w:pPr>
      <w:r>
        <w:rPr>
          <w:b/>
          <w:bCs/>
        </w:rPr>
        <w:t xml:space="preserve">IoSN-Abgleich:</w:t>
      </w:r>
      <w:r>
        <w:t xml:space="preserve"> </w:t>
      </w:r>
      <w:r>
        <w:t xml:space="preserve">Das IoSN-Dokument nennt LODF-basierte N-1-Bewertung, aber weder Woodbury noch die duale Kreisformel als verpflichtenden Rechenkern. Beide sind technisch austauschbare Beschleunigungsoptionen, keine normative Weiterentwicklung des Clustering-Prinzips.</w:t>
      </w:r>
    </w:p>
    <w:bookmarkEnd w:id="61"/>
    <w:bookmarkEnd w:id="62"/>
    <w:bookmarkStart w:id="66" w:name="Xe8b812f3b2e2a98f3a630a7e6428e43e68d237e"/>
    <w:p>
      <w:pPr>
        <w:pStyle w:val="Heading1"/>
      </w:pPr>
      <w:r>
        <w:t xml:space="preserve">12. Verbindung zu Flow-Based Market Coupling (FBMC)</w:t>
      </w:r>
    </w:p>
    <w:bookmarkStart w:id="63" w:name="X3817137596e6447b1e797a050a189e4d5b30eea"/>
    <w:p>
      <w:pPr>
        <w:pStyle w:val="Heading2"/>
      </w:pPr>
      <w:r>
        <w:t xml:space="preserve">12.1 Planungsknoten sind keine Marktgebotszonen</w:t>
      </w:r>
    </w:p>
    <w:p>
      <w:pPr>
        <w:pStyle w:val="FirstParagraph"/>
      </w:pPr>
      <w:r>
        <w:t xml:space="preserve">Die IoSN-Busmap</w:t>
      </w:r>
      <w:r>
        <w:t xml:space="preserve"> </w:t>
      </w:r>
      <m:oMath>
        <m:sSub>
          <m:e>
            <m:r>
              <m:t>P</m:t>
            </m:r>
          </m:e>
          <m:sub>
            <m:r>
              <m:t>T</m:t>
            </m:r>
          </m:sub>
        </m:sSub>
      </m:oMath>
      <w:r>
        <w:t xml:space="preserve"> </w:t>
      </w:r>
      <w:r>
        <w:t xml:space="preserve">erzeugt Planungszonen und der Schnittoperator</w:t>
      </w:r>
      <w:r>
        <w:t xml:space="preserve"> </w:t>
      </w:r>
      <m:oMath>
        <m:sSub>
          <m:e>
            <m:r>
              <m:t>Γ</m:t>
            </m:r>
          </m:e>
          <m:sub>
            <m:r>
              <m:t>T</m:t>
            </m:r>
          </m:sub>
        </m:sSub>
      </m:oMath>
      <w:r>
        <w:t xml:space="preserve"> </w:t>
      </w:r>
      <w:r>
        <w:t xml:space="preserve">aggregiert Leitungstransfers. Im FBMC wird dagegen eine</w:t>
      </w:r>
      <w:r>
        <w:t xml:space="preserve"> </w:t>
      </w:r>
      <w:r>
        <w:rPr>
          <w:b/>
          <w:bCs/>
        </w:rPr>
        <w:t xml:space="preserve">Gebotszonenmatrix</w:t>
      </w:r>
      <w:r>
        <w:t xml:space="preserve"> </w:t>
      </w:r>
      <m:oMath>
        <m:sSub>
          <m:e>
            <m:r>
              <m:t>P</m:t>
            </m:r>
          </m:e>
          <m:sub>
            <m:r>
              <m:t>B</m:t>
            </m:r>
          </m:sub>
        </m:sSub>
      </m:oMath>
      <w:r>
        <w:t xml:space="preserve"> </w:t>
      </w:r>
      <w:r>
        <w:t xml:space="preserve">verwendet; sie ist im Allgemeinen nicht identisch mit</w:t>
      </w:r>
      <w:r>
        <w:t xml:space="preserve"> </w:t>
      </w:r>
      <m:oMath>
        <m:sSub>
          <m:e>
            <m:r>
              <m:t>P</m:t>
            </m:r>
          </m:e>
          <m:sub>
            <m:r>
              <m:t>T</m:t>
            </m:r>
          </m:sub>
        </m:sSub>
      </m:oMath>
      <w:r>
        <w:t xml:space="preserve">. Ein GSK/GLSK</w:t>
      </w:r>
      <w:r>
        <w:t xml:space="preserve"> </w:t>
      </w:r>
      <m:oMath>
        <m:sSub>
          <m:e>
            <m:r>
              <m:t>G</m:t>
            </m:r>
          </m:e>
          <m:sub>
            <m:r>
              <m:t>B</m:t>
            </m:r>
          </m:sub>
        </m:sSub>
      </m:oMath>
      <w:r>
        <w:t xml:space="preserve"> </w:t>
      </w:r>
      <w:r>
        <w:t xml:space="preserve">verteilt</w:t>
      </w:r>
      <w:r>
        <w:t xml:space="preserve"> </w:t>
      </w:r>
      <w:r>
        <w:rPr>
          <w:b/>
          <w:bCs/>
        </w:rPr>
        <w:t xml:space="preserve">marginale Änderungen</w:t>
      </w:r>
      <w:r>
        <w:t xml:space="preserve"> </w:t>
      </w:r>
      <w:r>
        <w:t xml:space="preserve">zonaler Nettohandelspositionen auf detaillierte elektrische Knoten. Typischerweise soll</w:t>
      </w:r>
      <w:r>
        <w:t xml:space="preserve"> </w:t>
      </w:r>
      <m:oMath>
        <m:sSub>
          <m:e>
            <m:r>
              <m:t>P</m:t>
            </m:r>
          </m:e>
          <m:sub>
            <m:r>
              <m:t>B</m:t>
            </m:r>
          </m:sub>
        </m:sSub>
        <m:sSub>
          <m:e>
            <m:r>
              <m:t>G</m:t>
            </m:r>
          </m:e>
          <m:sub>
            <m:r>
              <m:t>B</m:t>
            </m:r>
          </m:sub>
        </m:sSub>
        <m:r>
          <m:rPr>
            <m:sty m:val="p"/>
          </m:rPr>
          <m:t>=</m:t>
        </m:r>
        <m:r>
          <m:t>I</m:t>
        </m:r>
      </m:oMath>
      <w:r>
        <w:t xml:space="preserve"> </w:t>
      </w:r>
      <w:r>
        <w:t xml:space="preserve">gelten, wenn jede Spalte nur innerhalb ihrer Gebotszone wirkt.</w:t>
      </w:r>
    </w:p>
    <w:p>
      <w:pPr>
        <w:pStyle w:val="BodyText"/>
      </w:pPr>
      <w:r>
        <w:t xml:space="preserve">Für die kritischen Elemente und Kontingenzen verwendet FBMC den Sicherheitsoperator</w:t>
      </w:r>
      <w:r>
        <w:t xml:space="preserve"> </w:t>
      </w:r>
      <m:oMath>
        <m:r>
          <m:t>K</m:t>
        </m:r>
      </m:oMath>
      <w:r>
        <w:t xml:space="preserve">, nicht</w:t>
      </w:r>
      <w:r>
        <w:t xml:space="preserve"> </w:t>
      </w:r>
      <m:oMath>
        <m:sSub>
          <m:e>
            <m:r>
              <m:t>Γ</m:t>
            </m:r>
          </m:e>
          <m:sub>
            <m:r>
              <m:t>T</m:t>
            </m:r>
          </m:sub>
        </m:sSub>
      </m:oMath>
      <w:r>
        <w:t xml:space="preserve">:</w:t>
      </w:r>
    </w:p>
    <w:p>
      <w:pPr>
        <w:pStyle w:val="BodyText"/>
      </w:pPr>
      <w:r>
        <w:rPr>
          <w:b/>
          <w:bCs/>
        </w:rPr>
        <w:t xml:space="preserve">(F1) Zonale sensitivitätsbasierte FBMC-PTDF [R/L].</w:t>
      </w:r>
    </w:p>
    <w:p>
      <w:pPr>
        <w:pStyle w:val="BodyText"/>
      </w:pPr>
      <m:oMathPara>
        <m:oMathParaPr>
          <m:jc m:val="center"/>
        </m:oMathParaPr>
        <m:oMath>
          <m:borderBox>
            <m:e>
              <m:sSub>
                <m:e>
                  <m:r>
                    <m:t>Z</m:t>
                  </m:r>
                </m:e>
                <m:sub>
                  <m:r>
                    <m:rPr>
                      <m:sty m:val="p"/>
                    </m:rPr>
                    <m:t>F</m:t>
                  </m:r>
                  <m:r>
                    <m:rPr>
                      <m:sty m:val="p"/>
                    </m:rPr>
                    <m:t>B</m:t>
                  </m:r>
                </m:sub>
              </m:sSub>
              <m:r>
                <m:rPr>
                  <m:sty m:val="p"/>
                </m:rPr>
                <m:t>=</m:t>
              </m:r>
              <m:r>
                <m:t>K</m:t>
              </m:r>
              <m:sSub>
                <m:e>
                  <m:r>
                    <m:t>H</m:t>
                  </m:r>
                </m:e>
                <m:sub>
                  <m:r>
                    <m:t>d</m:t>
                  </m:r>
                </m:sub>
              </m:sSub>
              <m:sSub>
                <m:e>
                  <m:r>
                    <m:t>G</m:t>
                  </m:r>
                </m:e>
                <m:sub>
                  <m:r>
                    <m:t>B</m:t>
                  </m:r>
                </m:sub>
              </m:sSub>
            </m:e>
          </m:borderBox>
          <m:r>
            <m:rPr>
              <m:sty m:val="p"/>
            </m:rPr>
            <m:t>.</m:t>
          </m:r>
        </m:oMath>
      </m:oMathPara>
    </w:p>
    <w:p>
      <w:pPr>
        <w:pStyle w:val="FirstParagraph"/>
      </w:pPr>
      <w:r>
        <w:t xml:space="preserve">Demgegenüber beschreibt</w:t>
      </w:r>
      <w:r>
        <w:t xml:space="preserve"> </w:t>
      </w:r>
      <m:oMath>
        <m:sSubSup>
          <m:e>
            <m:r>
              <m:t>H</m:t>
            </m:r>
          </m:e>
          <m:sub>
            <m:r>
              <m:t>T</m:t>
            </m:r>
          </m:sub>
          <m:sup>
            <m:d>
              <m:dPr>
                <m:begChr m:val="("/>
                <m:endChr m:val=")"/>
                <m:sepChr m:val=""/>
                <m:grow/>
              </m:dPr>
              <m:e>
                <m:r>
                  <m:t>k</m:t>
                </m:r>
              </m:e>
            </m:d>
          </m:sup>
        </m:sSubSup>
        <m:r>
          <m:rPr>
            <m:sty m:val="p"/>
          </m:rPr>
          <m:t>=</m:t>
        </m:r>
        <m:sSub>
          <m:e>
            <m:r>
              <m:t>Γ</m:t>
            </m:r>
          </m:e>
          <m:sub>
            <m:r>
              <m:t>T</m:t>
            </m:r>
          </m:sub>
        </m:sSub>
        <m:sSub>
          <m:e>
            <m:r>
              <m:t>H</m:t>
            </m:r>
          </m:e>
          <m:sub>
            <m:r>
              <m:t>d</m:t>
            </m:r>
          </m:sub>
        </m:sSub>
        <m:sSub>
          <m:e>
            <m:r>
              <m:t>R</m:t>
            </m:r>
          </m:e>
          <m:sub>
            <m:r>
              <m:t>k</m:t>
            </m:r>
          </m:sub>
        </m:sSub>
      </m:oMath>
      <w:r>
        <w:t xml:space="preserve"> </w:t>
      </w:r>
      <w:r>
        <w:t xml:space="preserve">die Wirkung einer</w:t>
      </w:r>
      <w:r>
        <w:t xml:space="preserve"> </w:t>
      </w:r>
      <w:r>
        <w:rPr>
          <w:i/>
          <w:iCs/>
        </w:rPr>
        <w:t xml:space="preserve">räumlichen Einspeisungsverteilung</w:t>
      </w:r>
      <w:r>
        <w:t xml:space="preserve"> </w:t>
      </w:r>
      <w:r>
        <w:t xml:space="preserve">auf</w:t>
      </w:r>
      <w:r>
        <w:t xml:space="preserve"> </w:t>
      </w:r>
      <w:r>
        <w:rPr>
          <w:i/>
          <w:iCs/>
        </w:rPr>
        <w:t xml:space="preserve">summierte Interzonenflüsse</w:t>
      </w:r>
      <w:r>
        <w:t xml:space="preserve">. Beide sind Sonderfälle der gleichen Kette „nodale PTDF mal Disaggregationsoperator, anschließend Beobachtungsoperator“, aber ihre physikalischen</w:t>
      </w:r>
      <w:r>
        <w:t xml:space="preserve"> </w:t>
      </w:r>
      <w:r>
        <w:rPr>
          <w:b/>
          <w:bCs/>
        </w:rPr>
        <w:t xml:space="preserve">Outputs unterscheiden sich</w:t>
      </w:r>
      <w:r>
        <w:t xml:space="preserve">.</w:t>
      </w:r>
    </w:p>
    <w:bookmarkEnd w:id="63"/>
    <w:bookmarkStart w:id="64" w:name="Xe8ff6144792f4a7fab046c1b35a8e15ec5a930e"/>
    <w:p>
      <w:pPr>
        <w:pStyle w:val="Heading2"/>
      </w:pPr>
      <w:r>
        <w:t xml:space="preserve">12.2 Struktureller Nullbilanzfluss versus FBMC-Nullpositionsfluss</w:t>
      </w:r>
    </w:p>
    <w:p>
      <w:pPr>
        <w:pStyle w:val="FirstParagraph"/>
      </w:pPr>
      <w:r>
        <w:t xml:space="preserve">Für einen vollständig bilanzierten nodalen Referenzzustand</w:t>
      </w:r>
      <w:r>
        <w:t xml:space="preserve"> </w:t>
      </w:r>
      <m:oMath>
        <m:sSubSup>
          <m:e>
            <m:r>
              <m:t>p</m:t>
            </m:r>
          </m:e>
          <m:sub>
            <m:r>
              <m:t>d</m:t>
            </m:r>
          </m:sub>
          <m:sup>
            <m:r>
              <m:rPr>
                <m:sty m:val="p"/>
              </m:rPr>
              <m:t>r</m:t>
            </m:r>
            <m:r>
              <m:rPr>
                <m:sty m:val="p"/>
              </m:rPr>
              <m:t>e</m:t>
            </m:r>
            <m:r>
              <m:rPr>
                <m:sty m:val="p"/>
              </m:rPr>
              <m:t>f</m:t>
            </m:r>
          </m:sup>
        </m:sSubSup>
      </m:oMath>
      <w:r>
        <w:t xml:space="preserve"> </w:t>
      </w:r>
      <w:r>
        <w:t xml:space="preserve">ist</w:t>
      </w:r>
      <w:r>
        <w:t xml:space="preserve"> </w:t>
      </w:r>
      <m:oMath>
        <m:r>
          <m:t>N</m:t>
        </m:r>
        <m:sSup>
          <m:e>
            <m:r>
              <m:t>P</m:t>
            </m:r>
          </m:e>
          <m:sup>
            <m:r>
              <m:rPr>
                <m:sty m:val="p"/>
              </m:rPr>
              <m:t>r</m:t>
            </m:r>
            <m:r>
              <m:rPr>
                <m:sty m:val="p"/>
              </m:rPr>
              <m:t>e</m:t>
            </m:r>
            <m:r>
              <m:rPr>
                <m:sty m:val="p"/>
              </m:rPr>
              <m:t>f</m:t>
            </m:r>
          </m:sup>
        </m:sSup>
        <m:r>
          <m:rPr>
            <m:sty m:val="p"/>
          </m:rPr>
          <m:t>=</m:t>
        </m:r>
        <m:sSub>
          <m:e>
            <m:r>
              <m:t>P</m:t>
            </m:r>
          </m:e>
          <m:sub>
            <m:r>
              <m:t>B</m:t>
            </m:r>
          </m:sub>
        </m:sSub>
        <m:sSubSup>
          <m:e>
            <m:r>
              <m:t>p</m:t>
            </m:r>
          </m:e>
          <m:sub>
            <m:r>
              <m:t>d</m:t>
            </m:r>
          </m:sub>
          <m:sup>
            <m:r>
              <m:rPr>
                <m:sty m:val="p"/>
              </m:rPr>
              <m:t>r</m:t>
            </m:r>
            <m:r>
              <m:rPr>
                <m:sty m:val="p"/>
              </m:rPr>
              <m:t>e</m:t>
            </m:r>
            <m:r>
              <m:rPr>
                <m:sty m:val="p"/>
              </m:rPr>
              <m:t>f</m:t>
            </m:r>
          </m:sup>
        </m:sSubSup>
      </m:oMath>
      <w:r>
        <w:t xml:space="preserve">. Die zugehörige CNEC-Flussprognose und ihr theoretischer Nullpositionsintercept lauten</w:t>
      </w:r>
    </w:p>
    <w:p>
      <w:pPr>
        <w:pStyle w:val="BodyText"/>
      </w:pPr>
      <w:r>
        <w:rPr>
          <w:b/>
          <w:bCs/>
        </w:rPr>
        <w:t xml:space="preserve">(F2) Affine Flow-Based Domain [R/E].</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t>f</m:t>
                    </m:r>
                  </m:e>
                  <m:sub>
                    <m:r>
                      <m:t>C</m:t>
                    </m:r>
                  </m:sub>
                  <m:sup>
                    <m:r>
                      <m:rPr>
                        <m:sty m:val="p"/>
                      </m:rPr>
                      <m:t>r</m:t>
                    </m:r>
                    <m:r>
                      <m:rPr>
                        <m:sty m:val="p"/>
                      </m:rPr>
                      <m:t>e</m:t>
                    </m:r>
                    <m:r>
                      <m:rPr>
                        <m:sty m:val="p"/>
                      </m:rPr>
                      <m:t>f</m:t>
                    </m:r>
                  </m:sup>
                </m:sSubSup>
              </m:e>
              <m:e>
                <m:r>
                  <m:rPr>
                    <m:sty m:val="p"/>
                  </m:rPr>
                  <m:t>=</m:t>
                </m:r>
                <m:r>
                  <m:t>K</m:t>
                </m:r>
                <m:d>
                  <m:dPr>
                    <m:begChr m:val="("/>
                    <m:endChr m:val=")"/>
                    <m:sepChr m:val=""/>
                    <m:grow/>
                  </m:dPr>
                  <m:e>
                    <m:sSub>
                      <m:e>
                        <m:r>
                          <m:t>H</m:t>
                        </m:r>
                      </m:e>
                      <m:sub>
                        <m:r>
                          <m:t>d</m:t>
                        </m:r>
                      </m:sub>
                    </m:sSub>
                    <m:sSubSup>
                      <m:e>
                        <m:r>
                          <m:t>p</m:t>
                        </m:r>
                      </m:e>
                      <m:sub>
                        <m:r>
                          <m:t>d</m:t>
                        </m:r>
                      </m:sub>
                      <m:sup>
                        <m:r>
                          <m:rPr>
                            <m:sty m:val="p"/>
                          </m:rPr>
                          <m:t>r</m:t>
                        </m:r>
                        <m:r>
                          <m:rPr>
                            <m:sty m:val="p"/>
                          </m:rPr>
                          <m:t>e</m:t>
                        </m:r>
                        <m:r>
                          <m:rPr>
                            <m:sty m:val="p"/>
                          </m:rPr>
                          <m:t>f</m:t>
                        </m:r>
                      </m:sup>
                    </m:sSubSup>
                    <m:r>
                      <m:rPr>
                        <m:sty m:val="p"/>
                      </m:rPr>
                      <m:t>+</m:t>
                    </m:r>
                    <m:sSup>
                      <m:e>
                        <m:r>
                          <m:t>b</m:t>
                        </m:r>
                      </m:e>
                      <m:sup>
                        <m:r>
                          <m:t>ϕ</m:t>
                        </m:r>
                      </m:sup>
                    </m:sSup>
                  </m:e>
                </m:d>
                <m:r>
                  <m:rPr>
                    <m:sty m:val="p"/>
                  </m:rPr>
                  <m:t>,</m:t>
                </m:r>
              </m:e>
            </m:mr>
            <m:mr>
              <m:e>
                <m:sSub>
                  <m:e>
                    <m:r>
                      <m:t>f</m:t>
                    </m:r>
                  </m:e>
                  <m:sub>
                    <m:r>
                      <m:t>0</m:t>
                    </m:r>
                    <m:r>
                      <m:rPr>
                        <m:sty m:val="p"/>
                      </m:rPr>
                      <m:t>,</m:t>
                    </m:r>
                    <m:r>
                      <m:rPr>
                        <m:sty m:val="p"/>
                      </m:rPr>
                      <m:t>F</m:t>
                    </m:r>
                    <m:r>
                      <m:rPr>
                        <m:sty m:val="p"/>
                      </m:rPr>
                      <m:t>B</m:t>
                    </m:r>
                  </m:sub>
                </m:sSub>
              </m:e>
              <m:e>
                <m:r>
                  <m:rPr>
                    <m:sty m:val="p"/>
                  </m:rPr>
                  <m:t>=</m:t>
                </m:r>
                <m:sSubSup>
                  <m:e>
                    <m:r>
                      <m:t>f</m:t>
                    </m:r>
                  </m:e>
                  <m:sub>
                    <m:r>
                      <m:t>C</m:t>
                    </m:r>
                  </m:sub>
                  <m:sup>
                    <m:r>
                      <m:rPr>
                        <m:sty m:val="p"/>
                      </m:rPr>
                      <m:t>r</m:t>
                    </m:r>
                    <m:r>
                      <m:rPr>
                        <m:sty m:val="p"/>
                      </m:rPr>
                      <m:t>e</m:t>
                    </m:r>
                    <m:r>
                      <m:rPr>
                        <m:sty m:val="p"/>
                      </m:rPr>
                      <m:t>f</m:t>
                    </m:r>
                  </m:sup>
                </m:sSubSup>
                <m:r>
                  <m:rPr>
                    <m:sty m:val="p"/>
                  </m:rPr>
                  <m:t>−</m:t>
                </m:r>
                <m:r>
                  <m:t>K</m:t>
                </m:r>
                <m:sSub>
                  <m:e>
                    <m:r>
                      <m:t>H</m:t>
                    </m:r>
                  </m:e>
                  <m:sub>
                    <m:r>
                      <m:t>d</m:t>
                    </m:r>
                  </m:sub>
                </m:sSub>
                <m:sSub>
                  <m:e>
                    <m:r>
                      <m:t>G</m:t>
                    </m:r>
                  </m:e>
                  <m:sub>
                    <m:r>
                      <m:t>B</m:t>
                    </m:r>
                  </m:sub>
                </m:sSub>
                <m:r>
                  <m:t>N</m:t>
                </m:r>
                <m:sSup>
                  <m:e>
                    <m:r>
                      <m:t>P</m:t>
                    </m:r>
                  </m:e>
                  <m:sup>
                    <m:r>
                      <m:rPr>
                        <m:sty m:val="p"/>
                      </m:rPr>
                      <m:t>r</m:t>
                    </m:r>
                    <m:r>
                      <m:rPr>
                        <m:sty m:val="p"/>
                      </m:rPr>
                      <m:t>e</m:t>
                    </m:r>
                    <m:r>
                      <m:rPr>
                        <m:sty m:val="p"/>
                      </m:rPr>
                      <m:t>f</m:t>
                    </m:r>
                  </m:sup>
                </m:sSup>
              </m:e>
            </m:mr>
            <m:mr>
              <m:e/>
              <m:e>
                <m:r>
                  <m:rPr>
                    <m:sty m:val="p"/>
                  </m:rPr>
                  <m:t>=</m:t>
                </m:r>
                <m:r>
                  <m:t>K</m:t>
                </m:r>
                <m:sSub>
                  <m:e>
                    <m:r>
                      <m:t>H</m:t>
                    </m:r>
                  </m:e>
                  <m:sub>
                    <m:r>
                      <m:t>d</m:t>
                    </m:r>
                  </m:sub>
                </m:sSub>
                <m:d>
                  <m:dPr>
                    <m:begChr m:val="("/>
                    <m:endChr m:val=")"/>
                    <m:sepChr m:val=""/>
                    <m:grow/>
                  </m:dPr>
                  <m:e>
                    <m:r>
                      <m:t>I</m:t>
                    </m:r>
                    <m:r>
                      <m:rPr>
                        <m:sty m:val="p"/>
                      </m:rPr>
                      <m:t>−</m:t>
                    </m:r>
                    <m:sSub>
                      <m:e>
                        <m:r>
                          <m:t>G</m:t>
                        </m:r>
                      </m:e>
                      <m:sub>
                        <m:r>
                          <m:t>B</m:t>
                        </m:r>
                      </m:sub>
                    </m:sSub>
                    <m:sSub>
                      <m:e>
                        <m:r>
                          <m:t>P</m:t>
                        </m:r>
                      </m:e>
                      <m:sub>
                        <m:r>
                          <m:t>B</m:t>
                        </m:r>
                      </m:sub>
                    </m:sSub>
                  </m:e>
                </m:d>
                <m:sSubSup>
                  <m:e>
                    <m:r>
                      <m:t>p</m:t>
                    </m:r>
                  </m:e>
                  <m:sub>
                    <m:r>
                      <m:t>d</m:t>
                    </m:r>
                  </m:sub>
                  <m:sup>
                    <m:r>
                      <m:rPr>
                        <m:sty m:val="p"/>
                      </m:rPr>
                      <m:t>r</m:t>
                    </m:r>
                    <m:r>
                      <m:rPr>
                        <m:sty m:val="p"/>
                      </m:rPr>
                      <m:t>e</m:t>
                    </m:r>
                    <m:r>
                      <m:rPr>
                        <m:sty m:val="p"/>
                      </m:rPr>
                      <m:t>f</m:t>
                    </m:r>
                  </m:sup>
                </m:sSubSup>
                <m:r>
                  <m:rPr>
                    <m:sty m:val="p"/>
                  </m:rPr>
                  <m:t>+</m:t>
                </m:r>
                <m:r>
                  <m:t>K</m:t>
                </m:r>
                <m:sSup>
                  <m:e>
                    <m:r>
                      <m:t>b</m:t>
                    </m:r>
                  </m:e>
                  <m:sup>
                    <m:r>
                      <m:t>ϕ</m:t>
                    </m:r>
                  </m:sup>
                </m:sSup>
                <m:r>
                  <m:rPr>
                    <m:sty m:val="p"/>
                  </m:rPr>
                  <m:t>,</m:t>
                </m:r>
              </m:e>
            </m:mr>
            <m:mr>
              <m:e>
                <m:sSub>
                  <m:e>
                    <m:r>
                      <m:t>f</m:t>
                    </m:r>
                  </m:e>
                  <m:sub>
                    <m:r>
                      <m:t>C</m:t>
                    </m:r>
                  </m:sub>
                </m:sSub>
                <m:d>
                  <m:dPr>
                    <m:begChr m:val="("/>
                    <m:endChr m:val=")"/>
                    <m:sepChr m:val=""/>
                    <m:grow/>
                  </m:dPr>
                  <m:e>
                    <m:r>
                      <m:t>N</m:t>
                    </m:r>
                    <m:r>
                      <m:t>P</m:t>
                    </m:r>
                  </m:e>
                </m:d>
              </m:e>
              <m:e>
                <m:r>
                  <m:rPr>
                    <m:sty m:val="p"/>
                  </m:rPr>
                  <m:t>≈</m:t>
                </m:r>
                <m:sSub>
                  <m:e>
                    <m:r>
                      <m:t>Z</m:t>
                    </m:r>
                  </m:e>
                  <m:sub>
                    <m:r>
                      <m:rPr>
                        <m:sty m:val="p"/>
                      </m:rPr>
                      <m:t>F</m:t>
                    </m:r>
                    <m:r>
                      <m:rPr>
                        <m:sty m:val="p"/>
                      </m:rPr>
                      <m:t>B</m:t>
                    </m:r>
                  </m:sub>
                </m:sSub>
                <m:r>
                  <m:t>N</m:t>
                </m:r>
                <m:r>
                  <m:t>P</m:t>
                </m:r>
                <m:r>
                  <m:rPr>
                    <m:sty m:val="p"/>
                  </m:rPr>
                  <m:t>+</m:t>
                </m:r>
                <m:sSub>
                  <m:e>
                    <m:r>
                      <m:t>f</m:t>
                    </m:r>
                  </m:e>
                  <m:sub>
                    <m:r>
                      <m:t>0</m:t>
                    </m:r>
                    <m:r>
                      <m:rPr>
                        <m:sty m:val="p"/>
                      </m:rPr>
                      <m:t>,</m:t>
                    </m:r>
                    <m:r>
                      <m:rPr>
                        <m:sty m:val="p"/>
                      </m:rPr>
                      <m:t>F</m:t>
                    </m:r>
                    <m:r>
                      <m:rPr>
                        <m:sty m:val="p"/>
                      </m:rPr>
                      <m:t>B</m:t>
                    </m:r>
                  </m:sub>
                </m:sSub>
                <m:r>
                  <m:rPr>
                    <m:sty m:val="p"/>
                  </m:rPr>
                  <m:t>.</m:t>
                </m:r>
              </m:e>
            </m:mr>
          </m:m>
        </m:oMath>
      </m:oMathPara>
    </w:p>
    <w:p>
      <w:pPr>
        <w:pStyle w:val="FirstParagraph"/>
      </w:pPr>
      <w:r>
        <w:t xml:space="preserve">Der IoSN-Strukturfluss ist hingegen</w:t>
      </w:r>
      <w:r>
        <w:t xml:space="preserve"> </w:t>
      </w:r>
      <m:oMath>
        <m:sSub>
          <m:e>
            <m:r>
              <m:t>Γ</m:t>
            </m:r>
          </m:e>
          <m:sub>
            <m:r>
              <m:t>T</m:t>
            </m:r>
          </m:sub>
        </m:sSub>
        <m:sSub>
          <m:e>
            <m:r>
              <m:t>H</m:t>
            </m:r>
          </m:e>
          <m:sub>
            <m:r>
              <m:t>d</m:t>
            </m:r>
          </m:sub>
        </m:sSub>
        <m:d>
          <m:dPr>
            <m:begChr m:val="("/>
            <m:endChr m:val=")"/>
            <m:sepChr m:val=""/>
            <m:grow/>
          </m:dPr>
          <m:e>
            <m:r>
              <m:t>I</m:t>
            </m:r>
            <m:r>
              <m:rPr>
                <m:sty m:val="p"/>
              </m:rPr>
              <m:t>−</m:t>
            </m:r>
            <m:sSub>
              <m:e>
                <m:r>
                  <m:t>R</m:t>
                </m:r>
              </m:e>
              <m:sub>
                <m:r>
                  <m:t>T</m:t>
                </m:r>
              </m:sub>
            </m:sSub>
            <m:sSub>
              <m:e>
                <m:r>
                  <m:t>P</m:t>
                </m:r>
              </m:e>
              <m:sub>
                <m:r>
                  <m:t>T</m:t>
                </m:r>
              </m:sub>
            </m:sSub>
          </m:e>
        </m:d>
        <m:sSub>
          <m:e>
            <m:r>
              <m:t>p</m:t>
            </m:r>
          </m:e>
          <m:sub>
            <m:r>
              <m:t>d</m:t>
            </m:r>
          </m:sub>
        </m:sSub>
      </m:oMath>
      <w:r>
        <w:t xml:space="preserve">, also mit</w:t>
      </w:r>
      <w:r>
        <w:t xml:space="preserve"> </w:t>
      </w:r>
      <w:r>
        <w:rPr>
          <w:b/>
          <w:bCs/>
        </w:rPr>
        <w:t xml:space="preserve">anderer Partition, anderem Shift-Key und anderem beobachteten Fluss</w:t>
      </w:r>
      <w:r>
        <w:t xml:space="preserve">. Darüber hinaus sind operative Größen wie</w:t>
      </w:r>
      <w:r>
        <w:t xml:space="preserve"> </w:t>
      </w:r>
      <w:r>
        <w:rPr>
          <w:i/>
          <w:iCs/>
        </w:rPr>
        <w:t xml:space="preserve">F0core/F0all</w:t>
      </w:r>
      <w:r>
        <w:t xml:space="preserve">,</w:t>
      </w:r>
      <w:r>
        <w:t xml:space="preserve"> </w:t>
      </w:r>
      <w:r>
        <w:rPr>
          <w:i/>
          <w:iCs/>
        </w:rPr>
        <w:t xml:space="preserve">FRM</w:t>
      </w:r>
      <w:r>
        <w:t xml:space="preserve">,</w:t>
      </w:r>
      <w:r>
        <w:t xml:space="preserve"> </w:t>
      </w:r>
      <w:r>
        <w:rPr>
          <w:i/>
          <w:iCs/>
        </w:rPr>
        <w:t xml:space="preserve">RAM</w:t>
      </w:r>
      <w:r>
        <w:t xml:space="preserve"> </w:t>
      </w:r>
      <w:r>
        <w:t xml:space="preserve">und</w:t>
      </w:r>
      <w:r>
        <w:t xml:space="preserve"> </w:t>
      </w:r>
      <w:r>
        <w:rPr>
          <w:i/>
          <w:iCs/>
        </w:rPr>
        <w:t xml:space="preserve">Remedial Actions</w:t>
      </w:r>
      <w:r>
        <w:t xml:space="preserve"> </w:t>
      </w:r>
      <w:r>
        <w:t xml:space="preserve">pro Kapazitätsberechnungsregion methodisch zusätzlich spezifiziert. Der theoretische</w:t>
      </w:r>
      <w:r>
        <w:t xml:space="preserve"> </w:t>
      </w:r>
      <m:oMath>
        <m:sSub>
          <m:e>
            <m:r>
              <m:t>f</m:t>
            </m:r>
          </m:e>
          <m:sub>
            <m:r>
              <m:t>0</m:t>
            </m:r>
            <m:r>
              <m:rPr>
                <m:sty m:val="p"/>
              </m:rPr>
              <m:t>,</m:t>
            </m:r>
            <m:r>
              <m:rPr>
                <m:sty m:val="p"/>
              </m:rPr>
              <m:t>F</m:t>
            </m:r>
            <m:r>
              <m:rPr>
                <m:sty m:val="p"/>
              </m:rPr>
              <m:t>B</m:t>
            </m:r>
          </m:sub>
        </m:sSub>
      </m:oMath>
      <w:r>
        <w:t xml:space="preserve"> </w:t>
      </w:r>
      <w:r>
        <w:t xml:space="preserve">darf deshalb nicht einfach mit einem operativ veröffentlichten RAM-Input gleichgesetzt werden.</w:t>
      </w:r>
    </w:p>
    <w:p>
      <w:pPr>
        <w:pStyle w:val="BodyText"/>
      </w:pPr>
      <w:r>
        <w:t xml:space="preserve">Für eine symmetrische vereinfachte thermische Grenze (keine weiteren regulatorischen Anpassungen) erhält man</w:t>
      </w:r>
    </w:p>
    <w:p>
      <w:pPr>
        <w:pStyle w:val="BodyText"/>
      </w:pPr>
      <m:oMathPara>
        <m:oMathParaPr>
          <m:jc m:val="center"/>
        </m:oMathParaPr>
        <m:oMath>
          <m:r>
            <m:rPr>
              <m:sty m:val="p"/>
            </m:rPr>
            <m:t>−</m:t>
          </m:r>
          <m:sSub>
            <m:e>
              <m:bar>
                <m:barPr>
                  <m:pos m:val="top"/>
                </m:barPr>
                <m:e>
                  <m:r>
                    <m:t>f</m:t>
                  </m:r>
                </m:e>
              </m:bar>
            </m:e>
            <m:sub>
              <m:r>
                <m:t>C</m:t>
              </m:r>
            </m:sub>
          </m:sSub>
          <m:r>
            <m:rPr>
              <m:sty m:val="p"/>
            </m:rPr>
            <m:t>≤</m:t>
          </m:r>
          <m:sSub>
            <m:e>
              <m:r>
                <m:t>Z</m:t>
              </m:r>
            </m:e>
            <m:sub>
              <m:r>
                <m:rPr>
                  <m:sty m:val="p"/>
                </m:rPr>
                <m:t>F</m:t>
              </m:r>
              <m:r>
                <m:rPr>
                  <m:sty m:val="p"/>
                </m:rPr>
                <m:t>B</m:t>
              </m:r>
            </m:sub>
          </m:sSub>
          <m:r>
            <m:t>N</m:t>
          </m:r>
          <m:r>
            <m:t>P</m:t>
          </m:r>
          <m:r>
            <m:rPr>
              <m:sty m:val="p"/>
            </m:rPr>
            <m:t>+</m:t>
          </m:r>
          <m:sSub>
            <m:e>
              <m:r>
                <m:t>f</m:t>
              </m:r>
            </m:e>
            <m:sub>
              <m:r>
                <m:t>0</m:t>
              </m:r>
              <m:r>
                <m:rPr>
                  <m:sty m:val="p"/>
                </m:rPr>
                <m:t>,</m:t>
              </m:r>
              <m:r>
                <m:rPr>
                  <m:sty m:val="p"/>
                </m:rPr>
                <m:t>F</m:t>
              </m:r>
              <m:r>
                <m:rPr>
                  <m:sty m:val="p"/>
                </m:rPr>
                <m:t>B</m:t>
              </m:r>
            </m:sub>
          </m:sSub>
          <m:r>
            <m:rPr>
              <m:sty m:val="p"/>
            </m:rPr>
            <m:t>≤</m:t>
          </m:r>
          <m:sSub>
            <m:e>
              <m:bar>
                <m:barPr>
                  <m:pos m:val="top"/>
                </m:barPr>
                <m:e>
                  <m:r>
                    <m:t>f</m:t>
                  </m:r>
                </m:e>
              </m:bar>
            </m:e>
            <m:sub>
              <m:r>
                <m:t>C</m:t>
              </m:r>
            </m:sub>
          </m:sSub>
          <m:r>
            <m:rPr>
              <m:sty m:val="p"/>
            </m:rPr>
            <m:t>,</m:t>
          </m:r>
          <m:r>
            <m:t>  </m:t>
          </m:r>
          <m:sSup>
            <m:e>
              <m:r>
                <m:rPr>
                  <m:sty m:val="b"/>
                </m:rPr>
                <m:t>1</m:t>
              </m:r>
            </m:e>
            <m:sup>
              <m:r>
                <m:rPr>
                  <m:sty m:val="p"/>
                  <m:scr m:val="sans-serif"/>
                </m:rPr>
                <m:t>T</m:t>
              </m:r>
            </m:sup>
          </m:sSup>
          <m:r>
            <m:t>N</m:t>
          </m:r>
          <m:r>
            <m:t>P</m:t>
          </m:r>
          <m:r>
            <m:rPr>
              <m:sty m:val="p"/>
            </m:rPr>
            <m:t>=</m:t>
          </m:r>
          <m:r>
            <m:t>0</m:t>
          </m:r>
          <m:r>
            <m:rPr>
              <m:sty m:val="p"/>
            </m:rPr>
            <m:t>.</m:t>
          </m:r>
        </m:oMath>
      </m:oMathPara>
    </w:p>
    <w:p>
      <w:pPr>
        <w:pStyle w:val="FirstParagraph"/>
      </w:pPr>
      <w:r>
        <w:t xml:space="preserve">Nach Berücksichtigung eines separat definierten Reliability Margins</w:t>
      </w:r>
      <w:r>
        <w:t xml:space="preserve"> </w:t>
      </w:r>
      <m:oMath>
        <m:r>
          <m:t>F</m:t>
        </m:r>
        <m:r>
          <m:t>R</m:t>
        </m:r>
        <m:r>
          <m:t>M</m:t>
        </m:r>
      </m:oMath>
      <w:r>
        <w:t xml:space="preserve"> </w:t>
      </w:r>
      <w:r>
        <w:t xml:space="preserve">entsteht je Richtung ein vereinfachter RAM-Proxy, z. B.</w:t>
      </w:r>
      <w:r>
        <w:t xml:space="preserve"> </w:t>
      </w:r>
      <m:oMath>
        <m:r>
          <m:t>R</m:t>
        </m:r>
        <m:r>
          <m:t>A</m:t>
        </m:r>
        <m:sSubSup>
          <m:e>
            <m:r>
              <m:t>M</m:t>
            </m:r>
          </m:e>
          <m:sub>
            <m:r>
              <m:t>C</m:t>
            </m:r>
          </m:sub>
          <m:sup>
            <m:r>
              <m:rPr>
                <m:sty m:val="p"/>
              </m:rPr>
              <m:t>+</m:t>
            </m:r>
          </m:sup>
        </m:sSubSup>
        <m:r>
          <m:rPr>
            <m:sty m:val="p"/>
          </m:rPr>
          <m:t>=</m:t>
        </m:r>
        <m:sSub>
          <m:e>
            <m:bar>
              <m:barPr>
                <m:pos m:val="top"/>
              </m:barPr>
              <m:e>
                <m:r>
                  <m:t>f</m:t>
                </m:r>
              </m:e>
            </m:bar>
          </m:e>
          <m:sub>
            <m:r>
              <m:t>C</m:t>
            </m:r>
          </m:sub>
        </m:sSub>
        <m:r>
          <m:rPr>
            <m:sty m:val="p"/>
          </m:rPr>
          <m:t>−</m:t>
        </m:r>
        <m:r>
          <m:t>F</m:t>
        </m:r>
        <m:r>
          <m:t>R</m:t>
        </m:r>
        <m:sSub>
          <m:e>
            <m:r>
              <m:t>M</m:t>
            </m:r>
          </m:e>
          <m:sub>
            <m:r>
              <m:t>C</m:t>
            </m:r>
          </m:sub>
        </m:sSub>
        <m:r>
          <m:rPr>
            <m:sty m:val="p"/>
          </m:rPr>
          <m:t>−</m:t>
        </m:r>
        <m:sSub>
          <m:e>
            <m:r>
              <m:t>f</m:t>
            </m:r>
          </m:e>
          <m:sub>
            <m:r>
              <m:t>0</m:t>
            </m:r>
            <m:r>
              <m:rPr>
                <m:sty m:val="p"/>
              </m:rPr>
              <m:t>,</m:t>
            </m:r>
            <m:r>
              <m:rPr>
                <m:sty m:val="p"/>
              </m:rPr>
              <m:t>F</m:t>
            </m:r>
            <m:r>
              <m:rPr>
                <m:sty m:val="p"/>
              </m:rPr>
              <m:t>B</m:t>
            </m:r>
          </m:sub>
        </m:sSub>
      </m:oMath>
      <w:r>
        <w:t xml:space="preserve">. Operatives FBMC enthält weitere regionale Vorgaben und braucht eine eigene Daten-/Regulierungsqualifikation [P3].</w:t>
      </w:r>
    </w:p>
    <w:bookmarkEnd w:id="64"/>
    <w:bookmarkStart w:id="65" w:name="X791f5b82e8c1bee1d0f38641c4d6bbbca9d3e6e"/>
    <w:p>
      <w:pPr>
        <w:pStyle w:val="Heading2"/>
      </w:pPr>
      <w:r>
        <w:t xml:space="preserve">12.3 Wozu die Verbindung wissenschaftlich dient</w:t>
      </w:r>
    </w:p>
    <w:p>
      <w:pPr>
        <w:pStyle w:val="FirstParagraph"/>
      </w:pPr>
      <w:r>
        <w:t xml:space="preserve">Die bisherige Netzreduktion prüft den Fehler im</w:t>
      </w:r>
      <w:r>
        <w:t xml:space="preserve"> </w:t>
      </w:r>
      <w:r>
        <w:rPr>
          <w:b/>
          <w:bCs/>
        </w:rPr>
        <w:t xml:space="preserve">summierten Flussraum</w:t>
      </w:r>
      <w:r>
        <w:t xml:space="preserve">. FBMC ergänzt einen Test der</w:t>
      </w:r>
      <w:r>
        <w:t xml:space="preserve"> </w:t>
      </w:r>
      <w:r>
        <w:rPr>
          <w:b/>
          <w:bCs/>
        </w:rPr>
        <w:t xml:space="preserve">kritischen Leitungs- und Kontingenzsensitivitäten</w:t>
      </w:r>
      <w:r>
        <w:t xml:space="preserve">. Ein Zonennetz kann kleine Schnittflussfehler aufweisen und dennoch wichtige interne CNEC-Sensitivitäten ungenau abbilden. Deshalb sind für die Validierung beide Metrikfamilien erforderlich:</w:t>
      </w:r>
    </w:p>
    <w:p>
      <w:pPr>
        <w:pStyle w:val="BodyText"/>
      </w:pPr>
      <m:oMathPara>
        <m:oMathParaPr>
          <m:jc m:val="center"/>
        </m:oMathParaPr>
        <m:oMath>
          <m:sSub>
            <m:e>
              <m:r>
                <m:t>ε</m:t>
              </m:r>
            </m:e>
            <m:sub>
              <m:r>
                <m:rPr>
                  <m:sty m:val="p"/>
                </m:rPr>
                <m:t>c</m:t>
              </m:r>
              <m:r>
                <m:rPr>
                  <m:sty m:val="p"/>
                </m:rPr>
                <m:t>u</m:t>
              </m:r>
              <m:r>
                <m:rPr>
                  <m:sty m:val="p"/>
                </m:rPr>
                <m:t>t</m:t>
              </m:r>
            </m:sub>
          </m:sSub>
          <m:r>
            <m:rPr>
              <m:sty m:val="p"/>
            </m:rPr>
            <m:t>=</m:t>
          </m:r>
          <m:r>
            <m:rPr>
              <m:sty m:val="p"/>
            </m:rPr>
            <m:t>∥</m:t>
          </m:r>
          <m:sSub>
            <m:e>
              <m:acc>
                <m:accPr>
                  <m:chr m:val="̂"/>
                </m:accPr>
                <m:e>
                  <m:r>
                    <m:t>f</m:t>
                  </m:r>
                </m:e>
              </m:acc>
            </m:e>
            <m:sub>
              <m:r>
                <m:t>z</m:t>
              </m:r>
            </m:sub>
          </m:sSub>
          <m:r>
            <m:rPr>
              <m:sty m:val="p"/>
            </m:rPr>
            <m:t>−</m:t>
          </m:r>
          <m:r>
            <m:t>Γ</m:t>
          </m:r>
          <m:sSub>
            <m:e>
              <m:r>
                <m:t>f</m:t>
              </m:r>
            </m:e>
            <m:sub>
              <m:r>
                <m:t>d</m:t>
              </m:r>
            </m:sub>
          </m:sSub>
          <m:r>
            <m:rPr>
              <m:sty m:val="p"/>
            </m:rPr>
            <m:t>∥</m:t>
          </m:r>
          <m:r>
            <m:rPr>
              <m:sty m:val="p"/>
            </m:rPr>
            <m:t>,</m:t>
          </m:r>
          <m:r>
            <m:t>  </m:t>
          </m:r>
          <m:sSub>
            <m:e>
              <m:r>
                <m:t>ε</m:t>
              </m:r>
            </m:e>
            <m:sub>
              <m:r>
                <m:rPr>
                  <m:sty m:val="p"/>
                </m:rPr>
                <m:t>C</m:t>
              </m:r>
              <m:r>
                <m:rPr>
                  <m:sty m:val="p"/>
                </m:rPr>
                <m:t>N</m:t>
              </m:r>
              <m:r>
                <m:rPr>
                  <m:sty m:val="p"/>
                </m:rPr>
                <m:t>E</m:t>
              </m:r>
              <m:r>
                <m:rPr>
                  <m:sty m:val="p"/>
                </m:rPr>
                <m:t>C</m:t>
              </m:r>
            </m:sub>
          </m:sSub>
          <m:r>
            <m:rPr>
              <m:sty m:val="p"/>
            </m:rPr>
            <m:t>=</m:t>
          </m:r>
          <m:r>
            <m:rPr>
              <m:sty m:val="p"/>
            </m:rPr>
            <m:t>∥</m:t>
          </m:r>
          <m:sSub>
            <m:e>
              <m:acc>
                <m:accPr>
                  <m:chr m:val="̂"/>
                </m:accPr>
                <m:e>
                  <m:r>
                    <m:t>H</m:t>
                  </m:r>
                </m:e>
              </m:acc>
            </m:e>
            <m:sub>
              <m:r>
                <m:t>C</m:t>
              </m:r>
            </m:sub>
          </m:sSub>
          <m:r>
            <m:rPr>
              <m:sty m:val="p"/>
            </m:rPr>
            <m:t>−</m:t>
          </m:r>
          <m:sSub>
            <m:e>
              <m:r>
                <m:t>H</m:t>
              </m:r>
            </m:e>
            <m:sub>
              <m:r>
                <m:t>C</m:t>
              </m:r>
            </m:sub>
          </m:sSub>
          <m:r>
            <m:rPr>
              <m:sty m:val="p"/>
            </m:rPr>
            <m:t>∥</m:t>
          </m:r>
          <m:r>
            <m:rPr>
              <m:sty m:val="p"/>
            </m:rPr>
            <m:t>,</m:t>
          </m:r>
        </m:oMath>
      </m:oMathPara>
    </w:p>
    <w:p>
      <w:pPr>
        <w:pStyle w:val="FirstParagraph"/>
      </w:pPr>
      <w:r>
        <w:t xml:space="preserve">wobei die zweite Norm nur bei kompatiblen Zonen, identischen GSK-Hypothesen und demselben CNEC-Satz sinnvoll ist. Die Marktregion wird</w:t>
      </w:r>
      <w:r>
        <w:t xml:space="preserve"> </w:t>
      </w:r>
      <w:r>
        <w:rPr>
          <w:b/>
          <w:bCs/>
        </w:rPr>
        <w:t xml:space="preserve">zusätzlich</w:t>
      </w:r>
      <w:r>
        <w:t xml:space="preserve"> </w:t>
      </w:r>
      <w:r>
        <w:t xml:space="preserve">durch falsch sichere/zu restriktive Nettohandelspositionen bewertet. Eine einzelne IoSN-Ersatzkapazität ist</w:t>
      </w:r>
      <w:r>
        <w:t xml:space="preserve"> </w:t>
      </w:r>
      <w:r>
        <w:rPr>
          <w:b/>
          <w:bCs/>
        </w:rPr>
        <w:t xml:space="preserve">nicht</w:t>
      </w:r>
      <w:r>
        <w:t xml:space="preserve"> </w:t>
      </w:r>
      <w:r>
        <w:t xml:space="preserve">automatisch RAM und kann nicht anstelle des vollständigen CNEC-Polyeders in den Core-Marktprozess eingebaut werden.</w:t>
      </w:r>
    </w:p>
    <w:p>
      <w:pPr>
        <w:pStyle w:val="BodyText"/>
      </w:pPr>
      <w:r>
        <w:rPr>
          <w:b/>
          <w:bCs/>
        </w:rPr>
        <w:t xml:space="preserve">IoSN-Abgleich:</w:t>
      </w:r>
      <w:r>
        <w:t xml:space="preserve"> </w:t>
      </w:r>
      <w:r>
        <w:t xml:space="preserve">In [E1, S. 22] wird das zonale Modell als näher an flow-based physikalischem Verhalten als ein reines NTC-Modell charakterisiert. Die hier behandelte CNEC-/GSK-Mathematik ist eine</w:t>
      </w:r>
      <w:r>
        <w:t xml:space="preserve"> </w:t>
      </w:r>
      <w:r>
        <w:rPr>
          <w:b/>
          <w:bCs/>
        </w:rPr>
        <w:t xml:space="preserve">theoretische Querbeziehung</w:t>
      </w:r>
      <w:r>
        <w:t xml:space="preserve">, keine Aussage, dass die IoSN denselben Algorithmus wie Core-FBMC verwendet.</w:t>
      </w:r>
    </w:p>
    <w:bookmarkEnd w:id="65"/>
    <w:bookmarkEnd w:id="66"/>
    <w:bookmarkStart w:id="67" w:name="X09a10cb2b0b50f57b79435b60f86137ccf0e429"/>
    <w:p>
      <w:pPr>
        <w:pStyle w:val="Heading1"/>
      </w:pPr>
      <w:r>
        <w:t xml:space="preserve">13. Rolle der reduzierten Netze im IoSN-Ausbauproblem</w:t>
      </w:r>
    </w:p>
    <w:p>
      <w:pPr>
        <w:pStyle w:val="FirstParagraph"/>
      </w:pPr>
      <w:r>
        <w:rPr>
          <w:b/>
          <w:bCs/>
        </w:rPr>
        <w:t xml:space="preserve">[D]</w:t>
      </w:r>
      <w:r>
        <w:t xml:space="preserve"> </w:t>
      </w:r>
      <w:r>
        <w:t xml:space="preserve">Abschnitt 3.9 unterscheidet die ursprüngliche IoSN-Ausbauoptimierung im</w:t>
      </w:r>
      <w:r>
        <w:t xml:space="preserve"> </w:t>
      </w:r>
      <w:r>
        <w:rPr>
          <w:b/>
          <w:bCs/>
        </w:rPr>
        <w:t xml:space="preserve">Load-Flow-Modus</w:t>
      </w:r>
      <w:r>
        <w:t xml:space="preserve"> </w:t>
      </w:r>
      <w:r>
        <w:t xml:space="preserve">(physikalische Maschengleichungen, aber spezifisch behandelte interne Kapazitätsgrenzen) von nachgelagerten Dispatch-/OPF-Untersuchungen mit expliziten inneren Beschränkungen. Der Originaltext ist in einem Detail terminologisch unscharf: Er nennt einerseits aktivierte grenzüberschreitende Kapazitäten, andererseits unendliche „interzone capacities“ im LF-Modus. Eine reproduzierbare Umsetzung muss daher</w:t>
      </w:r>
      <w:r>
        <w:t xml:space="preserve"> </w:t>
      </w:r>
      <w:r>
        <w:rPr>
          <w:b/>
          <w:bCs/>
        </w:rPr>
        <w:t xml:space="preserve">für jede Ersatzverbindung</w:t>
      </w:r>
      <w:r>
        <w:t xml:space="preserve"> </w:t>
      </w:r>
      <w:r>
        <w:t xml:space="preserve">festlegen, ob ihre Grenze im LF-Ausbauschritt, in der OPF-Validierung oder in beiden aktiv ist [E1, S. 29].</w:t>
      </w:r>
    </w:p>
    <w:p>
      <w:pPr>
        <w:pStyle w:val="BodyText"/>
      </w:pPr>
      <w:r>
        <w:t xml:space="preserve">Die IoSN-Ersatzkapazitäten sind damit</w:t>
      </w:r>
      <w:r>
        <w:t xml:space="preserve"> </w:t>
      </w:r>
      <w:r>
        <w:rPr>
          <w:b/>
          <w:bCs/>
        </w:rPr>
        <w:t xml:space="preserve">Modellparameter</w:t>
      </w:r>
      <w:r>
        <w:t xml:space="preserve">, deren Verwendung vom Ausbauschritt abhängt. Ein verbesserter N-1-Kapazitätsschätzer erhöht nicht automatisch die Qualität der LF-Ausbauentscheidung, wenn dessen interne Restriktionen bewusst nicht bindend gesetzt werden. Deshalb müssen Netzreduktionsfehler auch anhand ihrer Auswirkungen auf Netzausbau-, Redispatch- und Wohlfahrtsindikatoren geprüft werden.</w:t>
      </w:r>
    </w:p>
    <w:bookmarkEnd w:id="67"/>
    <w:bookmarkStart w:id="71" w:name="X74e2db05be47a47b1729dc8e1095a8010519705"/>
    <w:p>
      <w:pPr>
        <w:pStyle w:val="Heading1"/>
      </w:pPr>
      <w:r>
        <w:t xml:space="preserve">14. Durchgehender wissenschaftlicher Methodenvergleich</w:t>
      </w:r>
    </w:p>
    <w:bookmarkStart w:id="68" w:name="clustering-und-räumliche-aggregation"/>
    <w:p>
      <w:pPr>
        <w:pStyle w:val="Heading2"/>
      </w:pPr>
      <w:r>
        <w:t xml:space="preserve">14.1 Clustering und räumliche Aggregation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Ansatz</w:t>
            </w:r>
          </w:p>
        </w:tc>
        <w:tc>
          <w:tcPr/>
          <w:p>
            <w:pPr>
              <w:pStyle w:val="Compact"/>
              <w:jc w:val="left"/>
            </w:pPr>
            <w:r>
              <w:t xml:space="preserve">Stärken</w:t>
            </w:r>
          </w:p>
        </w:tc>
        <w:tc>
          <w:tcPr/>
          <w:p>
            <w:pPr>
              <w:pStyle w:val="Compact"/>
              <w:jc w:val="left"/>
            </w:pPr>
            <w:r>
              <w:t xml:space="preserve">Schwächen</w:t>
            </w:r>
          </w:p>
        </w:tc>
        <w:tc>
          <w:tcPr/>
          <w:p>
            <w:pPr>
              <w:pStyle w:val="Compact"/>
              <w:jc w:val="left"/>
            </w:pPr>
            <w:r>
              <w:t xml:space="preserve">Nähe zur IoSN</w:t>
            </w:r>
          </w:p>
        </w:tc>
      </w:tr>
      <w:tr>
        <w:tc>
          <w:tcPr/>
          <w:p>
            <w:pPr>
              <w:pStyle w:val="Compact"/>
              <w:jc w:val="left"/>
            </w:pPr>
            <w:r>
              <w:t xml:space="preserve">A: Dispatch/Überlastung</w:t>
            </w:r>
          </w:p>
        </w:tc>
        <w:tc>
          <w:tcPr/>
          <w:p>
            <w:pPr>
              <w:pStyle w:val="Compact"/>
              <w:jc w:val="left"/>
            </w:pPr>
            <w:r>
              <w:t xml:space="preserve">Relevanz für reale Engpässe; vollständiger Betriebszustand</w:t>
            </w:r>
          </w:p>
        </w:tc>
        <w:tc>
          <w:tcPr/>
          <w:p>
            <w:pPr>
              <w:pStyle w:val="Compact"/>
              <w:jc w:val="left"/>
            </w:pPr>
            <w:r>
              <w:t xml:space="preserve">Marktdispatch- und Redispatchabhängigkeit</w:t>
            </w:r>
          </w:p>
        </w:tc>
        <w:tc>
          <w:tcPr/>
          <w:p>
            <w:pPr>
              <w:pStyle w:val="Compact"/>
              <w:jc w:val="left"/>
            </w:pPr>
            <w:r>
              <w:rPr>
                <w:b/>
                <w:bCs/>
              </w:rPr>
              <w:t xml:space="preserve">Hoch</w:t>
            </w:r>
            <w:r>
              <w:t xml:space="preserve"> </w:t>
            </w:r>
            <w:r>
              <w:t xml:space="preserve">für Kriterium; Algorithmus nur rekonstruiert</w:t>
            </w:r>
          </w:p>
        </w:tc>
      </w:tr>
      <w:tr>
        <w:tc>
          <w:tcPr/>
          <w:p>
            <w:pPr>
              <w:pStyle w:val="Compact"/>
              <w:jc w:val="left"/>
            </w:pPr>
            <w:r>
              <w:t xml:space="preserve">B: RES/Last-Belastung</w:t>
            </w:r>
          </w:p>
        </w:tc>
        <w:tc>
          <w:tcPr/>
          <w:p>
            <w:pPr>
              <w:pStyle w:val="Compact"/>
              <w:jc w:val="left"/>
            </w:pPr>
            <w:r>
              <w:t xml:space="preserve">Exogene strukturelle Korridore; schließt nicht überlastete Leitungen ein</w:t>
            </w:r>
          </w:p>
        </w:tc>
        <w:tc>
          <w:tcPr/>
          <w:p>
            <w:pPr>
              <w:pStyle w:val="Compact"/>
              <w:jc w:val="left"/>
            </w:pPr>
            <w:r>
              <w:t xml:space="preserve">Bilanzkonvention, ausgelassene Transit-/Flexflüsse</w:t>
            </w:r>
          </w:p>
        </w:tc>
        <w:tc>
          <w:tcPr/>
          <w:p>
            <w:pPr>
              <w:pStyle w:val="Compact"/>
              <w:jc w:val="left"/>
            </w:pPr>
            <w:r>
              <w:rPr>
                <w:b/>
                <w:bCs/>
              </w:rPr>
              <w:t xml:space="preserve">Abweichende Alternative</w:t>
            </w:r>
          </w:p>
        </w:tc>
      </w:tr>
      <w:tr>
        <w:tc>
          <w:tcPr/>
          <w:p>
            <w:pPr>
              <w:pStyle w:val="Compact"/>
              <w:jc w:val="left"/>
            </w:pPr>
            <m:oMath>
              <m:r>
                <m:t>P</m:t>
              </m:r>
              <m:r>
                <m:rPr>
                  <m:sty m:val="p"/>
                </m:rPr>
                <m:t>,</m:t>
              </m:r>
              <m:r>
                <m:t>Γ</m:t>
              </m:r>
            </m:oMath>
            <w:r>
              <w:t xml:space="preserve">-Aggregation</w:t>
            </w:r>
          </w:p>
        </w:tc>
        <w:tc>
          <w:tcPr/>
          <w:p>
            <w:pPr>
              <w:pStyle w:val="Compact"/>
              <w:jc w:val="left"/>
            </w:pPr>
            <w:r>
              <w:t xml:space="preserve">Exakte zonale Bilanz; lineare Sparse-Operatoren</w:t>
            </w:r>
          </w:p>
        </w:tc>
        <w:tc>
          <w:tcPr/>
          <w:p>
            <w:pPr>
              <w:pStyle w:val="Compact"/>
              <w:jc w:val="left"/>
            </w:pPr>
            <w:r>
              <w:t xml:space="preserve">Keine KVL-/N-1-Garantie</w:t>
            </w:r>
          </w:p>
        </w:tc>
        <w:tc>
          <w:tcPr/>
          <w:p>
            <w:pPr>
              <w:pStyle w:val="Compact"/>
              <w:jc w:val="left"/>
            </w:pPr>
            <w:r>
              <w:rPr>
                <w:b/>
                <w:bCs/>
              </w:rPr>
              <w:t xml:space="preserve">Kompatible Formalisierung</w:t>
            </w:r>
          </w:p>
        </w:tc>
      </w:tr>
      <w:tr>
        <w:tc>
          <w:tcPr/>
          <w:p>
            <w:pPr>
              <w:pStyle w:val="Compact"/>
              <w:jc w:val="left"/>
            </w:pPr>
            <w:r>
              <w:t xml:space="preserve">Technologie-</w:t>
            </w:r>
            <m:oMath>
              <m:sSub>
                <m:e>
                  <m:r>
                    <m:t>R</m:t>
                  </m:r>
                </m:e>
                <m:sub>
                  <m:r>
                    <m:t>k</m:t>
                  </m:r>
                </m:sub>
              </m:sSub>
            </m:oMath>
          </w:p>
        </w:tc>
        <w:tc>
          <w:tcPr/>
          <w:p>
            <w:pPr>
              <w:pStyle w:val="Compact"/>
              <w:jc w:val="left"/>
            </w:pPr>
            <w:r>
              <w:t xml:space="preserve">Explizite räumliche PV-/Wind-/Lastinformation</w:t>
            </w:r>
          </w:p>
        </w:tc>
        <w:tc>
          <w:tcPr/>
          <w:p>
            <w:pPr>
              <w:pStyle w:val="Compact"/>
              <w:jc w:val="left"/>
            </w:pPr>
            <w:r>
              <w:t xml:space="preserve">Zeitvariable, nicht eindeutig bei Nullverfügbarkeit</w:t>
            </w:r>
          </w:p>
        </w:tc>
        <w:tc>
          <w:tcPr/>
          <w:p>
            <w:pPr>
              <w:pStyle w:val="Compact"/>
              <w:jc w:val="left"/>
            </w:pPr>
            <w:r>
              <w:rPr>
                <w:b/>
                <w:bCs/>
              </w:rPr>
              <w:t xml:space="preserve">Erweiterung</w:t>
            </w:r>
            <w:r>
              <w:t xml:space="preserve"> </w:t>
            </w:r>
            <w:r>
              <w:t xml:space="preserve">der strukturellen Korrektur</w:t>
            </w:r>
          </w:p>
        </w:tc>
      </w:tr>
      <w:tr>
        <w:tc>
          <w:tcPr/>
          <w:p>
            <w:pPr>
              <w:pStyle w:val="Compact"/>
              <w:jc w:val="left"/>
            </w:pPr>
            <w:r>
              <w:t xml:space="preserve">Kosten-/Kapazitäts-</w:t>
            </w:r>
            <m:oMath>
              <m:r>
                <m:t>R</m:t>
              </m:r>
            </m:oMath>
          </w:p>
        </w:tc>
        <w:tc>
          <w:tcPr/>
          <w:p>
            <w:pPr>
              <w:pStyle w:val="Compact"/>
              <w:jc w:val="left"/>
            </w:pPr>
            <w:r>
              <w:t xml:space="preserve">Transparente, testbare Referenzen</w:t>
            </w:r>
          </w:p>
        </w:tc>
        <w:tc>
          <w:tcPr/>
          <w:p>
            <w:pPr>
              <w:pStyle w:val="Compact"/>
              <w:jc w:val="left"/>
            </w:pPr>
            <w:r>
              <w:t xml:space="preserve">Kostenproxy nicht gleich marginalem Einsatz</w:t>
            </w:r>
          </w:p>
        </w:tc>
        <w:tc>
          <w:tcPr/>
          <w:p>
            <w:pPr>
              <w:pStyle w:val="Compact"/>
              <w:jc w:val="left"/>
            </w:pPr>
            <w:r>
              <w:rPr>
                <w:b/>
                <w:bCs/>
              </w:rPr>
              <w:t xml:space="preserve">Nicht vorgeschrieben</w:t>
            </w:r>
          </w:p>
        </w:tc>
      </w:tr>
      <w:tr>
        <w:tc>
          <w:tcPr/>
          <w:p>
            <w:pPr>
              <w:pStyle w:val="Compact"/>
              <w:jc w:val="left"/>
            </w:pPr>
            <w:r>
              <w:t xml:space="preserve">Ersatzknoten</w:t>
            </w:r>
          </w:p>
        </w:tc>
        <w:tc>
          <w:tcPr/>
          <w:p>
            <w:pPr>
              <w:pStyle w:val="Compact"/>
              <w:jc w:val="left"/>
            </w:pPr>
            <w:r>
              <w:t xml:space="preserve">Interpretierbar, reduziert Modellkomplexität</w:t>
            </w:r>
          </w:p>
        </w:tc>
        <w:tc>
          <w:tcPr/>
          <w:p>
            <w:pPr>
              <w:pStyle w:val="Compact"/>
              <w:jc w:val="left"/>
            </w:pPr>
            <w:r>
              <w:t xml:space="preserve">Zusätzlicher PTDF-Fehler</w:t>
            </w:r>
          </w:p>
        </w:tc>
        <w:tc>
          <w:tcPr/>
          <w:p>
            <w:pPr>
              <w:pStyle w:val="Compact"/>
              <w:jc w:val="left"/>
            </w:pPr>
            <w:r>
              <w:rPr>
                <w:b/>
                <w:bCs/>
              </w:rPr>
              <w:t xml:space="preserve">Nicht vorgeschrieben</w:t>
            </w:r>
          </w:p>
        </w:tc>
      </w:tr>
    </w:tbl>
    <w:bookmarkEnd w:id="68"/>
    <w:bookmarkStart w:id="69" w:name="elektrische-reduktion-und-sicherheit"/>
    <w:p>
      <w:pPr>
        <w:pStyle w:val="Heading2"/>
      </w:pPr>
      <w:r>
        <w:t xml:space="preserve">14.2 Elektrische Reduktion und Sicherheit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Ansatz</w:t>
            </w:r>
          </w:p>
        </w:tc>
        <w:tc>
          <w:tcPr/>
          <w:p>
            <w:pPr>
              <w:pStyle w:val="Compact"/>
              <w:jc w:val="left"/>
            </w:pPr>
            <w:r>
              <w:t xml:space="preserve">Stärken</w:t>
            </w:r>
          </w:p>
        </w:tc>
        <w:tc>
          <w:tcPr/>
          <w:p>
            <w:pPr>
              <w:pStyle w:val="Compact"/>
              <w:jc w:val="left"/>
            </w:pPr>
            <w:r>
              <w:t xml:space="preserve">Schwächen</w:t>
            </w:r>
          </w:p>
        </w:tc>
        <w:tc>
          <w:tcPr/>
          <w:p>
            <w:pPr>
              <w:pStyle w:val="Compact"/>
              <w:jc w:val="left"/>
            </w:pPr>
            <w:r>
              <w:t xml:space="preserve">Nähe zur IoSN</w:t>
            </w:r>
          </w:p>
        </w:tc>
      </w:tr>
      <w:tr>
        <w:tc>
          <w:tcPr/>
          <w:p>
            <w:pPr>
              <w:pStyle w:val="Compact"/>
              <w:jc w:val="left"/>
            </w:pPr>
            <w:r>
              <w:t xml:space="preserve">Ersatz-</w:t>
            </w:r>
            <m:oMath>
              <m:r>
                <m:t>x</m:t>
              </m:r>
            </m:oMath>
            <w:r>
              <w:t xml:space="preserve"> </w:t>
            </w:r>
            <w:r>
              <w:t xml:space="preserve">und</w:t>
            </w:r>
            <w:r>
              <w:t xml:space="preserve"> </w:t>
            </w:r>
            <m:oMath>
              <m:sSup>
                <m:e>
                  <m:r>
                    <m:t>c</m:t>
                  </m:r>
                </m:e>
                <m:sup>
                  <m:r>
                    <m:t>0</m:t>
                  </m:r>
                </m:sup>
              </m:sSup>
            </m:oMath>
          </w:p>
        </w:tc>
        <w:tc>
          <w:tcPr/>
          <w:p>
            <w:pPr>
              <w:pStyle w:val="Compact"/>
              <w:jc w:val="left"/>
            </w:pPr>
            <w:r>
              <w:t xml:space="preserve">Vermaschtes, kompaktes Wirkflussmodell</w:t>
            </w:r>
          </w:p>
        </w:tc>
        <w:tc>
          <w:tcPr/>
          <w:p>
            <w:pPr>
              <w:pStyle w:val="Compact"/>
              <w:jc w:val="left"/>
            </w:pPr>
            <w:r>
              <w:t xml:space="preserve">Nicht eindeutige Identifikation; affine Semantik</w:t>
            </w:r>
          </w:p>
        </w:tc>
        <w:tc>
          <w:tcPr/>
          <w:p>
            <w:pPr>
              <w:pStyle w:val="Compact"/>
              <w:jc w:val="left"/>
            </w:pPr>
            <w:r>
              <w:rPr>
                <w:b/>
                <w:bCs/>
              </w:rPr>
              <w:t xml:space="preserve">Direkt angelegt</w:t>
            </w:r>
          </w:p>
        </w:tc>
      </w:tr>
      <w:tr>
        <w:tc>
          <w:tcPr/>
          <w:p>
            <w:pPr>
              <w:pStyle w:val="Compact"/>
              <w:jc w:val="left"/>
            </w:pPr>
            <w:r>
              <w:t xml:space="preserve">K1: stündliche N-1-Ersatzkapazität</w:t>
            </w:r>
          </w:p>
        </w:tc>
        <w:tc>
          <w:tcPr/>
          <w:p>
            <w:pPr>
              <w:pStyle w:val="Compact"/>
              <w:jc w:val="left"/>
            </w:pPr>
            <w:r>
              <w:t xml:space="preserve">Vier markt-/wetterbezogene Linkgrenzen</w:t>
            </w:r>
          </w:p>
        </w:tc>
        <w:tc>
          <w:tcPr/>
          <w:p>
            <w:pPr>
              <w:pStyle w:val="Compact"/>
              <w:jc w:val="left"/>
            </w:pPr>
            <w:r>
              <w:t xml:space="preserve">Stützstellen- und Korrelationsabhängigkeit</w:t>
            </w:r>
          </w:p>
        </w:tc>
        <w:tc>
          <w:tcPr/>
          <w:p>
            <w:pPr>
              <w:pStyle w:val="Compact"/>
              <w:jc w:val="left"/>
            </w:pPr>
            <w:r>
              <w:rPr>
                <w:b/>
                <w:bCs/>
              </w:rPr>
              <w:t xml:space="preserve">Direkt dokumentiert</w:t>
            </w:r>
          </w:p>
        </w:tc>
      </w:tr>
      <w:tr>
        <w:tc>
          <w:tcPr/>
          <w:p>
            <w:pPr>
              <w:pStyle w:val="Compact"/>
              <w:jc w:val="left"/>
            </w:pPr>
            <w:r>
              <w:t xml:space="preserve">K2: vollständige CNEC-Polyederprojektion</w:t>
            </w:r>
          </w:p>
        </w:tc>
        <w:tc>
          <w:tcPr/>
          <w:p>
            <w:pPr>
              <w:pStyle w:val="Compact"/>
              <w:jc w:val="left"/>
            </w:pPr>
            <w:r>
              <w:t xml:space="preserve">Konditional exakte Sicherheit im DC-Modell</w:t>
            </w:r>
          </w:p>
        </w:tc>
        <w:tc>
          <w:tcPr/>
          <w:p>
            <w:pPr>
              <w:pStyle w:val="Compact"/>
              <w:jc w:val="left"/>
            </w:pPr>
            <w:r>
              <w:t xml:space="preserve">Viele Restriktionen;</w:t>
            </w:r>
            <w:r>
              <w:t xml:space="preserve"> </w:t>
            </w:r>
            <m:oMath>
              <m:r>
                <m:t>R</m:t>
              </m:r>
              <m:r>
                <m:rPr>
                  <m:sty m:val="p"/>
                </m:rPr>
                <m:t>,</m:t>
              </m:r>
              <m:r>
                <m:t>u</m:t>
              </m:r>
            </m:oMath>
            <w:r>
              <w:t xml:space="preserve"> </w:t>
            </w:r>
            <w:r>
              <w:t xml:space="preserve">erforderlich</w:t>
            </w:r>
          </w:p>
        </w:tc>
        <w:tc>
          <w:tcPr/>
          <w:p>
            <w:pPr>
              <w:pStyle w:val="Compact"/>
              <w:jc w:val="left"/>
            </w:pPr>
            <w:r>
              <w:rPr>
                <w:b/>
                <w:bCs/>
              </w:rPr>
              <w:t xml:space="preserve">Erweiterung</w:t>
            </w:r>
          </w:p>
        </w:tc>
      </w:tr>
      <w:tr>
        <w:tc>
          <w:tcPr/>
          <w:p>
            <w:pPr>
              <w:pStyle w:val="Compact"/>
              <w:jc w:val="left"/>
            </w:pPr>
            <w:r>
              <w:t xml:space="preserve">K3: robuste Derating-Box</w:t>
            </w:r>
          </w:p>
        </w:tc>
        <w:tc>
          <w:tcPr/>
          <w:p>
            <w:pPr>
              <w:pStyle w:val="Compact"/>
              <w:jc w:val="left"/>
            </w:pPr>
            <w:r>
              <w:t xml:space="preserve">Geringe Rechenlast; konservativ sicher</w:t>
            </w:r>
          </w:p>
        </w:tc>
        <w:tc>
          <w:tcPr/>
          <w:p>
            <w:pPr>
              <w:pStyle w:val="Compact"/>
              <w:jc w:val="left"/>
            </w:pPr>
            <w:r>
              <w:t xml:space="preserve">Häufig restriktiver als notwendig</w:t>
            </w:r>
          </w:p>
        </w:tc>
        <w:tc>
          <w:tcPr/>
          <w:p>
            <w:pPr>
              <w:pStyle w:val="Compact"/>
              <w:jc w:val="left"/>
            </w:pPr>
            <w:r>
              <w:rPr>
                <w:b/>
                <w:bCs/>
              </w:rPr>
              <w:t xml:space="preserve">Alternative</w:t>
            </w:r>
          </w:p>
        </w:tc>
      </w:tr>
      <w:tr>
        <w:tc>
          <w:tcPr/>
          <w:p>
            <w:pPr>
              <w:pStyle w:val="Compact"/>
              <w:jc w:val="left"/>
            </w:pPr>
            <w:r>
              <w:t xml:space="preserve">Woodbury/duale LODF</w:t>
            </w:r>
          </w:p>
        </w:tc>
        <w:tc>
          <w:tcPr/>
          <w:p>
            <w:pPr>
              <w:pStyle w:val="Compact"/>
              <w:jc w:val="left"/>
            </w:pPr>
            <w:r>
              <w:t xml:space="preserve">Potenziell schnellere Sensitivitätsberechnung</w:t>
            </w:r>
          </w:p>
        </w:tc>
        <w:tc>
          <w:tcPr/>
          <w:p>
            <w:pPr>
              <w:pStyle w:val="Compact"/>
              <w:jc w:val="left"/>
            </w:pPr>
            <w:r>
              <w:t xml:space="preserve">Insel-/Sparse-/Benchmarkbedarf</w:t>
            </w:r>
          </w:p>
        </w:tc>
        <w:tc>
          <w:tcPr/>
          <w:p>
            <w:pPr>
              <w:pStyle w:val="Compact"/>
              <w:jc w:val="left"/>
            </w:pPr>
            <w:r>
              <w:rPr>
                <w:b/>
                <w:bCs/>
              </w:rPr>
              <w:t xml:space="preserve">Rechentechnik</w:t>
            </w:r>
            <w:r>
              <w:t xml:space="preserve">, nicht IoSN-Vorgabe</w:t>
            </w:r>
          </w:p>
        </w:tc>
      </w:tr>
      <w:tr>
        <w:tc>
          <w:tcPr/>
          <w:p>
            <w:pPr>
              <w:pStyle w:val="Compact"/>
              <w:jc w:val="left"/>
            </w:pPr>
            <w:r>
              <w:t xml:space="preserve">FBMC-GSK/CNEC</w:t>
            </w:r>
          </w:p>
        </w:tc>
        <w:tc>
          <w:tcPr/>
          <w:p>
            <w:pPr>
              <w:pStyle w:val="Compact"/>
              <w:jc w:val="left"/>
            </w:pPr>
            <w:r>
              <w:t xml:space="preserve">Handelsrelevante Sensitivitäten und Sicherheit</w:t>
            </w:r>
          </w:p>
        </w:tc>
        <w:tc>
          <w:tcPr/>
          <w:p>
            <w:pPr>
              <w:pStyle w:val="Compact"/>
              <w:jc w:val="left"/>
            </w:pPr>
            <w:r>
              <w:t xml:space="preserve">Andere Zonen und operative RAM-Semantik</w:t>
            </w:r>
          </w:p>
        </w:tc>
        <w:tc>
          <w:tcPr/>
          <w:p>
            <w:pPr>
              <w:pStyle w:val="Compact"/>
              <w:jc w:val="left"/>
            </w:pPr>
            <w:r>
              <w:rPr>
                <w:b/>
                <w:bCs/>
              </w:rPr>
              <w:t xml:space="preserve">Benachbarte Anwendung</w:t>
            </w:r>
          </w:p>
        </w:tc>
      </w:tr>
    </w:tbl>
    <w:bookmarkEnd w:id="69"/>
    <w:bookmarkStart w:id="70" w:name="wesentliche-nicht-äquivalenzen"/>
    <w:p>
      <w:pPr>
        <w:pStyle w:val="Heading2"/>
      </w:pPr>
      <w:r>
        <w:t xml:space="preserve">14.3 Wesentliche Nicht-Äquivalenzen</w:t>
      </w:r>
    </w:p>
    <w:p>
      <w:pPr>
        <w:pStyle w:val="Compact"/>
        <w:numPr>
          <w:ilvl w:val="0"/>
          <w:numId w:val="1005"/>
        </w:numPr>
      </w:pPr>
      <w:r>
        <w:rPr>
          <w:b/>
          <w:bCs/>
        </w:rPr>
        <w:t xml:space="preserve">Bilanztreue</w:t>
      </w:r>
      <w:r>
        <w:rPr>
          <w:b/>
          <w:bCs/>
        </w:rPr>
        <w:t xml:space="preserve"> </w:t>
      </w:r>
      <m:oMath>
        <m:box>
          <m:boxPr>
            <m:opEmu m:val="on"/>
          </m:boxPr>
          <m:e>
            <m:r>
              <m:rPr>
                <m:sty m:val="p"/>
              </m:rPr>
              <m:t>⇏</m:t>
            </m:r>
          </m:e>
        </m:box>
      </m:oMath>
      <w:r>
        <w:rPr>
          <w:b/>
          <w:bCs/>
        </w:rPr>
        <w:t xml:space="preserve"> </w:t>
      </w:r>
      <w:r>
        <w:rPr>
          <w:b/>
          <w:bCs/>
        </w:rPr>
        <w:t xml:space="preserve">elektrische Ersatznetzäquivalenz.</w:t>
      </w:r>
    </w:p>
    <w:p>
      <w:pPr>
        <w:pStyle w:val="Compact"/>
        <w:numPr>
          <w:ilvl w:val="0"/>
          <w:numId w:val="1005"/>
        </w:numPr>
      </w:pPr>
      <w:r>
        <w:rPr>
          <w:b/>
          <w:bCs/>
        </w:rPr>
        <w:t xml:space="preserve">Effektive Technologie-PTDF</w:t>
      </w:r>
      <w:r>
        <w:rPr>
          <w:b/>
          <w:bCs/>
        </w:rPr>
        <w:t xml:space="preserve"> </w:t>
      </w:r>
      <m:oMath>
        <m:box>
          <m:boxPr>
            <m:opEmu m:val="on"/>
          </m:boxPr>
          <m:e>
            <m:r>
              <m:rPr>
                <m:sty m:val="p"/>
              </m:rPr>
              <m:t>⇏</m:t>
            </m:r>
          </m:e>
        </m:box>
      </m:oMath>
      <w:r>
        <w:rPr>
          <w:b/>
          <w:bCs/>
        </w:rPr>
        <w:t xml:space="preserve"> </w:t>
      </w:r>
      <w:r>
        <w:rPr>
          <w:b/>
          <w:bCs/>
        </w:rPr>
        <w:t xml:space="preserve">neue physikalische PTDF.</w:t>
      </w:r>
    </w:p>
    <w:p>
      <w:pPr>
        <w:pStyle w:val="Compact"/>
        <w:numPr>
          <w:ilvl w:val="0"/>
          <w:numId w:val="1005"/>
        </w:numPr>
      </w:pPr>
      <w:r>
        <w:rPr>
          <w:b/>
          <w:bCs/>
        </w:rPr>
        <w:t xml:space="preserve">Fester Grenzkostenvektor</w:t>
      </w:r>
      <w:r>
        <w:rPr>
          <w:b/>
          <w:bCs/>
        </w:rPr>
        <w:t xml:space="preserve"> </w:t>
      </w:r>
      <m:oMath>
        <m:box>
          <m:boxPr>
            <m:opEmu m:val="on"/>
          </m:boxPr>
          <m:e>
            <m:r>
              <m:rPr>
                <m:sty m:val="p"/>
              </m:rPr>
              <m:t>⇏</m:t>
            </m:r>
          </m:e>
        </m:box>
      </m:oMath>
      <w:r>
        <w:rPr>
          <w:b/>
          <w:bCs/>
        </w:rPr>
        <w:t xml:space="preserve"> </w:t>
      </w:r>
      <w:r>
        <w:rPr>
          <w:b/>
          <w:bCs/>
        </w:rPr>
        <w:t xml:space="preserve">zeitlich konstante Merit-Order-Einspeisung.</w:t>
      </w:r>
    </w:p>
    <w:p>
      <w:pPr>
        <w:pStyle w:val="Compact"/>
        <w:numPr>
          <w:ilvl w:val="0"/>
          <w:numId w:val="1005"/>
        </w:numPr>
      </w:pPr>
      <w:r>
        <w:rPr>
          <w:b/>
          <w:bCs/>
        </w:rPr>
        <w:t xml:space="preserve">Zeitabhängiger Strukturanteil</w:t>
      </w:r>
      <w:r>
        <w:rPr>
          <w:b/>
          <w:bCs/>
        </w:rPr>
        <w:t xml:space="preserve"> </w:t>
      </w:r>
      <m:oMath>
        <m:sSub>
          <m:e>
            <m:r>
              <m:t>c</m:t>
            </m:r>
          </m:e>
          <m:sub>
            <m:r>
              <m:rPr>
                <m:sty m:val="p"/>
              </m:rPr>
              <m:t>s</m:t>
            </m:r>
            <m:r>
              <m:rPr>
                <m:sty m:val="p"/>
              </m:rPr>
              <m:t>t</m:t>
            </m:r>
            <m:r>
              <m:rPr>
                <m:sty m:val="p"/>
              </m:rPr>
              <m:t>r</m:t>
            </m:r>
            <m:r>
              <m:rPr>
                <m:sty m:val="p"/>
              </m:rPr>
              <m:t>u</m:t>
            </m:r>
            <m:r>
              <m:rPr>
                <m:sty m:val="p"/>
              </m:rPr>
              <m:t>c</m:t>
            </m:r>
            <m:r>
              <m:rPr>
                <m:sty m:val="p"/>
              </m:rPr>
              <m:t>t</m:t>
            </m:r>
          </m:sub>
        </m:sSub>
        <m:d>
          <m:dPr>
            <m:begChr m:val="("/>
            <m:endChr m:val=")"/>
            <m:sepChr m:val=""/>
            <m:grow/>
          </m:dPr>
          <m:e>
            <m:r>
              <m:t>t</m:t>
            </m:r>
          </m:e>
        </m:d>
        <m:box>
          <m:boxPr>
            <m:opEmu m:val="on"/>
          </m:boxPr>
          <m:e>
            <m:r>
              <m:rPr>
                <m:sty m:val="p"/>
              </m:rPr>
              <m:t>⇏</m:t>
            </m:r>
          </m:e>
        </m:box>
      </m:oMath>
      <w:r>
        <w:rPr>
          <w:b/>
          <w:bCs/>
        </w:rPr>
        <w:t xml:space="preserve"> </w:t>
      </w:r>
      <w:r>
        <w:rPr>
          <w:b/>
          <w:bCs/>
        </w:rPr>
        <w:t xml:space="preserve">konstanter kalibrierter</w:t>
      </w:r>
      <w:r>
        <w:rPr>
          <w:b/>
          <w:bCs/>
        </w:rPr>
        <w:t xml:space="preserve"> </w:t>
      </w:r>
      <m:oMath>
        <m:sSup>
          <m:e>
            <m:r>
              <m:t>c</m:t>
            </m:r>
          </m:e>
          <m:sup>
            <m:r>
              <m:t>0</m:t>
            </m:r>
          </m:sup>
        </m:sSup>
      </m:oMath>
      <w:r>
        <w:rPr>
          <w:b/>
          <w:bCs/>
        </w:rPr>
        <w:t xml:space="preserve">.</w:t>
      </w:r>
    </w:p>
    <w:p>
      <w:pPr>
        <w:pStyle w:val="Compact"/>
        <w:numPr>
          <w:ilvl w:val="0"/>
          <w:numId w:val="1005"/>
        </w:numPr>
      </w:pPr>
      <w:r>
        <w:rPr>
          <w:b/>
          <w:bCs/>
        </w:rPr>
        <w:t xml:space="preserve">Bilaterale N-1-Transfergrenze</w:t>
      </w:r>
      <w:r>
        <w:rPr>
          <w:b/>
          <w:bCs/>
        </w:rPr>
        <w:t xml:space="preserve"> </w:t>
      </w:r>
      <m:oMath>
        <m:box>
          <m:boxPr>
            <m:opEmu m:val="on"/>
          </m:boxPr>
          <m:e>
            <m:r>
              <m:rPr>
                <m:sty m:val="p"/>
              </m:rPr>
              <m:t>⇏</m:t>
            </m:r>
          </m:e>
        </m:box>
      </m:oMath>
      <w:r>
        <w:rPr>
          <w:b/>
          <w:bCs/>
        </w:rPr>
        <w:t xml:space="preserve"> </w:t>
      </w:r>
      <w:r>
        <w:rPr>
          <w:b/>
          <w:bCs/>
        </w:rPr>
        <w:t xml:space="preserve">unabhängige simultane Ersatzlink-Kapazität.</w:t>
      </w:r>
    </w:p>
    <w:p>
      <w:pPr>
        <w:pStyle w:val="Compact"/>
        <w:numPr>
          <w:ilvl w:val="0"/>
          <w:numId w:val="1005"/>
        </w:numPr>
      </w:pPr>
      <w:r>
        <w:rPr>
          <w:b/>
          <w:bCs/>
        </w:rPr>
        <w:t xml:space="preserve">IoSN-Ersatzkapazität</w:t>
      </w:r>
      <w:r>
        <w:rPr>
          <w:b/>
          <w:bCs/>
        </w:rPr>
        <w:t xml:space="preserve"> </w:t>
      </w:r>
      <m:oMath>
        <m:box>
          <m:boxPr>
            <m:opEmu m:val="on"/>
          </m:boxPr>
          <m:e>
            <m:r>
              <m:rPr>
                <m:sty m:val="p"/>
              </m:rPr>
              <m:t>⇏</m:t>
            </m:r>
          </m:e>
        </m:box>
      </m:oMath>
      <w:r>
        <w:rPr>
          <w:b/>
          <w:bCs/>
        </w:rPr>
        <w:t xml:space="preserve"> </w:t>
      </w:r>
      <w:r>
        <w:rPr>
          <w:b/>
          <w:bCs/>
        </w:rPr>
        <w:t xml:space="preserve">operativer FBMC-RAM.</w:t>
      </w:r>
    </w:p>
    <w:p>
      <w:pPr>
        <w:pStyle w:val="Compact"/>
        <w:numPr>
          <w:ilvl w:val="0"/>
          <w:numId w:val="1005"/>
        </w:numPr>
      </w:pPr>
      <w:r>
        <w:rPr>
          <w:b/>
          <w:bCs/>
        </w:rPr>
        <w:t xml:space="preserve">Ein niedriger Fluss-RMSE</w:t>
      </w:r>
      <w:r>
        <w:rPr>
          <w:b/>
          <w:bCs/>
        </w:rPr>
        <w:t xml:space="preserve"> </w:t>
      </w:r>
      <m:oMath>
        <m:box>
          <m:boxPr>
            <m:opEmu m:val="on"/>
          </m:boxPr>
          <m:e>
            <m:r>
              <m:rPr>
                <m:sty m:val="p"/>
              </m:rPr>
              <m:t>⇏</m:t>
            </m:r>
          </m:e>
        </m:box>
      </m:oMath>
      <w:r>
        <w:rPr>
          <w:b/>
          <w:bCs/>
        </w:rPr>
        <w:t xml:space="preserve"> </w:t>
      </w:r>
      <w:r>
        <w:rPr>
          <w:b/>
          <w:bCs/>
        </w:rPr>
        <w:t xml:space="preserve">identifizierte Reaktanzen oder N-1-Sicherheit.</w:t>
      </w:r>
    </w:p>
    <w:bookmarkEnd w:id="70"/>
    <w:bookmarkEnd w:id="71"/>
    <w:bookmarkStart w:id="74" w:name="X0085e91d3ff7fe8547b014122ff240b7446ad30"/>
    <w:p>
      <w:pPr>
        <w:pStyle w:val="Heading1"/>
      </w:pPr>
      <w:r>
        <w:t xml:space="preserve">15. Validierung, Ergebnisse und wissenschaftlicher Erkenntnisstatus</w:t>
      </w:r>
    </w:p>
    <w:bookmarkStart w:id="72" w:name="physik--und-daten-gates"/>
    <w:p>
      <w:pPr>
        <w:pStyle w:val="Heading2"/>
      </w:pPr>
      <w:r>
        <w:t xml:space="preserve">15.1 Physik- und Daten-Gates</w:t>
      </w:r>
    </w:p>
    <w:p>
      <w:pPr>
        <w:pStyle w:val="Compact"/>
        <w:numPr>
          <w:ilvl w:val="0"/>
          <w:numId w:val="1006"/>
        </w:numPr>
      </w:pPr>
      <w:r>
        <w:rPr>
          <w:b/>
          <w:bCs/>
        </w:rPr>
        <w:t xml:space="preserve">V1:</w:t>
      </w:r>
      <w:r>
        <w:t xml:space="preserve"> </w:t>
      </w:r>
      <w:r>
        <w:t xml:space="preserve">Balancierte AC-Inseln je Snapshot; Topologie-, Einheiten- und Vorzeichenkonsistenz.</w:t>
      </w:r>
    </w:p>
    <w:p>
      <w:pPr>
        <w:pStyle w:val="Compact"/>
        <w:numPr>
          <w:ilvl w:val="0"/>
          <w:numId w:val="1006"/>
        </w:numPr>
      </w:pPr>
      <w:r>
        <w:rPr>
          <w:b/>
          <w:bCs/>
        </w:rPr>
        <w:t xml:space="preserve">V2:</w:t>
      </w:r>
      <w:r>
        <w:t xml:space="preserve"> </w:t>
      </w:r>
      <w:r>
        <w:t xml:space="preserve">Exakte Identität</w:t>
      </w:r>
      <w:r>
        <w:t xml:space="preserve"> </w:t>
      </w:r>
      <m:oMath>
        <m:sSub>
          <m:e>
            <m:r>
              <m:t>A</m:t>
            </m:r>
          </m:e>
          <m:sub>
            <m:r>
              <m:t>z</m:t>
            </m:r>
          </m:sub>
        </m:sSub>
        <m:r>
          <m:t>Γ</m:t>
        </m:r>
        <m:r>
          <m:rPr>
            <m:sty m:val="p"/>
          </m:rPr>
          <m:t>=</m:t>
        </m:r>
        <m:r>
          <m:t>P</m:t>
        </m:r>
        <m:sSub>
          <m:e>
            <m:r>
              <m:t>A</m:t>
            </m:r>
          </m:e>
          <m:sub>
            <m:r>
              <m:t>d</m:t>
            </m:r>
          </m:sub>
        </m:sSub>
      </m:oMath>
      <w:r>
        <w:t xml:space="preserve"> </w:t>
      </w:r>
      <w:r>
        <w:t xml:space="preserve">für jede Busmap; Gleichheit der zonalen Bilanzen.</w:t>
      </w:r>
    </w:p>
    <w:p>
      <w:pPr>
        <w:pStyle w:val="Compact"/>
        <w:numPr>
          <w:ilvl w:val="0"/>
          <w:numId w:val="1006"/>
        </w:numPr>
      </w:pPr>
      <w:r>
        <w:rPr>
          <w:b/>
          <w:bCs/>
        </w:rPr>
        <w:t xml:space="preserve">V3:</w:t>
      </w:r>
      <w:r>
        <w:t xml:space="preserve"> </w:t>
      </w:r>
      <w:r>
        <w:t xml:space="preserve">Konnektivität der Zonen, kritische Leitungen an Grenzen und überprüftes Flussrichtungsverhalten.</w:t>
      </w:r>
    </w:p>
    <w:p>
      <w:pPr>
        <w:pStyle w:val="Compact"/>
        <w:numPr>
          <w:ilvl w:val="0"/>
          <w:numId w:val="1006"/>
        </w:numPr>
      </w:pPr>
      <w:r>
        <w:rPr>
          <w:b/>
          <w:bCs/>
        </w:rPr>
        <w:t xml:space="preserve">V4:</w:t>
      </w:r>
      <w:r>
        <w:t xml:space="preserve"> </w:t>
      </w:r>
      <w:r>
        <w:t xml:space="preserve">Technologiespezifische Referenzmatrizen mit</w:t>
      </w:r>
      <w:r>
        <w:t xml:space="preserve"> </w:t>
      </w:r>
      <m:oMath>
        <m:r>
          <m:t>P</m:t>
        </m:r>
        <m:sSub>
          <m:e>
            <m:r>
              <m:t>R</m:t>
            </m:r>
          </m:e>
          <m:sub>
            <m:r>
              <m:t>k</m:t>
            </m:r>
          </m:sub>
        </m:sSub>
        <m:r>
          <m:rPr>
            <m:sty m:val="p"/>
          </m:rPr>
          <m:t>=</m:t>
        </m:r>
        <m:r>
          <m:t>I</m:t>
        </m:r>
      </m:oMath>
      <w:r>
        <w:t xml:space="preserve">; deklarierte Nullverfügbarkeitsregeln.</w:t>
      </w:r>
    </w:p>
    <w:p>
      <w:pPr>
        <w:pStyle w:val="Compact"/>
        <w:numPr>
          <w:ilvl w:val="0"/>
          <w:numId w:val="1006"/>
        </w:numPr>
      </w:pPr>
      <w:r>
        <w:rPr>
          <w:b/>
          <w:bCs/>
        </w:rPr>
        <w:t xml:space="preserve">V5:</w:t>
      </w:r>
      <w:r>
        <w:t xml:space="preserve"> </w:t>
      </w:r>
      <w:r>
        <w:t xml:space="preserve">Train/Test-Trennung, RMSE/Quantile und Identifizierbarkeit positiver Reaktanzen.</w:t>
      </w:r>
    </w:p>
    <w:p>
      <w:pPr>
        <w:pStyle w:val="Compact"/>
        <w:numPr>
          <w:ilvl w:val="0"/>
          <w:numId w:val="1006"/>
        </w:numPr>
      </w:pPr>
      <w:r>
        <w:rPr>
          <w:b/>
          <w:bCs/>
        </w:rPr>
        <w:t xml:space="preserve">V6:</w:t>
      </w:r>
      <w:r>
        <w:t xml:space="preserve"> </w:t>
      </w:r>
      <w:r>
        <w:t xml:space="preserve">Vollständige Offset-Wirkung in</w:t>
      </w:r>
      <w:r>
        <w:t xml:space="preserve"> </w:t>
      </w:r>
      <w:r>
        <w:rPr>
          <w:b/>
          <w:bCs/>
        </w:rPr>
        <w:t xml:space="preserve">Modellgleichungen</w:t>
      </w:r>
      <w:r>
        <w:t xml:space="preserve">, nicht nur in Ergebnisdateien.</w:t>
      </w:r>
    </w:p>
    <w:p>
      <w:pPr>
        <w:pStyle w:val="Compact"/>
        <w:numPr>
          <w:ilvl w:val="0"/>
          <w:numId w:val="1006"/>
        </w:numPr>
      </w:pPr>
      <w:r>
        <w:rPr>
          <w:b/>
          <w:bCs/>
        </w:rPr>
        <w:t xml:space="preserve">V7:</w:t>
      </w:r>
      <w:r>
        <w:t xml:space="preserve"> </w:t>
      </w:r>
      <w:r>
        <w:t xml:space="preserve">N-0-/N-1-Rekonstruktion gegen detailliertes Netz, Ausschluss/Behandlung von Inselkontingenzen, dokumentierte Outage-Liste.</w:t>
      </w:r>
    </w:p>
    <w:p>
      <w:pPr>
        <w:pStyle w:val="Compact"/>
        <w:numPr>
          <w:ilvl w:val="0"/>
          <w:numId w:val="1006"/>
        </w:numPr>
      </w:pPr>
      <w:r>
        <w:rPr>
          <w:b/>
          <w:bCs/>
        </w:rPr>
        <w:t xml:space="preserve">V8:</w:t>
      </w:r>
      <w:r>
        <w:t xml:space="preserve"> </w:t>
      </w:r>
      <w:r>
        <w:t xml:space="preserve">K1/K2/K3-Grenzwerte, falsche Zulässigkeit und robuste Konservativität.</w:t>
      </w:r>
    </w:p>
    <w:p>
      <w:pPr>
        <w:pStyle w:val="Compact"/>
        <w:numPr>
          <w:ilvl w:val="0"/>
          <w:numId w:val="1006"/>
        </w:numPr>
      </w:pPr>
      <w:r>
        <w:rPr>
          <w:b/>
          <w:bCs/>
        </w:rPr>
        <w:t xml:space="preserve">V9:</w:t>
      </w:r>
      <w:r>
        <w:t xml:space="preserve"> </w:t>
      </w:r>
      <w:r>
        <w:t xml:space="preserve">FBMC-GSK-Test nur in kompatiblen Gebotszonen und mit eindeutigem Referenzzustand.</w:t>
      </w:r>
    </w:p>
    <w:p>
      <w:pPr>
        <w:pStyle w:val="Compact"/>
        <w:numPr>
          <w:ilvl w:val="0"/>
          <w:numId w:val="1006"/>
        </w:numPr>
      </w:pPr>
      <w:r>
        <w:rPr>
          <w:b/>
          <w:bCs/>
        </w:rPr>
        <w:t xml:space="preserve">V10:</w:t>
      </w:r>
      <w:r>
        <w:t xml:space="preserve"> </w:t>
      </w:r>
      <w:r>
        <w:t xml:space="preserve">Bewertung ausgewählter Ausbau-/Redispatchentscheidungen unter der originalen IoSN-Moduslogik.</w:t>
      </w:r>
    </w:p>
    <w:bookmarkEnd w:id="72"/>
    <w:bookmarkStart w:id="73" w:name="vorliegende-prototypergebnisse-s"/>
    <w:p>
      <w:pPr>
        <w:pStyle w:val="Heading2"/>
      </w:pPr>
      <w:r>
        <w:t xml:space="preserve">15.2 Vorliegende Prototypergebnisse [S]</w:t>
      </w:r>
    </w:p>
    <w:p>
      <w:pPr>
        <w:pStyle w:val="FirstParagraph"/>
      </w:pPr>
      <w:r>
        <w:t xml:space="preserve">Der früher erstellte 9-Knoten-Demonstrator enthält zwei unterschiedliche Clustering-Busmaps und drei Referenzverteilungen. Der daraus übernommene,</w:t>
      </w:r>
      <w:r>
        <w:t xml:space="preserve"> </w:t>
      </w:r>
      <w:r>
        <w:rPr>
          <w:b/>
          <w:bCs/>
        </w:rPr>
        <w:t xml:space="preserve">nicht neu an echten Netzdaten qualifizierte</w:t>
      </w:r>
      <w:r>
        <w:t xml:space="preserve"> </w:t>
      </w:r>
      <w:r>
        <w:t xml:space="preserve">Vergleich nach Strukturkorrektur ergibt als RMSE (MW):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Referenz</w:t>
            </w:r>
          </w:p>
        </w:tc>
        <w:tc>
          <w:tcPr/>
          <w:p>
            <w:pPr>
              <w:pStyle w:val="Compact"/>
              <w:jc w:val="right"/>
            </w:pPr>
            <w:r>
              <w:t xml:space="preserve">Busmap A</w:t>
            </w:r>
          </w:p>
        </w:tc>
        <w:tc>
          <w:tcPr/>
          <w:p>
            <w:pPr>
              <w:pStyle w:val="Compact"/>
              <w:jc w:val="right"/>
            </w:pPr>
            <w:r>
              <w:t xml:space="preserve">Busmap B</w:t>
            </w:r>
          </w:p>
        </w:tc>
      </w:tr>
      <w:tr>
        <w:tc>
          <w:tcPr/>
          <w:p>
            <w:pPr>
              <w:pStyle w:val="Compact"/>
              <w:jc w:val="left"/>
            </w:pPr>
            <w:r>
              <w:t xml:space="preserve">Gleichmäßig</w:t>
            </w:r>
          </w:p>
        </w:tc>
        <w:tc>
          <w:tcPr/>
          <w:p>
            <w:pPr>
              <w:pStyle w:val="Compact"/>
              <w:jc w:val="right"/>
            </w:pPr>
            <w:r>
              <w:t xml:space="preserve">1,951</w:t>
            </w:r>
          </w:p>
        </w:tc>
        <w:tc>
          <w:tcPr/>
          <w:p>
            <w:pPr>
              <w:pStyle w:val="Compact"/>
              <w:jc w:val="right"/>
            </w:pPr>
            <w:r>
              <w:t xml:space="preserve">0,638</w:t>
            </w:r>
          </w:p>
        </w:tc>
      </w:tr>
      <w:tr>
        <w:tc>
          <w:tcPr/>
          <w:p>
            <w:pPr>
              <w:pStyle w:val="Compact"/>
              <w:jc w:val="left"/>
            </w:pPr>
            <w:r>
              <w:t xml:space="preserve">Kapazitätsgewichtet</w:t>
            </w:r>
          </w:p>
        </w:tc>
        <w:tc>
          <w:tcPr/>
          <w:p>
            <w:pPr>
              <w:pStyle w:val="Compact"/>
              <w:jc w:val="right"/>
            </w:pPr>
            <w:r>
              <w:t xml:space="preserve">1,534</w:t>
            </w:r>
          </w:p>
        </w:tc>
        <w:tc>
          <w:tcPr/>
          <w:p>
            <w:pPr>
              <w:pStyle w:val="Compact"/>
              <w:jc w:val="right"/>
            </w:pPr>
            <w:r>
              <w:t xml:space="preserve">0,730</w:t>
            </w:r>
          </w:p>
        </w:tc>
      </w:tr>
      <w:tr>
        <w:tc>
          <w:tcPr/>
          <w:p>
            <w:pPr>
              <w:pStyle w:val="Compact"/>
              <w:jc w:val="left"/>
            </w:pPr>
            <w:r>
              <w:t xml:space="preserve">Kosten-/Merit-Order-Proxy</w:t>
            </w:r>
          </w:p>
        </w:tc>
        <w:tc>
          <w:tcPr/>
          <w:p>
            <w:pPr>
              <w:pStyle w:val="Compact"/>
              <w:jc w:val="right"/>
            </w:pPr>
            <w:r>
              <w:t xml:space="preserve">0,845</w:t>
            </w:r>
          </w:p>
        </w:tc>
        <w:tc>
          <w:tcPr/>
          <w:p>
            <w:pPr>
              <w:pStyle w:val="Compact"/>
              <w:jc w:val="right"/>
            </w:pPr>
            <w:r>
              <w:t xml:space="preserve">1,337</w:t>
            </w:r>
          </w:p>
        </w:tc>
      </w:tr>
    </w:tbl>
    <w:p>
      <w:pPr>
        <w:pStyle w:val="BodyText"/>
      </w:pPr>
      <w:r>
        <w:t xml:space="preserve">Die Werte demonstrieren eine Interaktion zwischen Busmap und Referenzverteilung; sie erlauben</w:t>
      </w:r>
      <w:r>
        <w:t xml:space="preserve"> </w:t>
      </w:r>
      <w:r>
        <w:rPr>
          <w:b/>
          <w:bCs/>
        </w:rPr>
        <w:t xml:space="preserve">keine</w:t>
      </w:r>
      <w:r>
        <w:t xml:space="preserve"> </w:t>
      </w:r>
      <w:r>
        <w:t xml:space="preserve">allgemeine Rangfolge, keinen Schluss auf reale TYNDP-Parameter und keinen Nachweis vollständiger IoSN-Konformität. Der ältere synthetische FBMC-Versuch zeigt analog, dass die Wahl eines GSK den berechneten Handelsbereich verändert; dessen Zahlen sind</w:t>
      </w:r>
      <w:r>
        <w:t xml:space="preserve"> </w:t>
      </w:r>
      <w:r>
        <w:rPr>
          <w:b/>
          <w:bCs/>
        </w:rPr>
        <w:t xml:space="preserve">keine</w:t>
      </w:r>
      <w:r>
        <w:t xml:space="preserve"> </w:t>
      </w:r>
      <w:r>
        <w:t xml:space="preserve">realen Core-RAMs. Eine reproduzierte Ausführung und die neu ergänzten mathematischen N-1-Kerntests werden in Band II getrennt dokumentiert.</w:t>
      </w:r>
    </w:p>
    <w:bookmarkEnd w:id="73"/>
    <w:bookmarkEnd w:id="74"/>
    <w:bookmarkStart w:id="75" w:name="X8cb7a12c9dea228895b58b76c3d6ae8867f56e3"/>
    <w:p>
      <w:pPr>
        <w:pStyle w:val="Heading1"/>
      </w:pPr>
      <w:r>
        <w:t xml:space="preserve">16. Priorisierter wissenschaftlicher Fahrplan</w:t>
      </w:r>
    </w:p>
    <w:p>
      <w:pPr>
        <w:pStyle w:val="FirstParagraph"/>
      </w:pPr>
      <w:r>
        <w:rPr>
          <w:b/>
          <w:bCs/>
        </w:rPr>
        <w:t xml:space="preserve">Stufe 1 — Normkonformes Referenzscreening.</w:t>
      </w:r>
      <w:r>
        <w:t xml:space="preserve"> </w:t>
      </w:r>
      <w:r>
        <w:t xml:space="preserve">Detailliertes AC-Teilnetz und exakte Wetter-/Marktzeitreihen fixieren; A als IoSN-nahe Baseline bauen. B als bewusst unabhängigen RES-/Last-Benchmark auf identischer Topologie erstellen; Ausgleichsannahmen sensitivieren. Busmaps</w:t>
      </w:r>
      <w:r>
        <w:t xml:space="preserve"> </w:t>
      </w:r>
      <m:oMath>
        <m:sSub>
          <m:e>
            <m:r>
              <m:t>P</m:t>
            </m:r>
          </m:e>
          <m:sub>
            <m:r>
              <m:t>A</m:t>
            </m:r>
          </m:sub>
        </m:sSub>
        <m:r>
          <m:rPr>
            <m:sty m:val="p"/>
          </m:rPr>
          <m:t>,</m:t>
        </m:r>
        <m:sSub>
          <m:e>
            <m:r>
              <m:t>Γ</m:t>
            </m:r>
          </m:e>
          <m:sub>
            <m:r>
              <m:t>A</m:t>
            </m:r>
          </m:sub>
        </m:sSub>
      </m:oMath>
      <w:r>
        <w:t xml:space="preserve"> </w:t>
      </w:r>
      <w:r>
        <w:t xml:space="preserve">und</w:t>
      </w:r>
      <w:r>
        <w:t xml:space="preserve"> </w:t>
      </w:r>
      <m:oMath>
        <m:sSub>
          <m:e>
            <m:r>
              <m:t>P</m:t>
            </m:r>
          </m:e>
          <m:sub>
            <m:r>
              <m:t>B</m:t>
            </m:r>
          </m:sub>
        </m:sSub>
        <m:r>
          <m:rPr>
            <m:sty m:val="p"/>
          </m:rPr>
          <m:t>,</m:t>
        </m:r>
        <m:sSub>
          <m:e>
            <m:r>
              <m:t>Γ</m:t>
            </m:r>
          </m:e>
          <m:sub>
            <m:r>
              <m:t>B</m:t>
            </m:r>
          </m:sub>
        </m:sSub>
      </m:oMath>
      <w:r>
        <w:t xml:space="preserve"> </w:t>
      </w:r>
      <w:r>
        <w:t xml:space="preserve">validieren.</w:t>
      </w:r>
    </w:p>
    <w:p>
      <w:pPr>
        <w:pStyle w:val="BodyText"/>
      </w:pPr>
      <w:r>
        <w:rPr>
          <w:b/>
          <w:bCs/>
        </w:rPr>
        <w:t xml:space="preserve">Stufe 2 — Reproduzierbares Ersatznetz.</w:t>
      </w:r>
      <w:r>
        <w:t xml:space="preserve"> </w:t>
      </w:r>
      <w:r>
        <w:t xml:space="preserve">Für jede Busmap drei räumliche Referenzen und technologiespezifische Strukturflüsse berechnen; reale Ersatzreaktanzen und</w:t>
      </w:r>
      <w:r>
        <w:t xml:space="preserve"> </w:t>
      </w:r>
      <m:oMath>
        <m:sSup>
          <m:e>
            <m:r>
              <m:t>c</m:t>
            </m:r>
          </m:e>
          <m:sup>
            <m:r>
              <m:t>0</m:t>
            </m:r>
          </m:sup>
        </m:sSup>
      </m:oMath>
      <w:r>
        <w:t xml:space="preserve"> </w:t>
      </w:r>
      <w:r>
        <w:t xml:space="preserve">unter identischen Train/Test-Protokollen kalibrieren; identifizierbare vermaschte Netze sicherstellen.</w:t>
      </w:r>
    </w:p>
    <w:p>
      <w:pPr>
        <w:pStyle w:val="BodyText"/>
      </w:pPr>
      <w:r>
        <w:rPr>
          <w:b/>
          <w:bCs/>
        </w:rPr>
        <w:t xml:space="preserve">Stufe 3 — Drei N-1-Wege.</w:t>
      </w:r>
      <w:r>
        <w:t xml:space="preserve"> </w:t>
      </w:r>
      <w:r>
        <w:t xml:space="preserve">IoSN-nahe K1-Schätzung; analytische K2-CNEC-Projektion als</w:t>
      </w:r>
      <w:r>
        <w:t xml:space="preserve"> </w:t>
      </w:r>
      <w:r>
        <w:rPr>
          <w:b/>
          <w:bCs/>
        </w:rPr>
        <w:t xml:space="preserve">bedingte</w:t>
      </w:r>
      <w:r>
        <w:t xml:space="preserve"> </w:t>
      </w:r>
      <w:r>
        <w:t xml:space="preserve">Sicherheitsreferenz; robuste K3-Derating-Approximation als konservative Kontrolle. Untereinander nur bei gleichen Temperatur-/Saisonlimits, Outage-Sets und Einspeisungsannahmen vergleichen.</w:t>
      </w:r>
    </w:p>
    <w:p>
      <w:pPr>
        <w:pStyle w:val="BodyText"/>
      </w:pPr>
      <w:r>
        <w:rPr>
          <w:b/>
          <w:bCs/>
        </w:rPr>
        <w:t xml:space="preserve">Stufe 4 — FBMC-Sensitivität und End-to-End-Bewertung.</w:t>
      </w:r>
      <w:r>
        <w:t xml:space="preserve"> </w:t>
      </w:r>
      <w:r>
        <w:t xml:space="preserve">Auf offiziellen Gebotszonen separat GSK-/CNEC-Sensitivitäten prüfen und die Zonennetzqualität anhand von Dispatch, Grenzverletzungen und repräsentativen Netzausbauentscheidungen beurteilen. PyPSA-Integrationsprüfung ist ein gesondertes Software-Gate.</w:t>
      </w:r>
    </w:p>
    <w:p>
      <w:pPr>
        <w:pStyle w:val="BodyText"/>
      </w:pPr>
      <w:r>
        <w:t xml:space="preserve">Die zentrale wissenschaftliche Hypothese lautet:</w:t>
      </w:r>
      <w:r>
        <w:t xml:space="preserve"> </w:t>
      </w:r>
      <w:r>
        <w:rPr>
          <w:b/>
          <w:bCs/>
        </w:rPr>
        <w:t xml:space="preserve">Technologieabhängige räumliche Disaggregationsoperatoren verringern den auf einen konstanten</w:t>
      </w:r>
      <w:r>
        <w:rPr>
          <w:b/>
          <w:bCs/>
        </w:rPr>
        <w:t xml:space="preserve"> </w:t>
      </w:r>
      <m:oMath>
        <m:sSub>
          <m:e>
            <m:r>
              <m:t>F</m:t>
            </m:r>
          </m:e>
          <m:sub>
            <m:r>
              <m:t>0</m:t>
            </m:r>
          </m:sub>
        </m:sSub>
      </m:oMath>
      <w:r>
        <w:rPr>
          <w:b/>
          <w:bCs/>
        </w:rPr>
        <w:t xml:space="preserve"> </w:t>
      </w:r>
      <w:r>
        <w:rPr>
          <w:b/>
          <w:bCs/>
        </w:rPr>
        <w:t xml:space="preserve">projizierten Strukturfehler, während eine explizite PTDF-/LODF-Sicherheitsprojektion die versteckte N-1-Fehlabbildung durch einzelne Ersatzlink-Kapazitäten sichtbar macht.</w:t>
      </w:r>
      <w:r>
        <w:t xml:space="preserve"> </w:t>
      </w:r>
      <w:r>
        <w:t xml:space="preserve">Diese Hypothese ist testbar, aber derzeit noch nicht an realen TYNDP-Netzen bestätigt.</w:t>
      </w:r>
    </w:p>
    <w:bookmarkEnd w:id="75"/>
    <w:bookmarkStart w:id="76" w:name="X5957ca1e7fec0292d204c5994ab33218b97549f"/>
    <w:p>
      <w:pPr>
        <w:pStyle w:val="Heading1"/>
      </w:pPr>
      <w:r>
        <w:t xml:space="preserve">Anhang A: Normative Rückverfolgbarkeit zur IoSN 2026</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IoSN-Abschnitt</w:t>
            </w:r>
          </w:p>
        </w:tc>
        <w:tc>
          <w:tcPr/>
          <w:p>
            <w:pPr>
              <w:pStyle w:val="Compact"/>
              <w:jc w:val="left"/>
            </w:pPr>
            <w:r>
              <w:t xml:space="preserve">Dokumentierter Inhalt</w:t>
            </w:r>
          </w:p>
        </w:tc>
        <w:tc>
          <w:tcPr/>
          <w:p>
            <w:pPr>
              <w:pStyle w:val="Compact"/>
              <w:jc w:val="left"/>
            </w:pPr>
            <w:r>
              <w:t xml:space="preserve">Unsere mathematische Zuordnung</w:t>
            </w:r>
          </w:p>
        </w:tc>
        <w:tc>
          <w:tcPr/>
          <w:p>
            <w:pPr>
              <w:pStyle w:val="Compact"/>
              <w:jc w:val="left"/>
            </w:pPr>
            <w:r>
              <w:t xml:space="preserve">Status</w:t>
            </w:r>
          </w:p>
        </w:tc>
      </w:tr>
      <w:tr>
        <w:tc>
          <w:tcPr/>
          <w:p>
            <w:pPr>
              <w:pStyle w:val="Compact"/>
              <w:jc w:val="left"/>
            </w:pPr>
            <w:r>
              <w:t xml:space="preserve">§3.8.1, S. 23–25</w:t>
            </w:r>
          </w:p>
        </w:tc>
        <w:tc>
          <w:tcPr/>
          <w:p>
            <w:pPr>
              <w:pStyle w:val="Compact"/>
              <w:jc w:val="left"/>
            </w:pPr>
            <w:r>
              <w:t xml:space="preserve">Kritische Linien, Flusskorrelation, Zonenbudget, Konnektivität</w:t>
            </w:r>
          </w:p>
        </w:tc>
        <w:tc>
          <w:tcPr/>
          <w:p>
            <w:pPr>
              <w:pStyle w:val="Compact"/>
              <w:jc w:val="left"/>
            </w:pPr>
            <w:r>
              <w:t xml:space="preserve">C1, A-/B-Busmaps</w:t>
            </w:r>
          </w:p>
        </w:tc>
        <w:tc>
          <w:tcPr/>
          <w:p>
            <w:pPr>
              <w:pStyle w:val="Compact"/>
              <w:jc w:val="left"/>
            </w:pPr>
            <w:r>
              <w:t xml:space="preserve">A nah; B alternativ</w:t>
            </w:r>
          </w:p>
        </w:tc>
      </w:tr>
      <w:tr>
        <w:tc>
          <w:tcPr/>
          <w:p>
            <w:pPr>
              <w:pStyle w:val="Compact"/>
              <w:jc w:val="left"/>
            </w:pPr>
            <w:r>
              <w:t xml:space="preserve">§3.8.2, S. 27</w:t>
            </w:r>
          </w:p>
        </w:tc>
        <w:tc>
          <w:tcPr/>
          <w:p>
            <w:pPr>
              <w:pStyle w:val="Compact"/>
              <w:jc w:val="left"/>
            </w:pPr>
            <w:r>
              <w:t xml:space="preserve">Impedanzen und Flusskorrekturen aus Optimierung</w:t>
            </w:r>
          </w:p>
        </w:tc>
        <w:tc>
          <w:tcPr/>
          <w:p>
            <w:pPr>
              <w:pStyle w:val="Compact"/>
              <w:jc w:val="left"/>
            </w:pPr>
            <w:r>
              <w:t xml:space="preserve">E1/E2</w:t>
            </w:r>
          </w:p>
        </w:tc>
        <w:tc>
          <w:tcPr/>
          <w:p>
            <w:pPr>
              <w:pStyle w:val="Compact"/>
              <w:jc w:val="left"/>
            </w:pPr>
            <w:r>
              <w:t xml:space="preserve">Rekonstruktion</w:t>
            </w:r>
          </w:p>
        </w:tc>
      </w:tr>
      <w:tr>
        <w:tc>
          <w:tcPr/>
          <w:p>
            <w:pPr>
              <w:pStyle w:val="Compact"/>
              <w:jc w:val="left"/>
            </w:pPr>
            <w:r>
              <w:t xml:space="preserve">§3.8.3, S. 28</w:t>
            </w:r>
          </w:p>
        </w:tc>
        <w:tc>
          <w:tcPr/>
          <w:p>
            <w:pPr>
              <w:pStyle w:val="Compact"/>
              <w:jc w:val="left"/>
            </w:pPr>
            <w:r>
              <w:t xml:space="preserve">No-Load, Loop-Flows, HVDC/PST, vier N-1-Grenzen</w:t>
            </w:r>
          </w:p>
        </w:tc>
        <w:tc>
          <w:tcPr/>
          <w:p>
            <w:pPr>
              <w:pStyle w:val="Compact"/>
              <w:jc w:val="left"/>
            </w:pPr>
            <w:r>
              <w:t xml:space="preserve">E1, T2, K1</w:t>
            </w:r>
          </w:p>
        </w:tc>
        <w:tc>
          <w:tcPr/>
          <w:p>
            <w:pPr>
              <w:pStyle w:val="Compact"/>
              <w:jc w:val="left"/>
            </w:pPr>
            <w:r>
              <w:t xml:space="preserve">Direkte Zielgrößen</w:t>
            </w:r>
          </w:p>
        </w:tc>
      </w:tr>
      <w:tr>
        <w:tc>
          <w:tcPr/>
          <w:p>
            <w:pPr>
              <w:pStyle w:val="Compact"/>
              <w:jc w:val="left"/>
            </w:pPr>
            <w:r>
              <w:t xml:space="preserve">§3.8.4, S. 28–29</w:t>
            </w:r>
          </w:p>
        </w:tc>
        <w:tc>
          <w:tcPr/>
          <w:p>
            <w:pPr>
              <w:pStyle w:val="Compact"/>
              <w:jc w:val="left"/>
            </w:pPr>
            <w:r>
              <w:t xml:space="preserve">Zonale Last-, RES-, konventionelle Asset-Verteilung</w:t>
            </w:r>
          </w:p>
        </w:tc>
        <w:tc>
          <w:tcPr/>
          <w:p>
            <w:pPr>
              <w:pStyle w:val="Compact"/>
              <w:jc w:val="left"/>
            </w:pPr>
            <w:r>
              <w:t xml:space="preserve">T1 und Eingangsvertrag</w:t>
            </w:r>
          </w:p>
        </w:tc>
        <w:tc>
          <w:tcPr/>
          <w:p>
            <w:pPr>
              <w:pStyle w:val="Compact"/>
              <w:jc w:val="left"/>
            </w:pPr>
            <w:r>
              <w:t xml:space="preserve">Konkrete Formalisierung</w:t>
            </w:r>
          </w:p>
        </w:tc>
      </w:tr>
      <w:tr>
        <w:tc>
          <w:tcPr/>
          <w:p>
            <w:pPr>
              <w:pStyle w:val="Compact"/>
              <w:jc w:val="left"/>
            </w:pPr>
            <w:r>
              <w:t xml:space="preserve">§3.9, S. 29–30</w:t>
            </w:r>
          </w:p>
        </w:tc>
        <w:tc>
          <w:tcPr/>
          <w:p>
            <w:pPr>
              <w:pStyle w:val="Compact"/>
              <w:jc w:val="left"/>
            </w:pPr>
            <w:r>
              <w:t xml:space="preserve">LF-/OPF-Modi und interne Grenzen</w:t>
            </w:r>
          </w:p>
        </w:tc>
        <w:tc>
          <w:tcPr/>
          <w:p>
            <w:pPr>
              <w:pStyle w:val="Compact"/>
              <w:jc w:val="left"/>
            </w:pPr>
            <w:r>
              <w:t xml:space="preserve">Modus-Validierung</w:t>
            </w:r>
          </w:p>
        </w:tc>
        <w:tc>
          <w:tcPr/>
          <w:p>
            <w:pPr>
              <w:pStyle w:val="Compact"/>
              <w:jc w:val="left"/>
            </w:pPr>
            <w:r>
              <w:t xml:space="preserve">Kontextgebundene Umsetzung</w:t>
            </w:r>
          </w:p>
        </w:tc>
      </w:tr>
      <w:tr>
        <w:tc>
          <w:tcPr/>
          <w:p>
            <w:pPr>
              <w:pStyle w:val="Compact"/>
              <w:jc w:val="left"/>
            </w:pPr>
            <w:r>
              <w:t xml:space="preserve">Anhang 6.1, S. 45–48</w:t>
            </w:r>
          </w:p>
        </w:tc>
        <w:tc>
          <w:tcPr/>
          <w:p>
            <w:pPr>
              <w:pStyle w:val="Compact"/>
              <w:jc w:val="left"/>
            </w:pPr>
            <w:r>
              <w:t xml:space="preserve">Jahresüberlastung; iterativer RMSE</w:t>
            </w:r>
          </w:p>
        </w:tc>
        <w:tc>
          <w:tcPr/>
          <w:p>
            <w:pPr>
              <w:pStyle w:val="Compact"/>
              <w:jc w:val="left"/>
            </w:pPr>
            <w:r>
              <w:t xml:space="preserve">C1, V3/V5</w:t>
            </w:r>
          </w:p>
        </w:tc>
        <w:tc>
          <w:tcPr/>
          <w:p>
            <w:pPr>
              <w:pStyle w:val="Compact"/>
              <w:jc w:val="left"/>
            </w:pPr>
            <w:r>
              <w:t xml:space="preserve">Dokumentierter Bewertungsfokus</w:t>
            </w:r>
          </w:p>
        </w:tc>
      </w:tr>
      <w:tr>
        <w:tc>
          <w:tcPr/>
          <w:p>
            <w:pPr>
              <w:pStyle w:val="Compact"/>
              <w:jc w:val="left"/>
            </w:pPr>
            <w:r>
              <w:t xml:space="preserve">Anhang 6.1, S. 48–49</w:t>
            </w:r>
          </w:p>
        </w:tc>
        <w:tc>
          <w:tcPr/>
          <w:p>
            <w:pPr>
              <w:pStyle w:val="Compact"/>
              <w:jc w:val="left"/>
            </w:pPr>
            <w:r>
              <w:t xml:space="preserve">PTDF-Sample, Impedanzen, Nullbilanzfluss, neutrale HVDC/PST</w:t>
            </w:r>
          </w:p>
        </w:tc>
        <w:tc>
          <w:tcPr/>
          <w:p>
            <w:pPr>
              <w:pStyle w:val="Compact"/>
              <w:jc w:val="left"/>
            </w:pPr>
            <w:r>
              <w:t xml:space="preserve">G2, T2, E2</w:t>
            </w:r>
          </w:p>
        </w:tc>
        <w:tc>
          <w:tcPr/>
          <w:p>
            <w:pPr>
              <w:pStyle w:val="Compact"/>
              <w:jc w:val="left"/>
            </w:pPr>
            <w:r>
              <w:t xml:space="preserve">Teilweise rekonstruierbar</w:t>
            </w:r>
          </w:p>
        </w:tc>
      </w:tr>
      <w:tr>
        <w:tc>
          <w:tcPr/>
          <w:p>
            <w:pPr>
              <w:pStyle w:val="Compact"/>
              <w:jc w:val="left"/>
            </w:pPr>
            <w:r>
              <w:t xml:space="preserve">Anhang 6.1, S. 50–51</w:t>
            </w:r>
          </w:p>
        </w:tc>
        <w:tc>
          <w:tcPr/>
          <w:p>
            <w:pPr>
              <w:pStyle w:val="Compact"/>
              <w:jc w:val="left"/>
            </w:pPr>
            <w:r>
              <w:t xml:space="preserve">LODF, vier Kapazitäten und Sonderfallbehandlung</w:t>
            </w:r>
          </w:p>
        </w:tc>
        <w:tc>
          <w:tcPr/>
          <w:p>
            <w:pPr>
              <w:pStyle w:val="Compact"/>
              <w:jc w:val="left"/>
            </w:pPr>
            <w:r>
              <w:t xml:space="preserve">N1, K1</w:t>
            </w:r>
          </w:p>
        </w:tc>
        <w:tc>
          <w:tcPr/>
          <w:p>
            <w:pPr>
              <w:pStyle w:val="Compact"/>
              <w:jc w:val="left"/>
            </w:pPr>
            <w:r>
              <w:t xml:space="preserve">Prinzip dokumentiert</w:t>
            </w:r>
          </w:p>
        </w:tc>
      </w:tr>
      <w:tr>
        <w:tc>
          <w:tcPr/>
          <w:p>
            <w:pPr>
              <w:pStyle w:val="Compact"/>
              <w:jc w:val="left"/>
            </w:pPr>
            <w:r>
              <w:t xml:space="preserve">Kein IoSN-Abschnitt</w:t>
            </w:r>
          </w:p>
        </w:tc>
        <w:tc>
          <w:tcPr/>
          <w:p>
            <w:pPr>
              <w:pStyle w:val="Compact"/>
              <w:jc w:val="left"/>
            </w:pPr>
            <w:r>
              <w:t xml:space="preserve">B, Merit Order, Woodbury, K2, K3, FBMC</w:t>
            </w:r>
          </w:p>
        </w:tc>
        <w:tc>
          <w:tcPr/>
          <w:p>
            <w:pPr>
              <w:pStyle w:val="Compact"/>
              <w:jc w:val="left"/>
            </w:pPr>
            <w:r>
              <w:t xml:space="preserve">C2/C3, W1/W2, N3–N5, F1/F2</w:t>
            </w:r>
          </w:p>
        </w:tc>
        <w:tc>
          <w:tcPr/>
          <w:p>
            <w:pPr>
              <w:pStyle w:val="Compact"/>
              <w:jc w:val="left"/>
            </w:pPr>
            <w:r>
              <w:t xml:space="preserve">Eigene Forschung/Technik</w:t>
            </w:r>
          </w:p>
        </w:tc>
      </w:tr>
    </w:tbl>
    <w:bookmarkEnd w:id="76"/>
    <w:bookmarkStart w:id="83" w:name="anhang-b-quellen-und-evidenzstatus"/>
    <w:p>
      <w:pPr>
        <w:pStyle w:val="Heading1"/>
      </w:pPr>
      <w:r>
        <w:t xml:space="preserve">Anhang B: Quellen und Evidenzstatus</w:t>
      </w:r>
    </w:p>
    <w:p>
      <w:pPr>
        <w:pStyle w:val="FirstParagraph"/>
      </w:pPr>
      <w:r>
        <w:rPr>
          <w:b/>
          <w:bCs/>
        </w:rPr>
        <w:t xml:space="preserve">[E1] ENTSO-E (2026).</w:t>
      </w:r>
      <w:r>
        <w:t xml:space="preserve"> </w:t>
      </w:r>
      <w:r>
        <w:rPr>
          <w:i/>
          <w:iCs/>
        </w:rPr>
        <w:t xml:space="preserve">TYNDP 2026 Identification of System Needs Methodology: Version for Public Consultation</w:t>
      </w:r>
      <w:r>
        <w:t xml:space="preserve">, 25 February 2026, §§3.7–3.9, Annex 6.1. Einzige methodische Normquelle für den IoSN-Abgleich. URL:</w:t>
      </w:r>
      <w:r>
        <w:t xml:space="preserve"> </w:t>
      </w:r>
      <w:hyperlink r:id="rId77">
        <w:r>
          <w:rPr>
            <w:rStyle w:val="Hyperlink"/>
          </w:rPr>
          <w:t xml:space="preserve">https://eepublicdownloads.blob.core.windows.net/public-cdn-container/clean-documents/tyndp-documents/TYNDP2026/TYNDP_2026_identification_of_system_needs_methodology_for_consultation.pdf</w:t>
        </w:r>
      </w:hyperlink>
      <w:r>
        <w:t xml:space="preserve">.</w:t>
      </w:r>
    </w:p>
    <w:p>
      <w:pPr>
        <w:pStyle w:val="BodyText"/>
      </w:pPr>
      <w:r>
        <w:rPr>
          <w:b/>
          <w:bCs/>
        </w:rPr>
        <w:t xml:space="preserve">[N1] Ronellenfitsch, H.; Manik, D.; Hörsch, J.; Brown, T.; Witthaut, D.</w:t>
      </w:r>
      <w:r>
        <w:t xml:space="preserve"> </w:t>
      </w:r>
      <w:r>
        <w:rPr>
          <w:i/>
          <w:iCs/>
        </w:rPr>
        <w:t xml:space="preserve">Dual Theory of Transmission Line Outages</w:t>
      </w:r>
      <w:r>
        <w:t xml:space="preserve">. arXiv:1606.07276, wissenschaftliche Theorie zu Kreisflüssen, LODF und niedrig-rangigen Netzupdates.</w:t>
      </w:r>
      <w:r>
        <w:t xml:space="preserve"> </w:t>
      </w:r>
      <w:hyperlink r:id="rId78">
        <w:r>
          <w:rPr>
            <w:rStyle w:val="Hyperlink"/>
          </w:rPr>
          <w:t xml:space="preserve">https://arxiv.org/abs/1606.07276</w:t>
        </w:r>
      </w:hyperlink>
      <w:r>
        <w:t xml:space="preserve">.</w:t>
      </w:r>
    </w:p>
    <w:p>
      <w:pPr>
        <w:pStyle w:val="BodyText"/>
      </w:pPr>
      <w:r>
        <w:rPr>
          <w:b/>
          <w:bCs/>
        </w:rPr>
        <w:t xml:space="preserve">[N2] Gazafroudi, A. S.; Neumann, F.; Brown, T.</w:t>
      </w:r>
      <w:r>
        <w:t xml:space="preserve"> </w:t>
      </w:r>
      <w:r>
        <w:rPr>
          <w:i/>
          <w:iCs/>
        </w:rPr>
        <w:t xml:space="preserve">Topology-based Approximations for N-1 Contingency Constraints in Power Transmission Networks</w:t>
      </w:r>
      <w:r>
        <w:t xml:space="preserve">. International Journal of Electrical Power &amp; Energy Systems, DOI:10.1016/j.ijepes.2021.107702; arXiv:2211.00970. Vergleich robuster, approximativer und leitungsspezifischer Kapazitätsfaktoren.</w:t>
      </w:r>
      <w:r>
        <w:t xml:space="preserve"> </w:t>
      </w:r>
      <w:hyperlink r:id="rId79">
        <w:r>
          <w:rPr>
            <w:rStyle w:val="Hyperlink"/>
          </w:rPr>
          <w:t xml:space="preserve">https://arxiv.org/abs/2211.00970</w:t>
        </w:r>
      </w:hyperlink>
      <w:r>
        <w:t xml:space="preserve">.</w:t>
      </w:r>
    </w:p>
    <w:p>
      <w:pPr>
        <w:pStyle w:val="BodyText"/>
      </w:pPr>
      <w:r>
        <w:rPr>
          <w:b/>
          <w:bCs/>
        </w:rPr>
        <w:t xml:space="preserve">[P1] PyPSA Developers.</w:t>
      </w:r>
      <w:r>
        <w:t xml:space="preserve"> </w:t>
      </w:r>
      <w:r>
        <w:rPr>
          <w:i/>
          <w:iCs/>
        </w:rPr>
        <w:t xml:space="preserve">Network Clustering</w:t>
      </w:r>
      <w:r>
        <w:t xml:space="preserve">, offizielle Dokumentation, Busmap, Clustering-Objekt und Aggregation.</w:t>
      </w:r>
      <w:r>
        <w:t xml:space="preserve"> </w:t>
      </w:r>
      <w:hyperlink r:id="rId80">
        <w:r>
          <w:rPr>
            <w:rStyle w:val="Hyperlink"/>
          </w:rPr>
          <w:t xml:space="preserve">https://docs.pypsa.org/stable/user-guide/clustering/</w:t>
        </w:r>
      </w:hyperlink>
      <w:r>
        <w:t xml:space="preserve">.</w:t>
      </w:r>
    </w:p>
    <w:p>
      <w:pPr>
        <w:pStyle w:val="BodyText"/>
      </w:pPr>
      <w:r>
        <w:rPr>
          <w:b/>
          <w:bCs/>
        </w:rPr>
        <w:t xml:space="preserve">[P2] PyPSA Developers.</w:t>
      </w:r>
      <w:r>
        <w:t xml:space="preserve"> </w:t>
      </w:r>
      <w:r>
        <w:rPr>
          <w:i/>
          <w:iCs/>
        </w:rPr>
        <w:t xml:space="preserve">SubNetwork API</w:t>
      </w:r>
      <w:r>
        <w:t xml:space="preserve">,</w:t>
      </w:r>
      <w:r>
        <w:t xml:space="preserve"> </w:t>
      </w:r>
      <w:r>
        <w:rPr>
          <w:rStyle w:val="VerbatimChar"/>
        </w:rPr>
        <w:t xml:space="preserve">calculate_PTDF()</w:t>
      </w:r>
      <w:r>
        <w:t xml:space="preserve"> </w:t>
      </w:r>
      <w:r>
        <w:t xml:space="preserve">und</w:t>
      </w:r>
      <w:r>
        <w:t xml:space="preserve"> </w:t>
      </w:r>
      <w:r>
        <w:rPr>
          <w:rStyle w:val="VerbatimChar"/>
        </w:rPr>
        <w:t xml:space="preserve">calculate_BODF()</w:t>
      </w:r>
      <w:r>
        <w:t xml:space="preserve">.</w:t>
      </w:r>
      <w:r>
        <w:t xml:space="preserve"> </w:t>
      </w:r>
      <w:hyperlink r:id="rId81">
        <w:r>
          <w:rPr>
            <w:rStyle w:val="Hyperlink"/>
          </w:rPr>
          <w:t xml:space="preserve">https://docs.pypsa.org/latest/api/networks/subnetwork/</w:t>
        </w:r>
      </w:hyperlink>
      <w:r>
        <w:t xml:space="preserve">.</w:t>
      </w:r>
    </w:p>
    <w:p>
      <w:pPr>
        <w:pStyle w:val="BodyText"/>
      </w:pPr>
      <w:r>
        <w:rPr>
          <w:b/>
          <w:bCs/>
        </w:rPr>
        <w:t xml:space="preserve">[P3] PyPSA Developers.</w:t>
      </w:r>
      <w:r>
        <w:t xml:space="preserve"> </w:t>
      </w:r>
      <w:r>
        <w:rPr>
          <w:i/>
          <w:iCs/>
        </w:rPr>
        <w:t xml:space="preserve">Flow-Based Market Coupling: Example</w:t>
      </w:r>
      <w:r>
        <w:t xml:space="preserve">, Domänenrestriktionen und Linopy-Marktformulierung.</w:t>
      </w:r>
      <w:r>
        <w:t xml:space="preserve"> </w:t>
      </w:r>
      <w:hyperlink r:id="rId82">
        <w:r>
          <w:rPr>
            <w:rStyle w:val="Hyperlink"/>
          </w:rPr>
          <w:t xml:space="preserve">https://docs.pypsa.org/stable/examples/fbmc-simple-example/</w:t>
        </w:r>
      </w:hyperlink>
      <w:r>
        <w:t xml:space="preserve">.</w:t>
      </w:r>
    </w:p>
    <w:p>
      <w:pPr>
        <w:pStyle w:val="BodyText"/>
      </w:pPr>
      <w:r>
        <w:rPr>
          <w:b/>
          <w:bCs/>
        </w:rPr>
        <w:t xml:space="preserve">[S0] Frühere Projektartefakte (16.10.2026).</w:t>
      </w:r>
      <w:r>
        <w:t xml:space="preserve"> </w:t>
      </w:r>
      <w:r>
        <w:t xml:space="preserve">Vorheriger synthetischer Methodenvergleich und FBMC-Prototyp, einschließlich CSV-Dateien und Python-Testpaket aus diesem Gespräch. Interne Demonstrationsdaten,</w:t>
      </w:r>
      <w:r>
        <w:t xml:space="preserve"> </w:t>
      </w:r>
      <w:r>
        <w:rPr>
          <w:b/>
          <w:bCs/>
        </w:rPr>
        <w:t xml:space="preserve">keine</w:t>
      </w:r>
      <w:r>
        <w:t xml:space="preserve"> </w:t>
      </w:r>
      <w:r>
        <w:t xml:space="preserve">ENTSO-E-Netzevidenz.</w:t>
      </w:r>
    </w:p>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8" Target="https://arxiv.org/abs/1606.07276" TargetMode="External" /><Relationship Type="http://schemas.openxmlformats.org/officeDocument/2006/relationships/hyperlink" Id="rId79" Target="https://arxiv.org/abs/2211.00970" TargetMode="External" /><Relationship Type="http://schemas.openxmlformats.org/officeDocument/2006/relationships/hyperlink" Id="rId81" Target="https://docs.pypsa.org/latest/api/networks/subnetwork/" TargetMode="External" /><Relationship Type="http://schemas.openxmlformats.org/officeDocument/2006/relationships/hyperlink" Id="rId82" Target="https://docs.pypsa.org/stable/examples/fbmc-simple-example/" TargetMode="External" /><Relationship Type="http://schemas.openxmlformats.org/officeDocument/2006/relationships/hyperlink" Id="rId80" Target="https://docs.pypsa.org/stable/user-guide/clustering/" TargetMode="External" /><Relationship Type="http://schemas.openxmlformats.org/officeDocument/2006/relationships/hyperlink" Id="rId77" Target="https://eepublicdownloads.blob.core.windows.net/public-cdn-container/clean-documents/tyndp-documents/TYNDP2026/TYNDP_2026_identification_of_system_needs_methodology_for_consultation.pdf" TargetMode="External" /></Relationships>
</file>

<file path=word/_rels/footnotes.xml.rels><?xml version="1.0" encoding="UTF-8"?><Relationships xmlns="http://schemas.openxmlformats.org/package/2006/relationships"><Relationship Type="http://schemas.openxmlformats.org/officeDocument/2006/relationships/hyperlink" Id="rId78" Target="https://arxiv.org/abs/1606.07276" TargetMode="External" /><Relationship Type="http://schemas.openxmlformats.org/officeDocument/2006/relationships/hyperlink" Id="rId79" Target="https://arxiv.org/abs/2211.00970" TargetMode="External" /><Relationship Type="http://schemas.openxmlformats.org/officeDocument/2006/relationships/hyperlink" Id="rId81" Target="https://docs.pypsa.org/latest/api/networks/subnetwork/" TargetMode="External" /><Relationship Type="http://schemas.openxmlformats.org/officeDocument/2006/relationships/hyperlink" Id="rId82" Target="https://docs.pypsa.org/stable/examples/fbmc-simple-example/" TargetMode="External" /><Relationship Type="http://schemas.openxmlformats.org/officeDocument/2006/relationships/hyperlink" Id="rId80" Target="https://docs.pypsa.org/stable/user-guide/clustering/" TargetMode="External" /><Relationship Type="http://schemas.openxmlformats.org/officeDocument/2006/relationships/hyperlink" Id="rId77" Target="https://eepublicdownloads.blob.core.windows.net/public-cdn-container/clean-documents/tyndp-documents/TYNDP2026/TYNDP_2026_identification_of_system_needs_methodology_for_consultatio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Netzreduktion im ENTSO-E TYNDP 2026: Wissenschaftlicher Methodenvergleich</dc:title>
  <dc:creator>Wissenschaftlicher Konsolidierungsbericht — Revision 1</dc:creator>
  <dc:language>de-DE</dc:language>
  <cp:keywords/>
  <dcterms:created xsi:type="dcterms:W3CDTF">2026-10-16T21:22:08Z</dcterms:created>
  <dcterms:modified xsi:type="dcterms:W3CDTF">2026-10-16T21:22:08Z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16. Oktober 2026</vt:lpwstr>
  </property>
  <property fmtid="{D5CDD505-2E9C-101B-9397-08002B2CF9AE}" pid="4" name="fontsize">
    <vt:lpwstr>10pt</vt:lpwstr>
  </property>
  <property fmtid="{D5CDD505-2E9C-101B-9397-08002B2CF9AE}" pid="5" name="geometry">
    <vt:lpwstr>top=22mm,bottom=23mm,left=23mm,right=22mm</vt:lpwstr>
  </property>
  <property fmtid="{D5CDD505-2E9C-101B-9397-08002B2CF9AE}" pid="6" name="header-includes">
    <vt:lpwstr/>
  </property>
  <property fmtid="{D5CDD505-2E9C-101B-9397-08002B2CF9AE}" pid="7" name="numbersections">
    <vt:lpwstr>False</vt:lpwstr>
  </property>
  <property fmtid="{D5CDD505-2E9C-101B-9397-08002B2CF9AE}" pid="8" name="subtitle">
    <vt:lpwstr>IoSN-Baseline, PTDF-Aggregation, technologiespezifische Verteilungen, elektrische Äquivalenz, N-1-Sicherheit und Flow-Based Market Coupling</vt:lpwstr>
  </property>
  <property fmtid="{D5CDD505-2E9C-101B-9397-08002B2CF9AE}" pid="9" name="toc">
    <vt:lpwstr>True</vt:lpwstr>
  </property>
  <property fmtid="{D5CDD505-2E9C-101B-9397-08002B2CF9AE}" pid="10" name="toc-depth">
    <vt:lpwstr>2</vt:lpwstr>
  </property>
  <property fmtid="{D5CDD505-2E9C-101B-9397-08002B2CF9AE}" pid="11" name="toc-title">
    <vt:lpwstr>Inhaltsverzeichnis</vt:lpwstr>
  </property>
  <property fmtid="{D5CDD505-2E9C-101B-9397-08002B2CF9AE}" pid="12" name="urlcolor">
    <vt:lpwstr>blue</vt:lpwstr>
  </property>
</Properties>
</file>