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Vergleich</w:t>
      </w:r>
      <w:r>
        <w:t xml:space="preserve"> </w:t>
      </w:r>
      <w:r>
        <w:t xml:space="preserve">und</w:t>
      </w:r>
      <w:r>
        <w:t xml:space="preserve"> </w:t>
      </w:r>
      <w:r>
        <w:t xml:space="preserve">Softwaredesign</w:t>
      </w:r>
      <w:r>
        <w:t xml:space="preserve"> </w:t>
      </w:r>
      <w:r>
        <w:t xml:space="preserve">TYNDP-naher</w:t>
      </w:r>
      <w:r>
        <w:t xml:space="preserve"> </w:t>
      </w:r>
      <w:r>
        <w:t xml:space="preserve">Netzreduktionsmethoden</w:t>
      </w:r>
      <w:r>
        <w:t xml:space="preserve"> </w:t>
      </w:r>
      <w:r>
        <w:t xml:space="preserve">mit</w:t>
      </w:r>
      <w:r>
        <w:t xml:space="preserve"> </w:t>
      </w:r>
      <w:r>
        <w:t xml:space="preserve">PyPSA</w:t>
      </w:r>
    </w:p>
    <w:p>
      <w:pPr>
        <w:pStyle w:val="Subtitle"/>
      </w:pPr>
      <w:r>
        <w:t xml:space="preserve">Clustering</w:t>
      </w:r>
      <w:r>
        <w:t xml:space="preserve"> </w:t>
      </w:r>
      <w:r>
        <w:t xml:space="preserve">A/B,</w:t>
      </w:r>
      <w:r>
        <w:t xml:space="preserve"> </w:t>
      </w:r>
      <w:r>
        <w:t xml:space="preserve">technologiespezifische</w:t>
      </w:r>
      <w:r>
        <w:t xml:space="preserve"> </w:t>
      </w:r>
      <w:r>
        <w:t xml:space="preserve">PTDFs,</w:t>
      </w:r>
      <w:r>
        <w:t xml:space="preserve"> </w:t>
      </w:r>
      <w:r>
        <w:t xml:space="preserve">Merit-Order-Referenzen,</w:t>
      </w:r>
      <w:r>
        <w:t xml:space="preserve"> </w:t>
      </w:r>
      <w:r>
        <w:t xml:space="preserve">elektrische</w:t>
      </w:r>
      <w:r>
        <w:t xml:space="preserve"> </w:t>
      </w:r>
      <w:r>
        <w:t xml:space="preserve">Äquivalenz</w:t>
      </w:r>
      <w:r>
        <w:t xml:space="preserve"> </w:t>
      </w:r>
      <w:r>
        <w:t xml:space="preserve">und</w:t>
      </w:r>
      <w:r>
        <w:t xml:space="preserve"> </w:t>
      </w:r>
      <w:r>
        <w:t xml:space="preserve">N-1</w:t>
      </w:r>
    </w:p>
    <w:p>
      <w:pPr>
        <w:pStyle w:val="Author"/>
      </w:pPr>
      <w:r>
        <w:t xml:space="preserve">Wissenschaftlicher</w:t>
      </w:r>
      <w:r>
        <w:t xml:space="preserve"> </w:t>
      </w:r>
      <w:r>
        <w:t xml:space="preserve">Architektur-</w:t>
      </w:r>
      <w:r>
        <w:t xml:space="preserve"> </w:t>
      </w:r>
      <w:r>
        <w:t xml:space="preserve">und</w:t>
      </w:r>
      <w:r>
        <w:t xml:space="preserve"> </w:t>
      </w:r>
      <w:r>
        <w:t xml:space="preserve">Prototypbericht</w:t>
      </w:r>
    </w:p>
    <w:p>
      <w:pPr>
        <w:pStyle w:val="Date"/>
      </w:pPr>
      <w:r>
        <w:t xml:space="preserve">16.</w:t>
      </w:r>
      <w:r>
        <w:t xml:space="preserve"> </w:t>
      </w:r>
      <w:r>
        <w:t xml:space="preserve">Oktober</w:t>
      </w:r>
      <w:r>
        <w:t xml:space="preserve"> </w:t>
      </w:r>
      <w:r>
        <w:t xml:space="preserve">2026</w:t>
      </w:r>
    </w:p>
    <w:bookmarkStart w:id="20" w:name="executive-summar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Der Bericht konsolidiert die in diesem Gespräch entwickelten Ansätze zur räumlichen Netzreduktion im Rahmen von</w:t>
      </w:r>
      <w:r>
        <w:t xml:space="preserve"> </w:t>
      </w:r>
      <w:r>
        <w:rPr>
          <w:b/>
          <w:bCs/>
        </w:rPr>
        <w:t xml:space="preserve">PyPSA / ENTSO-E TYNDP 2026</w:t>
      </w:r>
      <w:r>
        <w:t xml:space="preserve">. Sein Ergebnis ist</w:t>
      </w:r>
      <w:r>
        <w:t xml:space="preserve"> </w:t>
      </w:r>
      <w:r>
        <w:rPr>
          <w:b/>
          <w:bCs/>
        </w:rPr>
        <w:t xml:space="preserve">kein Beleg einer vollumfänglichen ENTSO-E-Implementierung</w:t>
      </w:r>
      <w:r>
        <w:t xml:space="preserve">, sondern eine explizite, mathematisch überprüfbare Architektur mit einem ausführbaren synthetischen Kernprototypen, einem gekapselten PyPSA-Adapter und klar definierten Validierungsgrenzen.</w:t>
      </w:r>
    </w:p>
    <w:p>
      <w:pPr>
        <w:pStyle w:val="BodyText"/>
      </w:pPr>
      <w:r>
        <w:t xml:space="preserve">Die empfohlenen Hauptstufen sind: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Zwei getrennte Clusterbildungen</w:t>
      </w:r>
      <w:r>
        <w:t xml:space="preserve"> </w:t>
      </w:r>
      <w:r>
        <w:t xml:space="preserve">auf derselben detaillierten physischen Topologie: A mit stündlichen Flüssen aus vollständigem Marktdispatch und Überlastungsenergie; B mit erneuerbarer Verfügbarkeit und Last, transparenter Bilanzierung und allgemeiner Leitungsbeanspruchung.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Einheitliche elektrische Identifikation</w:t>
      </w:r>
      <w:r>
        <w:t xml:space="preserve"> </w:t>
      </w:r>
      <w:r>
        <w:t xml:space="preserve">je Busmap: Aggregationsoperatoren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m</m:t>
            </m:r>
          </m:sub>
        </m:sSub>
      </m:oMath>
      <w:r>
        <w:t xml:space="preserve">, Referenzverteilung</w:t>
      </w:r>
      <w:r>
        <w:t xml:space="preserve"> </w:t>
      </w:r>
      <m:oMath>
        <m:r>
          <m:t>R</m:t>
        </m:r>
      </m:oMath>
      <w:r>
        <w:t xml:space="preserve">, effektive technologiespezifische PTDFs, positive Ersatzreaktanzen, strukturelle Flusskorrektur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 N-1-bezogene saisonale, gerichtete Kapazitäten und unabhängige Validierung.</w:t>
      </w:r>
    </w:p>
    <w:p>
      <w:pPr>
        <w:pStyle w:val="FirstParagraph"/>
      </w:pPr>
      <w:r>
        <w:t xml:space="preserve">Über beide Stufen laufen drei</w:t>
      </w:r>
      <w:r>
        <w:t xml:space="preserve"> </w:t>
      </w:r>
      <w:r>
        <w:rPr>
          <w:b/>
          <w:bCs/>
        </w:rPr>
        <w:t xml:space="preserve">Referenzvarianten</w:t>
      </w:r>
      <w:r>
        <w:t xml:space="preserve">: Gleichverteilung, Verteilung nach installierter konventioneller Leistung sowie eine aus festen Grenzkosten und Kapazitäten generierte</w:t>
      </w:r>
      <w:r>
        <w:t xml:space="preserve"> </w:t>
      </w:r>
      <w:r>
        <w:rPr>
          <w:b/>
          <w:bCs/>
        </w:rPr>
        <w:t xml:space="preserve">Merit-Order-Verteilung</w:t>
      </w:r>
      <w:r>
        <w:t xml:space="preserve">. Repräsentativknoten werden optional durch Annäherung an die zugehörige gewichtete PTDF-Spalte ausgewählt, nicht allein anhand der installierten Leistung.</w:t>
      </w:r>
    </w:p>
    <w:p>
      <w:pPr>
        <w:pStyle w:val="BodyText"/>
      </w:pPr>
      <w:r>
        <w:t xml:space="preserve">Im neuen synthetischen 9-Bus-Test (120 Stunden, fünf Zonen) ist die korrigierte Merit-Order-Referenz bei Clustering A am genauesten (RMSE</w:t>
      </w:r>
      <w:r>
        <w:t xml:space="preserve"> </w:t>
      </w:r>
      <w:r>
        <w:rPr>
          <w:b/>
          <w:bCs/>
        </w:rPr>
        <w:t xml:space="preserve">0,845 MW</w:t>
      </w:r>
      <w:r>
        <w:t xml:space="preserve">), bei Clustering B dagegen schlechter als Gleichverteilung (RMSE</w:t>
      </w:r>
      <w:r>
        <w:t xml:space="preserve"> </w:t>
      </w:r>
      <w:r>
        <w:rPr>
          <w:b/>
          <w:bCs/>
        </w:rPr>
        <w:t xml:space="preserve">1,337 MW</w:t>
      </w:r>
      <w:r>
        <w:t xml:space="preserve"> </w:t>
      </w:r>
      <w:r>
        <w:t xml:space="preserve">gegenüber</w:t>
      </w:r>
      <w:r>
        <w:t xml:space="preserve"> </w:t>
      </w:r>
      <w:r>
        <w:rPr>
          <w:b/>
          <w:bCs/>
        </w:rPr>
        <w:t xml:space="preserve">0,638 MW</w:t>
      </w:r>
      <w:r>
        <w:t xml:space="preserve">). Die Studie belegt damit die</w:t>
      </w:r>
      <w:r>
        <w:t xml:space="preserve"> </w:t>
      </w:r>
      <w:r>
        <w:rPr>
          <w:b/>
          <w:bCs/>
        </w:rPr>
        <w:t xml:space="preserve">Problemabhängigkeit</w:t>
      </w:r>
      <w:r>
        <w:t xml:space="preserve"> </w:t>
      </w:r>
      <w:r>
        <w:t xml:space="preserve">der Wahl von</w:t>
      </w:r>
      <w:r>
        <w:t xml:space="preserve"> </w:t>
      </w:r>
      <m:oMath>
        <m:r>
          <m:t>R</m:t>
        </m:r>
      </m:oMath>
      <w:r>
        <w:t xml:space="preserve">, nicht eine generelle Hierarchie. Die Werte stammen ausschließlich aus frei generierten Modellzahlen und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aus TYNDP-/ENTSO-E-/PyPSA-Eur-Netzen.</w:t>
      </w:r>
    </w:p>
    <w:p>
      <w:pPr>
        <w:pStyle w:val="BodyText"/>
      </w:pPr>
      <w:r>
        <w:rPr>
          <w:b/>
          <w:bCs/>
        </w:rPr>
        <w:t xml:space="preserve">Begriffsvorbehalt:</w:t>
      </w:r>
      <w:r>
        <w:t xml:space="preserve"> </w:t>
      </w:r>
      <w:r>
        <w:t xml:space="preserve">Die im Auftrag genannte</w:t>
      </w:r>
      <w:r>
        <w:t xml:space="preserve"> </w:t>
      </w:r>
      <w:r>
        <w:rPr>
          <w:i/>
          <w:iCs/>
        </w:rPr>
        <w:t xml:space="preserve">„MCOE-Formulierung“</w:t>
      </w:r>
      <w:r>
        <w:t xml:space="preserve"> </w:t>
      </w:r>
      <w:r>
        <w:t xml:space="preserve">ist weder in den vorliegenden Gesprächsunterlagen noch in den bisherigen Berichtsentwürfen als eigenständige mathematische Normform definiert. Für die folgende Distanzbewertung wird daher transparent die</w:t>
      </w:r>
      <w:r>
        <w:t xml:space="preserve"> </w:t>
      </w:r>
      <w:r>
        <w:rPr>
          <w:b/>
          <w:bCs/>
        </w:rPr>
        <w:t xml:space="preserve">marginalkostenbasierte, kapazitätsbeschränkte Merit-Order-Referenz</w:t>
      </w:r>
      <w:r>
        <w:t xml:space="preserve"> </w:t>
      </w:r>
      <w:r>
        <w:t xml:space="preserve">als</w:t>
      </w:r>
      <w:r>
        <w:t xml:space="preserve"> </w:t>
      </w:r>
      <w:r>
        <w:rPr>
          <w:i/>
          <w:iCs/>
        </w:rPr>
        <w:t xml:space="preserve">Arbeitsinterpretation MCOE</w:t>
      </w:r>
      <w:r>
        <w:t xml:space="preserve"> </w:t>
      </w:r>
      <w:r>
        <w:t xml:space="preserve">verwendet. MCOE wird hier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als etablierte oder durch ENTSO-E vorgeschriebene Abkürzung behauptet. Falls eine andere exakte MCOE-Gleichung gemeint war, muss die Distanzbewertung dagegen ersetzt werden.</w:t>
      </w:r>
    </w:p>
    <w:bookmarkEnd w:id="20"/>
    <w:bookmarkStart w:id="23" w:name="dokumenten--und-geltungsbereich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Dokumenten- und Geltungsbereich</w:t>
      </w:r>
    </w:p>
    <w:bookmarkStart w:id="21" w:name="methodische-autoritä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1.1 Methodische Autorität</w:t>
      </w:r>
    </w:p>
    <w:p>
      <w:pPr>
        <w:pStyle w:val="FirstParagraph"/>
      </w:pPr>
      <w:r>
        <w:t xml:space="preserve">Normative Ausgangsbasis für die ENTSO-E-Beurteilung ist allein die Konsultationsfassung</w:t>
      </w:r>
      <w:r>
        <w:t xml:space="preserve"> </w:t>
      </w:r>
      <w:r>
        <w:rPr>
          <w:b/>
          <w:bCs/>
        </w:rPr>
        <w:t xml:space="preserve">„TYNDP 2026 – Identification of System Needs Methodology“</w:t>
      </w:r>
      <w:r>
        <w:t xml:space="preserve">, vom 25. Februar 2026, Kapitel 3.8 und Anhang 6.1. Die relevante Methode beschreibt kritische Leitungen, räumliche Zonengrenzen, PTDF-gestützte stündliche physikalische Flüsse, Ersatzimpedanzen, strukturelle Nullbilanzflüsse sowie richtungs- und saisonabhängige, N-1-bezogene Ersatzkapazitäten. Die ENTSO-E veröffentlicht dabei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sämtliche Regressions- oder Optimierungsdetails. [E1]</w:t>
      </w:r>
    </w:p>
    <w:p>
      <w:pPr>
        <w:pStyle w:val="BodyText"/>
      </w:pPr>
      <w:r>
        <w:t xml:space="preserve">Andere Quellen werden nur für vorhandene</w:t>
      </w:r>
      <w:r>
        <w:t xml:space="preserve"> </w:t>
      </w:r>
      <w:r>
        <w:rPr>
          <w:b/>
          <w:bCs/>
        </w:rPr>
        <w:t xml:space="preserve">Softwarefunktionen</w:t>
      </w:r>
      <w:r>
        <w:t xml:space="preserve"> </w:t>
      </w:r>
      <w:r>
        <w:t xml:space="preserve">([P1]–[P3]) oder als</w:t>
      </w:r>
      <w:r>
        <w:t xml:space="preserve"> </w:t>
      </w:r>
      <w:r>
        <w:rPr>
          <w:b/>
          <w:bCs/>
        </w:rPr>
        <w:t xml:space="preserve">frühere interne Gesprächsartefakte</w:t>
      </w:r>
      <w:r>
        <w:t xml:space="preserve"> </w:t>
      </w:r>
      <w:r>
        <w:t xml:space="preserve">([I1]–[I3]) herangezogen. Der neue quantitative Beispielversuch ist [S1].</w:t>
      </w:r>
    </w:p>
    <w:bookmarkEnd w:id="21"/>
    <w:bookmarkStart w:id="22" w:name="statuskennzeichnung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1.2 Statuskennzeichnung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[D] Dokumentiert:</w:t>
      </w:r>
      <w:r>
        <w:t xml:space="preserve"> </w:t>
      </w:r>
      <w:r>
        <w:t xml:space="preserve">vom ENTSO-E-Text ausdrücklich gedeckt.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[R] Rekonstruktion:</w:t>
      </w:r>
      <w:r>
        <w:t xml:space="preserve"> </w:t>
      </w:r>
      <w:r>
        <w:t xml:space="preserve">mathematisch konsistente Interpretation, nicht als Originalalgorithmus ausgewiesen.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[E] Entwurf:</w:t>
      </w:r>
      <w:r>
        <w:t xml:space="preserve"> </w:t>
      </w:r>
      <w:r>
        <w:t xml:space="preserve">konkrete Software- oder Forschungsentscheidung.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[S] Synthetischer Befund:</w:t>
      </w:r>
      <w:r>
        <w:t xml:space="preserve"> </w:t>
      </w:r>
      <w:r>
        <w:t xml:space="preserve">aus künstlichen Eingangsdaten berechnet.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[O] Offen:</w:t>
      </w:r>
      <w:r>
        <w:t xml:space="preserve"> </w:t>
      </w:r>
      <w:r>
        <w:t xml:space="preserve">zusätzliche Daten, Methodenspezifikation oder Realnetzqualifikation erforderlich.</w:t>
      </w:r>
    </w:p>
    <w:p>
      <w:pPr>
        <w:pStyle w:val="FirstParagraph"/>
      </w:pPr>
      <w:r>
        <w:t xml:space="preserve">Nicht betrachtet: vollständige AC-Spannungsäquivalenz, Schutz-/Kurzschlussäquivalente, harmonische Modelle, dynamische Äquivalenz sowie der gesamte TYNDP-Markt- und Investitionsplanungsprozess.</w:t>
      </w:r>
    </w:p>
    <w:bookmarkEnd w:id="22"/>
    <w:bookmarkEnd w:id="23"/>
    <w:bookmarkStart w:id="26" w:name="gemeinsame-mathematische-grundlage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Gemeinsame mathematische Grundlagen</w:t>
      </w:r>
    </w:p>
    <w:p>
      <w:pPr>
        <w:pStyle w:val="FirstParagraph"/>
      </w:pPr>
      <w:r>
        <w:t xml:space="preserve">Sei</w:t>
      </w:r>
      <w:r>
        <w:t xml:space="preserve"> </w:t>
      </w:r>
      <m:oMath>
        <m:sSub>
          <m:e>
            <m:r>
              <m:t>G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L</m:t>
            </m:r>
          </m:e>
        </m:d>
      </m:oMath>
      <w:r>
        <w:t xml:space="preserve"> </w:t>
      </w:r>
      <w:r>
        <w:t xml:space="preserve">der detaillierte passive AC-Graph in verlustloser DC-Näherung 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Knoten,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Zweigen, orientierter Knoten-Zweig-Inzidenz</w:t>
      </w:r>
      <w:r>
        <w:t xml:space="preserve"> </w:t>
      </w:r>
      <m:oMath>
        <m:sSub>
          <m:e>
            <m:r>
              <m:t>A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L</m:t>
            </m:r>
          </m:sup>
        </m:sSup>
      </m:oMath>
      <w:r>
        <w:t xml:space="preserve"> </w:t>
      </w:r>
      <w:r>
        <w:t xml:space="preserve">und positiver Reaktanz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Es sei</w:t>
      </w:r>
      <w:r>
        <w:t xml:space="preserve"> </w:t>
      </w:r>
      <m:oMath>
        <m:sSub>
          <m:e>
            <m:r>
              <m:t>B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ℓ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d</m:t>
              </m:r>
            </m:sub>
          </m:sSub>
          <m:sSub>
            <m:e>
              <m:r>
                <m:t>B</m:t>
              </m:r>
            </m:e>
            <m:sub>
              <m:r>
                <m:t>d</m:t>
              </m:r>
            </m:sub>
          </m:sSub>
          <m:sSubSup>
            <m:e>
              <m:r>
                <m:t>A</m:t>
              </m:r>
            </m:e>
            <m:sub>
              <m:r>
                <m:t>d</m:t>
              </m:r>
            </m:sub>
            <m:sup>
              <m:r>
                <m:rPr>
                  <m:sty m:val="p"/>
                  <m:scr m:val="sans-serif"/>
                </m:rPr>
                <m:t>T</m:t>
              </m:r>
            </m:sup>
          </m:sSubSup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d</m:t>
              </m:r>
            </m:sub>
          </m:sSub>
          <m:sSubSup>
            <m:e>
              <m:r>
                <m:t>A</m:t>
              </m:r>
            </m:e>
            <m:sub>
              <m:r>
                <m:t>d</m:t>
              </m:r>
            </m:sub>
            <m:sup>
              <m:r>
                <m:rPr>
                  <m:sty m:val="p"/>
                  <m:scr m:val="sans-serif"/>
                </m:rPr>
                <m:t>T</m:t>
              </m:r>
            </m:sup>
          </m:sSubSup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d</m:t>
              </m:r>
            </m:sub>
          </m:sSub>
          <m:sSub>
            <m:e>
              <m:r>
                <m:t>f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Für die nodale PTDF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(gewählte Slack-Referenz) gilt bei</w:t>
      </w:r>
      <w:r>
        <w:t xml:space="preserve"> </w:t>
      </w:r>
      <w:r>
        <w:rPr>
          <w:b/>
          <w:bCs/>
        </w:rPr>
        <w:t xml:space="preserve">explizit ausgeglichenem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1</m:t>
              </m:r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sSub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d</m:t>
              </m:r>
            </m:sub>
          </m:sSub>
          <m:sSub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Ein von null verschiedener physikalischer Phasenschieber-/PST-Offset müsste als zusätzlicher Term geführt werden. Mehrere AC-Inseln benötigen eigene Bilanzen und Block-PTDFs. HVDC ist als zweipolige nodale Ein-/Ausspeisung abzubilden; Leistung am AC-Terminal, Verluste und Link-Vorzeichen müssen konsistent sein.</w:t>
      </w:r>
    </w:p>
    <w:bookmarkStart w:id="24" w:name="exakte-matrixaggregati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Exakte Matrixaggregation</w:t>
      </w:r>
    </w:p>
    <w:p>
      <w:pPr>
        <w:pStyle w:val="FirstParagraph"/>
      </w:pPr>
      <w:r>
        <w:t xml:space="preserve">Die Busmap</w:t>
      </w:r>
      <w:r>
        <w:t xml:space="preserve"> </w:t>
      </w:r>
      <m:oMath>
        <m:sSub>
          <m:e>
            <m:r>
              <m:t>z</m:t>
            </m:r>
          </m:e>
          <m:sub>
            <m:r>
              <m:t>m</m:t>
            </m:r>
          </m:sub>
        </m:sSub>
        <m:r>
          <m:rPr>
            <m:sty m:val="p"/>
          </m:rPr>
          <m:t>:</m:t>
        </m:r>
        <m:r>
          <m:rPr>
            <m:sty m:val="p"/>
            <m:scr m:val="script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erzeugt für Clustering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die boolesche Matrix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Z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sowie den orientierten physikalischen Schnittoperator</w:t>
      </w:r>
      <w:r>
        <w:t xml:space="preserve"> </w:t>
      </w:r>
      <m:oMath>
        <m:sSub>
          <m:e>
            <m:r>
              <m:t>Γ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sSub>
              <m:e>
                <m:r>
                  <m:t>E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×</m:t>
            </m:r>
            <m:r>
              <m:t>L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t>A</m:t>
            </m:r>
          </m:e>
          <m:sub>
            <m:r>
              <m:t>z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 </w:t>
      </w:r>
      <w:r>
        <w:t xml:space="preserve">ist die Inzidenz des reduzierten Schnittgraphen. Dann: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sSub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f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m</m:t>
              </m:r>
            </m:sub>
          </m:sSub>
          <m:sSub>
            <m:e>
              <m:r>
                <m:t>f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borderBox>
            <m:e>
              <m:sSub>
                <m:e>
                  <m:r>
                    <m:t>A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Folglich gilt exakt (im selben lossless-DC-Modell):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A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sSubSup>
                <m:e>
                  <m:r>
                    <m:t>f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</m:sup>
              </m:sSubSup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Wichtig:</w:t>
      </w:r>
      <w:r>
        <w:t xml:space="preserve"> </w:t>
      </w:r>
      <w:r>
        <w:t xml:space="preserve">Diese Bilanzidentität ist keine Aussage, dass die äquivalenten Zweigimpedanzen bereits richtig sind. Sie sagt ausschließlich, dass ursprüngliche Grenzflüsse und die zugehörigen eingespeisten Zonenbilanzen konsistent aggregiert wurden.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Γ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sind</w:t>
      </w:r>
      <w:r>
        <w:t xml:space="preserve"> </w:t>
      </w:r>
      <w:r>
        <w:rPr>
          <w:b/>
          <w:bCs/>
        </w:rPr>
        <w:t xml:space="preserve">busmap-spezifisch</w:t>
      </w:r>
      <w:r>
        <w:t xml:space="preserve">; ihre Werte sind im Allgemeinen für A und B verschieden.</w:t>
      </w:r>
    </w:p>
    <w:bookmarkEnd w:id="24"/>
    <w:bookmarkStart w:id="25" w:name="Xc980b3c7be2aa791598f45711a1524f40c29ad0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Basisfluss, Nullbilanzfluss und zwei verschiedene F0-Begriffe</w:t>
      </w:r>
    </w:p>
    <w:p>
      <w:pPr>
        <w:pStyle w:val="FirstParagraph"/>
      </w:pPr>
      <w:r>
        <w:t xml:space="preserve">Ein Referenzfluss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d</m:t>
            </m:r>
          </m:sub>
        </m:sSub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ist nicht dasselbe wie ein</w:t>
      </w:r>
      <w:r>
        <w:t xml:space="preserve"> </w:t>
      </w:r>
      <w:r>
        <w:rPr>
          <w:b/>
          <w:bCs/>
        </w:rPr>
        <w:t xml:space="preserve">struktureller zonaler Nullbilanzfluss</w:t>
      </w:r>
      <w:r>
        <w:t xml:space="preserve">. Letzterer wird aus Einspeisungsunterschieden innerhalb der Zonen erzeugt, deren zonale Summe null ist. Für eine Disaggregation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Z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t>R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Z</m:t>
            </m:r>
          </m:sub>
        </m:sSub>
      </m:oMath>
      <w:r>
        <w:t xml:space="preserve">, gilt: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R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sSub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Somit: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bSup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m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R</m:t>
                  </m:r>
                  <m:r>
                    <m:t> </m:t>
                  </m:r>
                  <m:sSubSup>
                    <m:e>
                      <m:r>
                        <m:t>p</m:t>
                      </m:r>
                    </m:e>
                    <m:sub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</m:e>
                      </m:d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referenzbasierter Zoneneinfluss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m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d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lim>
          </m:limLow>
        </m:oMath>
      </m:oMathPara>
    </w:p>
    <w:p>
      <w:pPr>
        <w:pStyle w:val="FirstParagraph"/>
      </w:pPr>
      <w:r>
        <w:t xml:space="preserve">und</w:t>
      </w:r>
      <w:r>
        <w:t xml:space="preserve"> </w:t>
      </w:r>
      <m:oMath>
        <m:sSub>
          <m:e>
            <m:r>
              <m:t>A</m:t>
            </m:r>
          </m:e>
          <m:sub>
            <m:r>
              <m:t>z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sSub>
          <m:e>
            <m:r>
              <m:t>f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Der Strukturfluss ist typischerweise</w:t>
      </w:r>
      <w:r>
        <w:t xml:space="preserve"> </w:t>
      </w:r>
      <w:r>
        <w:rPr>
          <w:b/>
          <w:bCs/>
        </w:rPr>
        <w:t xml:space="preserve">zeitabhängig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referenzabhängig</w:t>
      </w:r>
      <w:r>
        <w:t xml:space="preserve">. Ein kalibrierter konstanter</w:t>
      </w:r>
      <w:r>
        <w:t xml:space="preserve"> </w:t>
      </w:r>
      <m:oMath>
        <m:sSup>
          <m:e>
            <m:r>
              <m:t>c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ist dagegen ein Modellparameter, der diese stündlich schwankenden Wirkungen nur innerhalb seiner Gültigkeitsbedingungen approximiert. Die Rechnung setzt hier neutrale PST-Offsets voraus.</w:t>
      </w:r>
    </w:p>
    <w:bookmarkEnd w:id="25"/>
    <w:bookmarkEnd w:id="26"/>
    <w:bookmarkStart w:id="27" w:name="Xcf92318644c6fd31329118399db67bc1cece788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Methode A: Dispatch-basierte Überlastungsenergie</w:t>
      </w:r>
    </w:p>
    <w:p>
      <w:pPr>
        <w:pStyle w:val="FirstParagraph"/>
      </w:pPr>
      <w:r>
        <w:rPr>
          <w:b/>
          <w:bCs/>
        </w:rPr>
        <w:t xml:space="preserve">Ziel [D/R]:</w:t>
      </w:r>
      <w:r>
        <w:t xml:space="preserve"> </w:t>
      </w:r>
      <w:r>
        <w:t xml:space="preserve">Die Überlastungen aus physikalischen Flüssen eines vollständig bilanzierten Marktergebnisses markieren die kritischen Übertragungsleitungen, die als Zonengrenze bevorzugt erhalten bleiben sollen.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Im verlustlosen Netz ist</w:t>
      </w:r>
      <w:r>
        <w:t xml:space="preserve"> </w:t>
      </w:r>
      <m:oMath>
        <m:sSup>
          <m:e>
            <m:r>
              <m:rPr>
                <m:sty m:val="b"/>
              </m:rPr>
              <m:t>1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sSubSup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. Die stündlichen physikalischen Flüsse sind</w:t>
      </w:r>
      <w:r>
        <w:t xml:space="preserve"> </w:t>
      </w:r>
      <m:oMath>
        <m:sSubSup>
          <m:e>
            <m:r>
              <m:t>f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d</m:t>
            </m:r>
          </m:sub>
        </m:sSub>
        <m:sSubSup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t>A</m:t>
            </m:r>
          </m:sup>
        </m:sSubSup>
      </m:oMath>
      <w:r>
        <w:t xml:space="preserve">. Der Leitungsindikator wird als aufgelaufene Überlastungsenergie definiert: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Δ</m:t>
                  </m:r>
                </m:e>
              </m:nary>
              <m:sSub>
                <m:e>
                  <m:r>
                    <m:t>t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Sup>
                        <m:e>
                          <m: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ℓ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  <m:sup>
                          <m:r>
                            <m:t>A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F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Ein Entwurf für die Clusterbildung minimiert dann über zulässige verbundene Partitionen bei vorgegebenem Zonenbudget die „verlorene Wichtigkeit“: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Z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</m:sub>
              </m:sSub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</m:sub>
            <m:sup>
              <m:r>
                <m:t>​</m:t>
              </m:r>
            </m:sup>
            <m:e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t> </m:t>
          </m:r>
          <m:r>
            <m:rPr>
              <m:sty m:val="p"/>
              <m:scr m:val="double-struck"/>
            </m:rPr>
            <m:t>1</m:t>
          </m:r>
          <m:r>
            <m:rPr>
              <m:sty m:val="p"/>
            </m:rPr>
            <m:t>{</m:t>
          </m:r>
          <m:sSub>
            <m:e>
              <m:r>
                <m:t>z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Das Optimierungsproblem (9) ist ein</w:t>
      </w:r>
      <w:r>
        <w:t xml:space="preserve"> </w:t>
      </w:r>
      <w:r>
        <w:rPr>
          <w:b/>
          <w:bCs/>
        </w:rPr>
        <w:t xml:space="preserve">eigener Entwurf</w:t>
      </w:r>
      <w:r>
        <w:t xml:space="preserve">. Das vorhandene Programm implementiert nur ein</w:t>
      </w:r>
      <w:r>
        <w:t xml:space="preserve"> </w:t>
      </w:r>
      <w:r>
        <w:rPr>
          <w:b/>
          <w:bCs/>
        </w:rPr>
        <w:t xml:space="preserve">greedy connected contraction screening</w:t>
      </w:r>
      <w:r>
        <w:t xml:space="preserve">, kein garantiertes globales Minimum.</w:t>
      </w:r>
    </w:p>
    <w:p>
      <w:pPr>
        <w:pStyle w:val="BodyText"/>
      </w:pPr>
      <w:r>
        <w:rPr>
          <w:b/>
          <w:bCs/>
        </w:rPr>
        <w:t xml:space="preserve">Stärken:</w:t>
      </w:r>
      <w:r>
        <w:t xml:space="preserve"> </w:t>
      </w:r>
      <w:r>
        <w:t xml:space="preserve">nahe an der in [E1] beschriebenen Engpassidee; tatsächliche flexible Einspeisungen, Importe und Lasten werden erfasst; direkt auf langfristige Ausbauengpässe interpretierbar.</w:t>
      </w:r>
      <w:r>
        <w:t xml:space="preserve"> </w:t>
      </w:r>
      <w:r>
        <w:rPr>
          <w:b/>
          <w:bCs/>
        </w:rPr>
        <w:t xml:space="preserve">Schwächen:</w:t>
      </w:r>
      <w:r>
        <w:t xml:space="preserve"> </w:t>
      </w:r>
      <w:r>
        <w:t xml:space="preserve">vom Marktszenario, bereits vollzogenen Redispatch und Speichereinsatz abhängig; unter ausschließlich N-1-optimalem Dispatch können bestimmte präventiv beseitigte Engpässe verdeckt sein; wenige Extremstunden können Rangfolgen bestimmen. Unterschiedliche Marktannahmen müssen daher als Szenarien getrennt geprüft werden.</w:t>
      </w:r>
    </w:p>
    <w:bookmarkEnd w:id="27"/>
    <w:bookmarkStart w:id="28" w:name="X15fcb89786a1b6cd3f6508c2118a12d4832ed46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Methode B: RES-Last-getriebenes allgemeines Belastungsclustering</w:t>
      </w:r>
    </w:p>
    <w:p>
      <w:pPr>
        <w:pStyle w:val="FirstParagraph"/>
      </w:pPr>
      <w:r>
        <w:rPr>
          <w:b/>
          <w:bCs/>
        </w:rPr>
        <w:t xml:space="preserve">Ziel [E]:</w:t>
      </w:r>
      <w:r>
        <w:t xml:space="preserve"> </w:t>
      </w:r>
      <w:r>
        <w:t xml:space="preserve">Die räumlich und zeitlich exogenen Profile von erneuerbarer Verfügbarkeit und unflexibler Nachfrage sollen dominante strukturelle Transportkorridore bestimmen, ohne einen optimierten konventionellen Dispatch zur Clusterbildung vorzugeben.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Im Allgemeinen ist</w:t>
      </w:r>
      <w:r>
        <w:t xml:space="preserve"> </w:t>
      </w:r>
      <m:oMath>
        <m:sSup>
          <m:e>
            <m:r>
              <m:rPr>
                <m:sty m:val="b"/>
              </m:rPr>
              <m:t>1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sSub>
          <m:e>
            <m:r>
              <m:t>q</m:t>
            </m:r>
          </m:e>
          <m:sub>
            <m:r>
              <m:t>t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 Daher ist die unkommentierte Multiplikation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sSub>
          <m:e>
            <m:r>
              <m:t>q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b/>
          <w:bCs/>
        </w:rPr>
        <w:t xml:space="preserve">keine eindeutige physikalische Flussrekonstruktion</w:t>
      </w:r>
      <w:r>
        <w:t xml:space="preserve">. Eine explizite Ausgleichskonvention ist erforderlich, z. B.: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w</m:t>
          </m:r>
          <m:r>
            <m:t> </m:t>
          </m:r>
          <m:sSup>
            <m:e>
              <m:r>
                <m:rPr>
                  <m:sty m:val="b"/>
                </m:rPr>
                <m:t>1</m:t>
              </m:r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b"/>
                </m:rPr>
                <m:t>1</m:t>
              </m:r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t>w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Die entstandenen</w:t>
      </w:r>
      <w:r>
        <w:t xml:space="preserve"> </w:t>
      </w:r>
      <m:oMath>
        <m:sSubSup>
          <m:e>
            <m:r>
              <m:t>f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t>B</m:t>
            </m:r>
          </m:sup>
        </m:sSubSup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d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sind</w:t>
      </w:r>
      <w:r>
        <w:t xml:space="preserve"> </w:t>
      </w:r>
      <w:r>
        <w:rPr>
          <w:b/>
          <w:bCs/>
        </w:rPr>
        <w:t xml:space="preserve">Screening-Flüsse</w:t>
      </w:r>
      <w:r>
        <w:t xml:space="preserve"> </w:t>
      </w:r>
      <w:r>
        <w:t xml:space="preserve">unter der angenommenen Verteilung</w:t>
      </w:r>
      <w:r>
        <w:t xml:space="preserve"> </w:t>
      </w:r>
      <m:oMath>
        <m:r>
          <m:t>w</m:t>
        </m:r>
      </m:oMath>
      <w:r>
        <w:t xml:space="preserve">, nicht implizit ein vollständiges Marktergebnis. Alternativ lässt sich nur der intrazonale, per Konstruktion balancierte Strukturanteil auswerten; auch dann benötigt man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und eine feste Busmap.</w:t>
      </w:r>
    </w:p>
    <w:p>
      <w:pPr>
        <w:pStyle w:val="BodyText"/>
      </w:pPr>
      <w:r>
        <w:t xml:space="preserve">Die Gesamtbeanspruchung einer Leitung kann als transportierte Wirkleistungsenergie und relative Belastung beschrieben werden: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rPr>
                  <m:sty m:val="p"/>
                </m:rPr>
                <m:t>ℓ</m:t>
              </m:r>
            </m:sub>
            <m:sup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r>
                <m:t>Δ</m:t>
              </m:r>
            </m:e>
          </m:nary>
          <m:sSub>
            <m:e>
              <m:r>
                <m:t>t</m:t>
              </m:r>
            </m:e>
            <m:sub>
              <m:r>
                <m:t>t</m:t>
              </m:r>
            </m:sub>
          </m:sSub>
          <m:d>
            <m:dPr>
              <m:begChr m:val="|"/>
              <m:endChr m:val="|"/>
              <m:sepChr m:val=""/>
              <m:grow/>
            </m:dPr>
            <m:e>
              <m:sSubSup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t>B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S</m:t>
              </m:r>
            </m:e>
            <m:sub>
              <m:r>
                <m:rPr>
                  <m:sty m:val="p"/>
                </m:rPr>
                <m:t>ℓ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  <m:d>
                <m:dPr>
                  <m:begChr m:val="|"/>
                  <m:endChr m:val="|"/>
                  <m:sepChr m:val=""/>
                  <m:grow/>
                </m:dPr>
                <m:e>
                  <m:sSubSup>
                    <m:e>
                      <m: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  <m:sup>
                      <m:r>
                        <m:t>B</m:t>
                      </m:r>
                    </m:sup>
                  </m:sSubSup>
                </m:e>
              </m:d>
              <m:r>
                <m:rPr>
                  <m:sty m:val="p"/>
                </m:rPr>
                <m:t>/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F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Optional: P95 der stündlichen relativen Auslastung, zeitliche Korrelationsgruppen, Mindestkonnektivität und Schutz wichtiger Leitungen.</w:t>
      </w:r>
      <w:r>
        <w:t xml:space="preserve"> 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ℓ</m:t>
            </m:r>
          </m:sub>
          <m:sup>
            <m:r>
              <m:t>B</m:t>
            </m:r>
          </m:sup>
        </m:sSubSup>
      </m:oMath>
      <w:r>
        <w:t xml:space="preserve"> </w:t>
      </w:r>
      <w:r>
        <w:t xml:space="preserve">wird</w:t>
      </w:r>
      <w:r>
        <w:t xml:space="preserve"> </w:t>
      </w:r>
      <w:r>
        <w:rPr>
          <w:b/>
          <w:bCs/>
        </w:rPr>
        <w:t xml:space="preserve">auch unterhalb der thermischen Grenze</w:t>
      </w:r>
      <w:r>
        <w:t xml:space="preserve"> </w:t>
      </w:r>
      <w:r>
        <w:t xml:space="preserve">berücksichtigt.</w:t>
      </w:r>
    </w:p>
    <w:p>
      <w:pPr>
        <w:pStyle w:val="BodyText"/>
      </w:pPr>
      <w:r>
        <w:rPr>
          <w:b/>
          <w:bCs/>
        </w:rPr>
        <w:t xml:space="preserve">Stärken:</w:t>
      </w:r>
      <w:r>
        <w:t xml:space="preserve"> </w:t>
      </w:r>
      <w:r>
        <w:t xml:space="preserve">sehr gut zur strukturellen Langfristorientierung, RES-Integration und stabilen räumlichen Leistungsbilanz-Mustern; geringere Abhängigkeit von ökonomisch optimierter Steuerung.</w:t>
      </w:r>
      <w:r>
        <w:t xml:space="preserve"> </w:t>
      </w:r>
      <w:r>
        <w:rPr>
          <w:b/>
          <w:bCs/>
        </w:rPr>
        <w:t xml:space="preserve">Schwächen:</w:t>
      </w:r>
      <w:r>
        <w:t xml:space="preserve"> </w:t>
      </w:r>
      <w:r>
        <w:t xml:space="preserve">Ausgleichsschlüssel kann Leitungsrangfolgen deutlich beeinflussen; ignoriert Import-, Kernkraft-, Gas-, Speicher- und konventionelle Transitsituationen; ist bewusst keine ENTSO-E-Überlastungsreplik. Sensitivität gegenüber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muss quantitativ gemessen werden.</w:t>
      </w:r>
    </w:p>
    <w:bookmarkEnd w:id="28"/>
    <w:bookmarkStart w:id="29" w:name="Xb4ead7f84128ba0f879d5155016499ea977b1c1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5. Technologiespezifische PTDFs als gemeinsamer mathematischer Unterbau</w:t>
      </w:r>
    </w:p>
    <w:p>
      <w:pPr>
        <w:pStyle w:val="FirstParagraph"/>
      </w:pPr>
      <w:r>
        <w:t xml:space="preserve">Seien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  <m:scr m:val="script"/>
          </m:rPr>
          <m:t>K</m:t>
        </m:r>
      </m:oMath>
      <w:r>
        <w:t xml:space="preserve"> </w:t>
      </w:r>
      <w:r>
        <w:t xml:space="preserve">die Komponenten Wind, Photovoltaik, Wasser, Last, konventionelle Erzeugung und Speicher; ihre zonalen Einspeisungen sind</w:t>
      </w:r>
      <w:r>
        <w:t xml:space="preserve"> </w:t>
      </w:r>
      <w:r>
        <w:rPr>
          <w:i/>
          <w:iCs/>
        </w:rPr>
        <w:t xml:space="preserve">vorzeichenbehaftet</w:t>
      </w:r>
      <w:r>
        <w:t xml:space="preserve"> </w:t>
      </w:r>
      <m:oMath>
        <m:sSubSup>
          <m:e>
            <m:r>
              <m:t>p</m:t>
            </m:r>
          </m:e>
          <m:sub>
            <m:r>
              <m:t>z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</m:e>
            </m:d>
          </m:sup>
        </m:sSubSup>
      </m:oMath>
      <w:r>
        <w:t xml:space="preserve">. Für die räumliche Disaggregation pro Technologie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gelten: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m</m:t>
              </m:r>
            </m:sub>
          </m:sSub>
          <m:sSub>
            <m:e>
              <m:r>
                <m:t>R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H</m:t>
              </m:r>
            </m:e>
            <m:sub>
              <m:r>
                <m:t>z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m</m:t>
              </m:r>
            </m:sub>
          </m:sSub>
          <m:sSub>
            <m:e>
              <m:r>
                <m:t>H</m:t>
              </m:r>
            </m:e>
            <m:sub>
              <m:r>
                <m:t>d</m:t>
              </m:r>
            </m:sub>
          </m:sSub>
          <m:sSub>
            <m:e>
              <m:r>
                <m:t>R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Wesentliche physikalische Erkenntnis:</w:t>
      </w:r>
      <w:r>
        <w:t xml:space="preserve"> </w:t>
      </w:r>
      <w:r>
        <w:t xml:space="preserve">Die Technologie verändert nicht die physikalische Matrix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; die Unterschiede entstehen vollständig durch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 Beispielsweise ist die Wind-PTDF anders als die Kernkraft-PTDF, weil diese innerhalb derselben Zone andere Anschlussknoten gewichten.</w:t>
      </w:r>
    </w:p>
    <w:p>
      <w:pPr>
        <w:pStyle w:val="BodyText"/>
      </w:pPr>
      <w:r>
        <w:t xml:space="preserve">Mit gemeinsamer Referenz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ist der technologiespezifische strukturelle Flussbeitrag: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sSubSup>
                <m:e>
                  <m:r>
                    <m:t>p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sup>
              </m:sSubSup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Er besitzt null Zonendivergenz, da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. Die Aggregation der Beiträge von RES und Last benötigt</w:t>
      </w:r>
      <w:r>
        <w:t xml:space="preserve"> </w:t>
      </w:r>
      <w:r>
        <w:rPr>
          <w:b/>
          <w:bCs/>
        </w:rPr>
        <w:t xml:space="preserve">keinen neuen AC- oder DC-Netzsolver</w:t>
      </w:r>
      <w:r>
        <w:t xml:space="preserve"> </w:t>
      </w:r>
      <w:r>
        <w:t xml:space="preserve">und kann im Python-Code als Sparse-Matrixprodukt ausgeführt werden. Für bei null verfügbarer RES auftretende undefinierte Quotienten ist ein expliziter Ersatzschlüssel zu definieren, ohne Leistung zu erzeugen.</w:t>
      </w:r>
    </w:p>
    <w:p>
      <w:pPr>
        <w:pStyle w:val="BodyText"/>
      </w:pPr>
      <w:r>
        <w:t xml:space="preserve">Eine bedeutende Grenze ist, dass</w:t>
      </w:r>
      <w:r>
        <w:t xml:space="preserve"> </w:t>
      </w:r>
      <m:oMath>
        <m:sSubSup>
          <m:e>
            <m:r>
              <m:t>H</m:t>
            </m:r>
          </m:e>
          <m:sub>
            <m:r>
              <m:t>z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e>
            </m:d>
          </m:sup>
        </m:sSubSup>
      </m:oMath>
      <w:r>
        <w:t xml:space="preserve"> </w:t>
      </w:r>
      <w:r>
        <w:rPr>
          <w:b/>
          <w:bCs/>
        </w:rPr>
        <w:t xml:space="preserve">keine automatisch durch passive Ersatzreaktanzen realisierbare PTDF</w:t>
      </w:r>
      <w:r>
        <w:t xml:space="preserve"> </w:t>
      </w:r>
      <w:r>
        <w:t xml:space="preserve">ist. Außerdem sind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und der Fit-Residualfehler</w:t>
      </w:r>
      <w:r>
        <w:t xml:space="preserve"> </w:t>
      </w:r>
      <m:oMath>
        <m:sSub>
          <m:e>
            <m:r>
              <m:t>f</m:t>
            </m:r>
          </m:e>
          <m:sub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nicht identisch.</w:t>
      </w:r>
    </w:p>
    <w:bookmarkEnd w:id="29"/>
    <w:bookmarkStart w:id="34" w:name="X320c8224d2c138ce51d7a4effd1c1cdf04c8aaa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6. Die drei nicht erneuerbaren Referenzverteilungen</w:t>
      </w:r>
    </w:p>
    <w:bookmarkStart w:id="30" w:name="gleichverteilung-r_mathrmuni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6.1 Gleichverteilung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sub>
        </m:sSub>
      </m:oMath>
    </w:p>
    <w:p>
      <w:pPr>
        <w:pStyle w:val="FirstParagraph"/>
      </w:pPr>
      <w:r>
        <w:t xml:space="preserve">Jeder ursprüngliche Knoten einer Zone erhält den gleichen Anteil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z</m:t>
            </m:r>
          </m:sub>
        </m:sSub>
      </m:oMath>
      <w:r>
        <w:t xml:space="preserve">. Das Verfahren ist robust, datensparsam und als neutrale Baseline nützlich; physikalisch große Einspeisungen und Anlagenschwerpunkte werden jedoch ignoriert.</w:t>
      </w:r>
    </w:p>
    <w:bookmarkEnd w:id="30"/>
    <w:bookmarkStart w:id="31" w:name="kapazitätsverteilung-r_mathrmcap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6.2 Kapazitätsverteilung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FirstParagraph"/>
      </w:pPr>
      <w:r>
        <w:t xml:space="preserve">Für nicht erneuerbare Referenzkapazität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innerhalb der Zone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e>
              </m:d>
            </m:e>
            <m:sub>
              <m:r>
                <m:t>i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N</m:t>
                      </m:r>
                    </m:e>
                    <m:sub>
                      <m:r>
                        <m:t>z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Bei null Kapazität ist eine dokumentierte Alternativverteilung notwendig. Vorteil: Anschluss- und Größenstruktur werden erhalten; Nachteil: verfügbare Leistung, marginale Kosten und tatsächlicher Einsatz fehlen.</w:t>
      </w:r>
    </w:p>
    <w:bookmarkEnd w:id="31"/>
    <w:bookmarkStart w:id="32" w:name="X3d18b1e5a8f240be871c17acc19905fe9dbe06c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6.3 Feste marginalkostenbasierte Merit-Order-Verteilung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sub>
        </m:sSub>
      </m:oMath>
    </w:p>
    <w:p>
      <w:pPr>
        <w:pStyle w:val="FirstParagraph"/>
      </w:pPr>
      <w:r>
        <w:t xml:space="preserve">Es seien die installierten Leistungen</w:t>
      </w:r>
      <w:r>
        <w:t xml:space="preserve"> </w:t>
      </w:r>
      <m:oMath>
        <m:sSub>
          <m:e>
            <m:r>
              <m:t>C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zeitlich unveränderliche Grenzkosten</w:t>
      </w:r>
      <w:r>
        <w:t xml:space="preserve"> </w:t>
      </w:r>
      <m:oMath>
        <m:sSub>
          <m:e>
            <m:r>
              <m:t>c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der nicht erneuerbaren Generatoren bekannt. Für fest definierte Referenz-Residuallastniveaus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und Gewichte</w:t>
      </w:r>
      <w:r>
        <w:t xml:space="preserve"> </w:t>
      </w:r>
      <m:oMath>
        <m:sSub>
          <m:e>
            <m:r>
              <m:t>π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π</m:t>
                </m:r>
              </m:e>
              <m:sub>
                <m:r>
                  <m:t>s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, ergibt sich ein einfacher,</w:t>
      </w:r>
      <w:r>
        <w:t xml:space="preserve"> </w:t>
      </w:r>
      <w:r>
        <w:rPr>
          <w:b/>
          <w:bCs/>
        </w:rPr>
        <w:t xml:space="preserve">zonaler</w:t>
      </w:r>
      <w:r>
        <w:t xml:space="preserve"> </w:t>
      </w:r>
      <w:r>
        <w:t xml:space="preserve">Restmarkt: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g</m:t>
                  </m:r>
                </m:sub>
              </m:sSub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g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g</m:t>
                  </m:r>
                </m:sub>
              </m:sSub>
            </m:e>
          </m:nary>
          <m:sSub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t> 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  <m:r>
            <m:rPr>
              <m:sty m:val="p"/>
            </m:rPr>
            <m:t>t</m:t>
          </m:r>
          <m:r>
            <m:rPr>
              <m:sty m:val="p"/>
            </m:rPr>
            <m:t>.</m:t>
          </m:r>
          <m:r>
            <m:t>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g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G</m:t>
                  </m:r>
                </m:e>
                <m:sub>
                  <m:r>
                    <m:t>z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Die gewichtete Einsatzneigung ist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s</m:t>
                  </m:r>
                </m:sub>
              </m:sSub>
            </m:e>
          </m:nary>
          <m:sSubSup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</m:sub>
                  </m:sSub>
                </m:e>
              </m:d>
            </m:e>
            <m:sub>
              <m:r>
                <m:t>i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g</m:t>
                  </m:r>
                  <m:r>
                    <m:rPr>
                      <m:sty m:val="p"/>
                    </m:rPr>
                    <m:t>→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g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N</m:t>
                      </m:r>
                    </m:e>
                    <m:sub>
                      <m:r>
                        <m:t>z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g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nary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Im Prototyp werden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  <m:r>
              <m:rPr>
                <m:sty m:val="p"/>
              </m:rPr>
              <m:t>,</m:t>
            </m:r>
            <m:r>
              <m:t>s</m:t>
            </m:r>
          </m:sub>
        </m:sSub>
      </m:oMath>
      <w:r>
        <w:t xml:space="preserve"> </w:t>
      </w:r>
      <w:r>
        <w:t xml:space="preserve">als 35 %, 60 % und 85 % der zonalen konventionellen Kapazität mit Gewichten 0,30, 0,45 und 0,25 verwendet. Das ist</w:t>
      </w:r>
      <w:r>
        <w:t xml:space="preserve"> </w:t>
      </w:r>
      <w:r>
        <w:rPr>
          <w:b/>
          <w:bCs/>
        </w:rPr>
        <w:t xml:space="preserve">ein demonstrativer Parameterentscheid</w:t>
      </w:r>
      <w:r>
        <w:t xml:space="preserve">, keine ENTSO-E-Anforderung und keine kalibrierte Prognose. Der vereinfachte zonale Markt berücksichtigt weder Netzrestriktionen noch Anfahrkosten, Rampen, Mindestlast, Reservehaltung,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-Unsicherheit oder länderübergreifenden Austausch.</w:t>
      </w:r>
    </w:p>
    <w:p>
      <w:pPr>
        <w:pStyle w:val="BodyText"/>
      </w:pPr>
      <w:r>
        <w:rPr>
          <w:b/>
          <w:bCs/>
        </w:rPr>
        <w:t xml:space="preserve">Die Grenzkosten beeinflussen die effektive PTDF ausschließlich über die Disaggregation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Die elektrische PTDF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und physikalische Impedanzen sind weiterhin unabhängig von den Kosten.</w:t>
      </w:r>
    </w:p>
    <w:bookmarkEnd w:id="32"/>
    <w:bookmarkStart w:id="33" w:name="X41aa867ab8a74fdc465e7882c5a9455214764ca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6.4 Arbeitsinterpretation „MCOE“ und methodische Distanz</w:t>
      </w:r>
    </w:p>
    <w:p>
      <w:pPr>
        <w:pStyle w:val="FirstParagraph"/>
      </w:pPr>
      <w:r>
        <w:t xml:space="preserve">Eine MCOE-Normgleichung ist nicht belegt. Als</w:t>
      </w:r>
      <w:r>
        <w:t xml:space="preserve"> </w:t>
      </w:r>
      <w:r>
        <w:rPr>
          <w:b/>
          <w:bCs/>
        </w:rPr>
        <w:t xml:space="preserve">Arbeitsproxy</w:t>
      </w:r>
      <w:r>
        <w:t xml:space="preserve"> </w:t>
      </w:r>
      <w:r>
        <w:t xml:space="preserve">gilt (16)–(17), also kostenminimaler Restdispatch an ausgewählten Residuallaststützstellen. Die folgenden „Abstände“ sind</w:t>
      </w:r>
      <w:r>
        <w:t xml:space="preserve"> </w:t>
      </w:r>
      <w:r>
        <w:rPr>
          <w:b/>
          <w:bCs/>
        </w:rPr>
        <w:t xml:space="preserve">konzeptionell</w:t>
      </w:r>
      <w:r>
        <w:t xml:space="preserve"> </w:t>
      </w:r>
      <w:r>
        <w:t xml:space="preserve">und keine metrisch normierten Zahlenwerte.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Nähe zum Kostenproxy (16)–(17)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Direkt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Enthält Kapazitäten, Grenzkosten, Merit Order, Stützstellen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Enthält Kapazitäten, aber keine Kosten oder Aktivierungsordnung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Anlagen- oder Kostendaten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Methode A: voller Markt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Betriebswirtschaftlich realitätsnäher möglich; andere 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Tatsächlicher Dispatch kann weitere Restriktionen berücksichtigen, ist keine feste Referenz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Methode B: RES/Last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Bewusst weit entfernt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Exogene Struktur statt konventioneller Kostenoptimierung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Technologie-PTDF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Orthogonal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 räumlicher Operator, mit jedem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kombinierbar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Ersatzimpedanz-Fit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Orthogonal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Projektion von Flusssensitivitäten auf ein passives Netz, unabhängig vom Kostenmodell</w:t>
            </w:r>
          </w:p>
        </w:tc>
      </w:tr>
    </w:tbl>
    <w:p>
      <w:pPr>
        <w:pStyle w:val="BodyText"/>
      </w:pPr>
      <w:r>
        <w:t xml:space="preserve">Daraus folgt</w:t>
      </w:r>
      <w:r>
        <w:t xml:space="preserve"> </w:t>
      </w:r>
      <w:r>
        <w:rPr>
          <w:b/>
          <w:bCs/>
        </w:rPr>
        <w:t xml:space="preserve">nicht</w:t>
      </w:r>
      <w:r>
        <w:t xml:space="preserve">, dass die dem Kostenproxy nächste Variante die beste elektrische Ersatznetzgenauigkeit haben muss. Ökonomische Plausibilität und Flussrekonstruktionsgüte sind unterschiedliche Zielkriterien.</w:t>
      </w:r>
    </w:p>
    <w:bookmarkEnd w:id="33"/>
    <w:bookmarkEnd w:id="34"/>
    <w:bookmarkStart w:id="35" w:name="X8bdb145dc68683d730077248e6d6847a5944a7b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7. Auswahl eines realen Ersatzknotens pro Zone</w:t>
      </w:r>
    </w:p>
    <w:p>
      <w:pPr>
        <w:pStyle w:val="FirstParagraph"/>
      </w:pPr>
      <w:r>
        <w:t xml:space="preserve">Zusätzlich zu einer verteilten Referenz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kann je Zone ein repräsentativer Originalknoten</w:t>
      </w:r>
      <w:r>
        <w:t xml:space="preserve"> </w:t>
      </w:r>
      <m:oMath>
        <m:sSub>
          <m:e>
            <m:r>
              <m:t>i</m:t>
            </m:r>
          </m:e>
          <m:sub>
            <m:r>
              <m:t>z</m:t>
            </m:r>
          </m:sub>
        </m:sSub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N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bestimmt werden. Auf dem detaillierten Netz vergleicht man die aggregierten Sensitivitätsspalten gegen die gewichtete Referenzspalte: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z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N</m:t>
                  </m:r>
                </m:e>
                <m:sub>
                  <m:r>
                    <m:t>z</m:t>
                  </m:r>
                </m:sub>
              </m:sSub>
            </m:lim>
          </m:limLow>
          <m:sSubSup>
            <m:e>
              <m:d>
                <m:dPr>
                  <m:begChr m:val="∥"/>
                  <m:endChr m:val="∥"/>
                  <m:sepChr m:val="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Γ</m:t>
                      </m:r>
                    </m:e>
                    <m:sub>
                      <m:r>
                        <m:t>m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d</m:t>
                      </m:r>
                    </m:sub>
                  </m:sSub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Γ</m:t>
                      </m:r>
                    </m:e>
                    <m:sub>
                      <m:r>
                        <m:t>m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d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: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Dies ist eine transparente</w:t>
      </w:r>
      <w:r>
        <w:t xml:space="preserve"> </w:t>
      </w:r>
      <w:r>
        <w:rPr>
          <w:b/>
          <w:bCs/>
        </w:rPr>
        <w:t xml:space="preserve">lokale heuristische Knotenwahl</w:t>
      </w:r>
      <w:r>
        <w:t xml:space="preserve">. Eine slackunabhängige</w:t>
      </w:r>
      <w:r>
        <w:t xml:space="preserve"> </w:t>
      </w:r>
      <w:r>
        <w:rPr>
          <w:b/>
          <w:bCs/>
        </w:rPr>
        <w:t xml:space="preserve">globale</w:t>
      </w:r>
      <w:r>
        <w:t xml:space="preserve"> </w:t>
      </w:r>
      <w:r>
        <w:t xml:space="preserve">Bewertung muss ausgeglichene Einspeisungskombinationen der ausgewählten Kandidaten verwenden. Die Existenz eines repräsentativen Knotens impliziert keine exakte physikalische Reduktion des restlichen Graphen. Der Prototyp berechnet Kandidaten, führt aber noch</w:t>
      </w:r>
      <w:r>
        <w:t xml:space="preserve"> </w:t>
      </w:r>
      <w:r>
        <w:rPr>
          <w:b/>
          <w:bCs/>
        </w:rPr>
        <w:t xml:space="preserve">keine automatische graphphysikalische Kron-Reduktion</w:t>
      </w:r>
      <w:r>
        <w:t xml:space="preserve"> </w:t>
      </w:r>
      <w:r>
        <w:t xml:space="preserve">durch.</w:t>
      </w:r>
    </w:p>
    <w:bookmarkEnd w:id="35"/>
    <w:bookmarkStart w:id="36" w:name="X33d2974b4a5a6d318be1c123fb29da5a48ad96d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8. Ersatzimpedanzen: Realisierbarkeit, Skalierung, Zielfunktionen</w:t>
      </w:r>
    </w:p>
    <w:p>
      <w:pPr>
        <w:pStyle w:val="FirstParagraph"/>
      </w:pPr>
      <w:r>
        <w:t xml:space="preserve">Für die vorgegebene reduzierte Inzidenz</w:t>
      </w:r>
      <w:r>
        <w:t xml:space="preserve"> </w:t>
      </w:r>
      <m:oMath>
        <m:sSub>
          <m:e>
            <m:r>
              <m:t>A</m:t>
            </m:r>
          </m:e>
          <m:sub>
            <m:r>
              <m:t>z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Z</m:t>
            </m:r>
            <m:r>
              <m:rPr>
                <m:sty m:val="p"/>
              </m:rPr>
              <m:t>×</m:t>
            </m:r>
            <m:r>
              <m:t>E</m:t>
            </m:r>
          </m:sup>
        </m:sSup>
      </m:oMath>
      <w:r>
        <w:t xml:space="preserve"> </w:t>
      </w:r>
      <w:r>
        <w:t xml:space="preserve">und positive Ersatzreaktanzen</w:t>
      </w:r>
      <w:r>
        <w:t xml:space="preserve"> </w:t>
      </w:r>
      <m:oMath>
        <m:sSub>
          <m:e>
            <m:r>
              <m:t>x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t>x</m:t>
              </m:r>
            </m:e>
          </m:d>
          <m:sSubSup>
            <m:e>
              <m:r>
                <m:t>A</m:t>
              </m:r>
            </m:e>
            <m:sub>
              <m:r>
                <m:t>z</m:t>
              </m:r>
            </m:sub>
            <m:sup>
              <m:r>
                <m:rPr>
                  <m:sty m:val="p"/>
                  <m:scr m:val="sans-serif"/>
                </m:rPr>
                <m:t>T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t>x</m:t>
              </m:r>
            </m:e>
          </m:d>
          <m:sSubSup>
            <m:e>
              <m:r>
                <m:t>A</m:t>
              </m:r>
            </m:e>
            <m:sub>
              <m:r>
                <m:t>z</m:t>
              </m:r>
            </m:sub>
            <m:sup>
              <m:r>
                <m:rPr>
                  <m:sty m:val="p"/>
                  <m:scr m:val="sans-serif"/>
                </m:rPr>
                <m:t>T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wobei die Pseudoinverse nur auf dem balancierten Unterraum wirkt und in der Software durch die Eliminierung eines Slackwinkels berechnet wird.</w:t>
      </w:r>
    </w:p>
    <w:p>
      <w:pPr>
        <w:pStyle w:val="BodyText"/>
      </w:pPr>
      <w:r>
        <w:t xml:space="preserve">Es bestehen</w:t>
      </w:r>
      <w:r>
        <w:t xml:space="preserve"> </w:t>
      </w:r>
      <w:r>
        <w:rPr>
          <w:b/>
          <w:bCs/>
        </w:rPr>
        <w:t xml:space="preserve">zwei getrennte Kalibrierungsziele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Operatorprojektion der technologiespezifischen Referenz: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lim>
          </m:limLow>
          <m:sSubSup>
            <m:e>
              <m:d>
                <m:dPr>
                  <m:begChr m:val="∥"/>
                  <m:endChr m:val="∥"/>
                  <m:sepChr m:val="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q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Γ</m:t>
                      </m:r>
                    </m:e>
                    <m:sub>
                      <m:r>
                        <m:t>m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d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T</m:t>
                  </m:r>
                </m:e>
              </m:d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λ</m:t>
          </m:r>
          <m:r>
            <m:rPr>
              <m:sty m:val="p"/>
              <m:scr m:val="script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b"/>
                </m:rPr>
                <m:t>1</m:t>
              </m:r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Snapshotbasierte elektrische Kalibrierung mit konstantem Offset: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z</m:t>
                  </m:r>
                </m:sub>
              </m:sSub>
              <m:sSup>
                <m:e>
                  <m:r>
                    <m:t>c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</m:e>
          </m:nary>
          <m:sSubSup>
            <m:e>
              <m:d>
                <m:dPr>
                  <m:begChr m:val="∥"/>
                  <m:endChr m:val="∥"/>
                  <m:sepChr m:val="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q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sSub>
                    <m:e>
                      <m:r>
                        <m:t>p</m:t>
                      </m:r>
                    </m:e>
                    <m:sub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w</m:t>
                      </m:r>
                      <m:r>
                        <m:rPr>
                          <m:sty m:val="p"/>
                        </m:rPr>
                        <m:t>n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f</m:t>
                      </m:r>
                    </m:e>
                    <m:sub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Für (20) wird im Paket die erste Reaktanz skalenfixiert. Für (21) wird der Offset über eine Nullraum-Basis von</w:t>
      </w:r>
      <w:r>
        <w:t xml:space="preserve"> </w:t>
      </w:r>
      <m:oMath>
        <m:sSub>
          <m:e>
            <m:r>
              <m:t>A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parametrisiert. Die Zusatzgröße</w:t>
      </w:r>
      <w:r>
        <w:t xml:space="preserve"> </w:t>
      </w:r>
      <m:oMath>
        <m:sSubSup>
          <m:e>
            <m:r>
              <m:t>f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darf nur verwendet werden, wenn dieselbe räumliche Auflösung</w:t>
      </w:r>
      <w:r>
        <w:t xml:space="preserve"> </w:t>
      </w:r>
      <w:r>
        <w:rPr>
          <w:b/>
          <w:bCs/>
        </w:rPr>
        <w:t xml:space="preserve">auch im späteren Betrieb</w:t>
      </w:r>
      <w:r>
        <w:t xml:space="preserve"> </w:t>
      </w:r>
      <w:r>
        <w:t xml:space="preserve">tatsächlich verfügbar ist.</w:t>
      </w:r>
    </w:p>
    <w:p>
      <w:pPr>
        <w:pStyle w:val="BodyText"/>
      </w:pPr>
      <w:r>
        <w:rPr>
          <w:b/>
          <w:bCs/>
        </w:rPr>
        <w:t xml:space="preserve">Nicht-Eindeutigkeit:</w:t>
      </w:r>
      <w:r>
        <w:t xml:space="preserve"> </w:t>
      </w:r>
      <w:r>
        <w:t xml:space="preserve">Wenn alle Reaktanzen desselben zusammenhängenden Netzes mit demselben positiven Faktor skaliert werden, bleibt die verlustlose DC-Flussverteilung unter gegebenen Einspeisungen identisch. Für einen</w:t>
      </w:r>
      <w:r>
        <w:t xml:space="preserve"> </w:t>
      </w:r>
      <w:r>
        <w:rPr>
          <w:b/>
          <w:bCs/>
        </w:rPr>
        <w:t xml:space="preserve">Baumgraphen</w:t>
      </w:r>
      <w:r>
        <w:t xml:space="preserve"> </w:t>
      </w:r>
      <w:r>
        <w:t xml:space="preserve">sind die Grenzflüsse durch die zonale Bilanz bereits eindeutig bestimmt; Reaktanzen sind dann aus reinen Wirkleistungsflüssen nicht identifizierbar. Deshalb meldet die Software den Zyklus-Rang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als wesentlichen Identifizierbarkeitsindikator. Auch bei positivem Rang können spezifische Parameter unbeobachtbar bleiben.</w:t>
      </w:r>
    </w:p>
    <w:p>
      <w:pPr>
        <w:pStyle w:val="BodyText"/>
      </w:pPr>
      <w:r>
        <w:rPr>
          <w:b/>
          <w:bCs/>
        </w:rPr>
        <w:t xml:space="preserve">Realisierbarkeit:</w:t>
      </w:r>
      <w:r>
        <w:t xml:space="preserve"> </w:t>
      </w:r>
      <w:r>
        <w:t xml:space="preserve">Die Matrix</w:t>
      </w:r>
      <w:r>
        <w:t xml:space="preserve"> </w:t>
      </w:r>
      <m:oMath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H</m:t>
            </m:r>
          </m:e>
          <m:sub>
            <m:r>
              <m:t>d</m:t>
            </m:r>
          </m:sub>
        </m:sSub>
        <m:r>
          <m:t>R</m:t>
        </m:r>
      </m:oMath>
      <w:r>
        <w:t xml:space="preserve"> </w:t>
      </w:r>
      <w:r>
        <w:t xml:space="preserve">muss nicht im Raum der durch positive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und feste reduzierte Topologie realisierbaren PTDFs liegen. (20) ist darum ein Projektionsproblem, keine algebraisch garantierte Gleichheit.</w:t>
      </w:r>
    </w:p>
    <w:bookmarkEnd w:id="36"/>
    <w:bookmarkStart w:id="37" w:name="X1a6700d5d1e770192fc417942c5dbdc70f29048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9. No-Load-Flows und spätere zonale Betriebssemantik</w:t>
      </w:r>
    </w:p>
    <w:p>
      <w:pPr>
        <w:pStyle w:val="FirstParagraph"/>
      </w:pPr>
      <w:r>
        <w:t xml:space="preserve">Aus bekannten hochaufgelösten Profilen ergibt sich bei Referenz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für jedes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Diese Größe ist im DC-Modell und bei vollständigen nodalen Daten exakt und hat null Zonendivergenz. Für den nur RES-Last-basierten Anteil benutzt man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statt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; dieser</w:t>
      </w:r>
      <w:r>
        <w:t xml:space="preserve"> </w:t>
      </w:r>
      <w:r>
        <w:rPr>
          <w:b/>
          <w:bCs/>
        </w:rPr>
        <w:t xml:space="preserve">intern bilanzierte Differenzvektor</w:t>
      </w:r>
      <w:r>
        <w:t xml:space="preserve"> </w:t>
      </w:r>
      <w:r>
        <w:t xml:space="preserve">benötigt keine separate globale Restmarktlösung, liefert jedoch nicht die vollständigen Betriebsflüsse.</w:t>
      </w:r>
    </w:p>
    <w:p>
      <w:pPr>
        <w:pStyle w:val="BodyText"/>
      </w:pPr>
      <w:r>
        <w:t xml:space="preserve">Der bestimmbare residuale Offset zum konkreten Ersatznetz ist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f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sSub>
            <m:e>
              <m:r>
                <m:t>p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Er besteht im Allgemeinen aus einem strukturbedingten Anteil und dem eigentlichen</w:t>
      </w:r>
      <w:r>
        <w:t xml:space="preserve"> </w:t>
      </w:r>
      <w:r>
        <w:rPr>
          <w:b/>
          <w:bCs/>
        </w:rPr>
        <w:t xml:space="preserve">Ersatzimpedanz-Abbildungsfehler</w:t>
      </w:r>
      <w:r>
        <w:t xml:space="preserve">. Einen unveränderlichen</w:t>
      </w:r>
      <w:r>
        <w:t xml:space="preserve"> </w:t>
      </w:r>
      <m:oMath>
        <m:sSup>
          <m:e>
            <m:r>
              <m:t>c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zu verwenden heißt also, eine zusätzliche stationaritätsähnliche Näherung zu treffen. In dem neuen Paket wird</w:t>
      </w:r>
      <w:r>
        <w:t xml:space="preserve"> </w:t>
      </w:r>
      <m:oMath>
        <m:sSup>
          <m:e>
            <m:r>
              <m:t>c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ausdrücklich als kalibrierter, zeitunabhängiger Nullraumvektor interpretiert.</w:t>
      </w:r>
    </w:p>
    <w:p>
      <w:pPr>
        <w:pStyle w:val="BodyText"/>
      </w:pPr>
      <w:r>
        <w:t xml:space="preserve">Ein gewöhnlicher PyPSA-</w:t>
      </w:r>
      <w:r>
        <w:rPr>
          <w:rStyle w:val="VerbatimChar"/>
        </w:rPr>
        <w:t xml:space="preserve">Line</w:t>
      </w:r>
      <w:r>
        <w:t xml:space="preserve">-Lastfluss erzeugt die zusätzliche freie Nullbilanz-Zirkulation nicht allein durch Setzen von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rPr>
          <w:b/>
          <w:bCs/>
        </w:rPr>
        <w:t xml:space="preserve">Für den produktiven Einsatz muss die affine Flussgleichung tatsächlich in die Optimierungsrestriktionen integriert werden</w:t>
      </w:r>
      <w:r>
        <w:t xml:space="preserve">, beispielsweise als verifizierte zusätzliche Linopy-Formulierung; das Paket liefert dafür die Parameter und Rechenkerne, noch keinen produktiv qualifizierten Override des PyPSA-Optimierungsmodells.</w:t>
      </w:r>
    </w:p>
    <w:bookmarkEnd w:id="37"/>
    <w:bookmarkStart w:id="38" w:name="n-1-und-saisonale-gerichtete-kapazitäten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10. N-1 und saisonale gerichtete Kapazitäten</w:t>
      </w:r>
    </w:p>
    <w:p>
      <w:pPr>
        <w:pStyle w:val="FirstParagraph"/>
      </w:pPr>
      <w:r>
        <w:t xml:space="preserve">Für die detaillierten ungestörten Flüsse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und einen nicht inselbildenden Ausfall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gilt: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BODF</m:t>
              </m:r>
            </m:e>
            <m:sub>
              <m:r>
                <m:rPr>
                  <m:sty m:val="p"/>
                </m:rPr>
                <m:t>ℓ</m:t>
              </m:r>
              <m:r>
                <m:t>k</m:t>
              </m:r>
            </m:sub>
          </m:sSub>
          <m:sSub>
            <m:e>
              <m:r>
                <m:t>f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Der Prototyp berechnet die BODF aus der nodalen PTDF und Zweiginzidenz, erkennt Nenner nahe null (häufig Inselbildungsfälle) und meldet diese</w:t>
      </w:r>
      <w:r>
        <w:t xml:space="preserve"> </w:t>
      </w:r>
      <w:r>
        <w:rPr>
          <w:b/>
          <w:bCs/>
        </w:rPr>
        <w:t xml:space="preserve">nicht abgedeckten Kontingenzen</w:t>
      </w:r>
      <w:r>
        <w:t xml:space="preserve">. Die Belastung einer ursprünglichen Leitung berücksichtigt N-0 und die gültigen N-1-Ausfälle: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{"/>
              <m:endChr m:val="}"/>
              <m:sepChr m:val=""/>
              <m:grow/>
            </m:dPr>
            <m:e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ℓ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F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script"/>
                    </m:rPr>
                    <m:t>C</m:t>
                  </m:r>
                </m:lim>
              </m:limLow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Sup>
                        <m:e>
                          <m: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ℓ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F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Je Interzonenschnitt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werden stündlicher aggregierter Austausch</w:t>
      </w:r>
      <w:r>
        <w:t xml:space="preserve"> </w:t>
      </w:r>
      <m:oMath>
        <m:sSub>
          <m:e>
            <m:r>
              <m:t>F</m:t>
            </m:r>
          </m:e>
          <m:sub>
            <m:r>
              <m:t>e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und die stärkste dort überwachte N-1-Leitungsauslastung gepaart. Daraus werden getrennt für</w:t>
      </w:r>
      <w:r>
        <w:t xml:space="preserve"> </w:t>
      </w:r>
      <w:r>
        <w:rPr>
          <w:b/>
          <w:bCs/>
        </w:rPr>
        <w:t xml:space="preserve">Sommer/Winter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beide Flussrichtungen</w:t>
      </w:r>
      <w:r>
        <w:t xml:space="preserve"> </w:t>
      </w:r>
      <w:r>
        <w:t xml:space="preserve">vier empirische Grenzeinstellungen bei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geschätzt.</w:t>
      </w:r>
    </w:p>
    <w:p>
      <w:pPr>
        <w:pStyle w:val="BodyText"/>
      </w:pPr>
      <w:r>
        <w:rPr>
          <w:b/>
          <w:bCs/>
        </w:rPr>
        <w:t xml:space="preserve">Sicherheitsgrenze:</w:t>
      </w:r>
      <w:r>
        <w:t xml:space="preserve"> </w:t>
      </w:r>
      <w:r>
        <w:t xml:space="preserve">Die im Code angebotene lineare Punktwolken-Regression mit Intercept ist nur ein</w:t>
      </w:r>
      <w:r>
        <w:t xml:space="preserve"> </w:t>
      </w:r>
      <w:r>
        <w:rPr>
          <w:b/>
          <w:bCs/>
        </w:rPr>
        <w:t xml:space="preserve">gekennzeichneter Vorentwurf</w:t>
      </w:r>
      <w:r>
        <w:t xml:space="preserve">. Schwache Korrelation, fehlende Daten, unzureichende Belastungsbereiche oder inselbildende Ausfälle führen zu Qualitätsflags beziehungsweise</w:t>
      </w:r>
      <w:r>
        <w:t xml:space="preserve"> </w:t>
      </w:r>
      <w:r>
        <w:rPr>
          <w:rStyle w:val="VerbatimChar"/>
        </w:rPr>
        <w:t xml:space="preserve">NaN</w:t>
      </w:r>
      <w:r>
        <w:t xml:space="preserve">. Ein numerisch geschätzter MW-Wert ist</w:t>
      </w:r>
      <w:r>
        <w:t xml:space="preserve"> </w:t>
      </w:r>
      <w:r>
        <w:rPr>
          <w:b/>
          <w:bCs/>
        </w:rPr>
        <w:t xml:space="preserve">kein universell N-1-sicherer Transfergrenzwert</w:t>
      </w:r>
      <w:r>
        <w:t xml:space="preserve">; dafür braucht es explizite CBCO-Listen, geeignete Zeitbereiche, Maßnahmenannahmen und unabhängige Security-Berechnungen. Auch MW-Grenzen aus AC-Scheinleistungslimits sind lediglich Näherungen.</w:t>
      </w:r>
    </w:p>
    <w:bookmarkEnd w:id="38"/>
    <w:bookmarkStart w:id="39" w:name="wissenschaftlicher-methodenvergleich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11. Wissenschaftlicher Methodenvergleich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Stärken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Schwächen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im Paket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Clustering A: Überlastungsenergie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Gesamter Dispatch, 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ENTSO-E-nahe Sicht auf bestehende Engpässe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Markt-/Szenarioabhängigkeit, „fehlende“ flexible Fälle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Ausführbarer numerischer Kern, greedy Partition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Clustering B: gesamte Belastung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RES-Verfügbarkeit, Last, Bilanzausgleich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Strukturelle Transportmuster ohne Marktopti-mierung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Ausgleichsabhängigkeit, kein vollständiger 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Ausführbarer numerischer Kern, greedy Partition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Explizite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Busmap, Originaltopologie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Exakte Bilanz, Sparse-Matrizen, 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Ersatzimpedanzen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Ausführbar und getestet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Technologiespezifische PTDF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Erklärt Strukturfluss, speichert räumliche Informationen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Referenzabhängig,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nicht immer definiert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Ausführbar und getestet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Gleichgewichtung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Knoten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Einfach, stabil, keine Kraftwerksdaten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Ignoriert reale Erzeugungsstruktur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Ausführbar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Kapazitätsgewichtung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Nameplate-MW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Räumliche Kraftwerksstruktur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Ignoriert Grenzkosten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Ausführbar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Merit-Order-Referenz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Kapazitäten, feste Grenzkosten, Laststützstellen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Ökonomisch interpretierbar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echter Markt; potenzieller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Ausführbar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PTDF-Ersatzknoten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Sensitivitätsspalten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Erhält existierenden Knoten als Kandidat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lokale, nicht globale Repräsentation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Heuristik ausführbar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Operator-Fit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Referenz-PTDF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Realisierbare positive Reaktanzen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Nicht-Eindeutigkeit; kann nicht exakt passen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Ausführbar und getestet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Snapshot-Fit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t>0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Vollständige Kalibrierungsflüsse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Betriebszustandsgetriebene Fehlerreduktion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Overfitting/Referenzzeitraum; Integration erforderlich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Ausführbar und getestet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N-1-Grenzen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Originalnetz-Ausfälle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Physikalischer Sicherheitsbezug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Datenabhängige Proxy-Schätzung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Diagnoseprototyp, nicht freigabefähig</w:t>
            </w:r>
          </w:p>
        </w:tc>
      </w:tr>
    </w:tbl>
    <w:bookmarkEnd w:id="39"/>
    <w:bookmarkStart w:id="43" w:name="X04044d17952ad38a8ab058194db91c35064df63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12. Implementierungsdesign und PyPSA-Wiederverwendung</w:t>
      </w:r>
    </w:p>
    <w:bookmarkStart w:id="40" w:name="kernarchitektur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12.1 Kernarchitektur</w:t>
      </w:r>
    </w:p>
    <w:p>
      <w:pPr>
        <w:pStyle w:val="SourceCode"/>
      </w:pPr>
      <w:r>
        <w:rPr>
          <w:rStyle w:val="VerbatimChar"/>
        </w:rPr>
        <w:t xml:space="preserve">PyPSA detailliertes Network  -&gt; pypsa_adapter.py (Preflight, x_pu, IDs)</w:t>
      </w:r>
      <w:r>
        <w:br/>
      </w:r>
      <w:r>
        <w:rPr>
          <w:rStyle w:val="VerbatimChar"/>
        </w:rPr>
        <w:t xml:space="preserve">       |                                |</w:t>
      </w:r>
      <w:r>
        <w:br/>
      </w:r>
      <w:r>
        <w:rPr>
          <w:rStyle w:val="VerbatimChar"/>
        </w:rPr>
        <w:t xml:space="preserve">       +-- vollständige p_d^A ----------+--&gt; screening.py: A, Überlastungsenergie</w:t>
      </w:r>
      <w:r>
        <w:br/>
      </w:r>
      <w:r>
        <w:rPr>
          <w:rStyle w:val="VerbatimChar"/>
        </w:rPr>
        <w:t xml:space="preserve">       |                                |</w:t>
      </w:r>
      <w:r>
        <w:br/>
      </w:r>
      <w:r>
        <w:rPr>
          <w:rStyle w:val="VerbatimChar"/>
        </w:rPr>
        <w:t xml:space="preserve">       +-- RES/Last + Bilanzierung -----+--&gt; screening.py: B, allgemeine Belastung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               clustering.py: zwei Busmaps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       aggregation.py: P_A/Gamma_A, P_B/Gamma_B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 PyPSA get_clustering_from_busmap (optional initial topology)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distribution.py: uniform/capacity/merit-order/tech-R/rep-node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equivalent.py + offsets.py: Href, xeq, c0 und Strukturkorrekturen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security.py: BODF, N-1 und Diagnosekapazitäten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outputs/: CSV/JSON + wissenschaftliche Tests und Gate-Status</w:t>
      </w:r>
    </w:p>
    <w:p>
      <w:pPr>
        <w:pStyle w:val="FirstParagraph"/>
      </w:pPr>
      <w:r>
        <w:rPr>
          <w:rStyle w:val="VerbatimChar"/>
        </w:rPr>
        <w:t xml:space="preserve">pypsa.Network.cluster.spatial.busmap_by_hac()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get_clustering_from_busmap()</w:t>
      </w:r>
      <w:r>
        <w:t xml:space="preserve"> </w:t>
      </w:r>
      <w:r>
        <w:t xml:space="preserve">gehören zu den vorhandenen PyPSA-Schnittstellen.</w:t>
      </w:r>
      <w:r>
        <w:t xml:space="preserve"> </w:t>
      </w:r>
      <w:r>
        <w:rPr>
          <w:rStyle w:val="VerbatimChar"/>
        </w:rPr>
        <w:t xml:space="preserve">n.lpf()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SubNetwork.calculate_PTDF()</w:t>
      </w:r>
      <w:r>
        <w:t xml:space="preserve"> </w:t>
      </w:r>
      <w:r>
        <w:t xml:space="preserve">beziehungsweise</w:t>
      </w:r>
      <w:r>
        <w:t xml:space="preserve"> </w:t>
      </w:r>
      <w:r>
        <w:rPr>
          <w:rStyle w:val="VerbatimChar"/>
        </w:rPr>
        <w:t xml:space="preserve">calculate_BODF()</w:t>
      </w:r>
      <w:r>
        <w:t xml:space="preserve"> </w:t>
      </w:r>
      <w:r>
        <w:t xml:space="preserve">stehen ebenfalls zur Verfügung. Die</w:t>
      </w:r>
      <w:r>
        <w:t xml:space="preserve"> </w:t>
      </w:r>
      <w:r>
        <w:rPr>
          <w:b/>
          <w:bCs/>
        </w:rPr>
        <w:t xml:space="preserve">globale</w:t>
      </w:r>
      <w:r>
        <w:t xml:space="preserve"> </w:t>
      </w:r>
      <w:r>
        <w:t xml:space="preserve">Beurteilung von Engpassschutz oder Kostengewichtung wird dadurch jedoch nicht automatisch gelöst. [P1–P3]</w:t>
      </w:r>
    </w:p>
    <w:bookmarkEnd w:id="40"/>
    <w:bookmarkStart w:id="41" w:name="modulvertrag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12.2 Modulvertrag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Verantwortung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Verwendungsstatus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Explizite lossless-DC-PTDF, Balanzprüfung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Numerisch getestet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Methode A und B, Leitungsscores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Numerisch getestet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Verbundene Greedy-Kontraktionen mit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Numerisch getestet, keine globale Optimalität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aggregation.py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, Identität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z</m:t>
                  </m:r>
                </m:sub>
              </m:sSub>
              <m:r>
                <m:t>Γ</m:t>
              </m:r>
              <m:r>
                <m:rPr>
                  <m:sty m:val="p"/>
                </m:rPr>
                <m:t>=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Numerisch getestet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distribution.py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und Ersatzknoten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Numerisch getestet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offsets.py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Exakte Strukturflüsse relativ zu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Numerisch getestet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equivalent.py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PTDF-Projektion und Fit positiver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konstantem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0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Numerisch getestet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BODF und unsichere/markierte Grenzschätzungen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Numerisch getestet, keine Sicherheitsfreigabe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pypsa_adapter.py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PyPSA-Netze lesen, aggregieren,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Nicht zur Laufzeit getestet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run_demo.py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Gleichartige A/B-Tests und Referenzvergleich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Ausgeführt</w:t>
            </w:r>
          </w:p>
        </w:tc>
      </w:tr>
    </w:tbl>
    <w:p>
      <w:pPr>
        <w:pStyle w:val="BodyText"/>
      </w:pPr>
      <w:r>
        <w:rPr>
          <w:b/>
          <w:bCs/>
        </w:rPr>
        <w:t xml:space="preserve">Bewusste Schranke des Adapters:</w:t>
      </w:r>
      <w:r>
        <w:t xml:space="preserve"> </w:t>
      </w:r>
      <w:r>
        <w:t xml:space="preserve">In seiner ersten Version werden vorhandene Transformatoren, Mehrpol-Links, Stores, StorageUnits und nichtneutrale Phase-Shifts</w:t>
      </w:r>
      <w:r>
        <w:t xml:space="preserve"> </w:t>
      </w:r>
      <w:r>
        <w:rPr>
          <w:b/>
          <w:bCs/>
        </w:rPr>
        <w:t xml:space="preserve">nicht stillschweigend ignoriert</w:t>
      </w:r>
      <w:r>
        <w:t xml:space="preserve">, sondern lösen einen Fehler aus. Das ist für ein reales europäisches Netz noch nicht ausreichend, schützt aber vor wissenschaftlich falschen Flüssen. Ein echter Transformator-/HVDC-/PST-Adapter ist ein blockierender Integrationsschritt.</w:t>
      </w:r>
    </w:p>
    <w:bookmarkEnd w:id="41"/>
    <w:bookmarkStart w:id="42" w:name="minimale-benutzung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12.3 Minimale Benutzung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'.[test]'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run_demo.py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outputs</w:t>
      </w:r>
    </w:p>
    <w:p>
      <w:pPr>
        <w:pStyle w:val="FirstParagraph"/>
      </w:pPr>
      <w:r>
        <w:t xml:space="preserve">Für die echte PyPSA-Anbindung: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'.[pypsa,test]'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examples/pypsa_real_network.py /pfad/detailed_network.nc</w:t>
      </w:r>
    </w:p>
    <w:p>
      <w:pPr>
        <w:pStyle w:val="FirstParagraph"/>
      </w:pPr>
      <w:r>
        <w:rPr>
          <w:rStyle w:val="VerbatimChar"/>
        </w:rPr>
        <w:t xml:space="preserve">examples/pypsa_real_network.py</w:t>
      </w:r>
      <w:r>
        <w:t xml:space="preserve"> </w:t>
      </w:r>
      <w:r>
        <w:t xml:space="preserve">ist ein</w:t>
      </w:r>
      <w:r>
        <w:t xml:space="preserve"> </w:t>
      </w:r>
      <w:r>
        <w:rPr>
          <w:b/>
          <w:bCs/>
        </w:rPr>
        <w:t xml:space="preserve">Integrationsskelet</w:t>
      </w:r>
      <w:r>
        <w:t xml:space="preserve"> </w:t>
      </w:r>
      <w:r>
        <w:t xml:space="preserve">mit strikten Hard-Stops. Es liefert bei geeigneten Netzen eine nicht kalibrierte PyPSA-Basistopologie; die mathematischen Ersatznetzparameter werden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schon automatisch als fertiges Linopy-Netzmodell eingetragen.</w:t>
      </w:r>
    </w:p>
    <w:bookmarkEnd w:id="42"/>
    <w:bookmarkEnd w:id="43"/>
    <w:bookmarkStart w:id="46" w:name="neue-synthetische-gegenüberstellung-s1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13. Neue synthetische Gegenüberstellung [S1]</w:t>
      </w:r>
    </w:p>
    <w:bookmarkStart w:id="44" w:name="versuchsprotokoll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13.1 Versuchsprotokoll</w:t>
      </w:r>
    </w:p>
    <w:p>
      <w:pPr>
        <w:pStyle w:val="FirstParagraph"/>
      </w:pPr>
      <w:r>
        <w:t xml:space="preserve">Neun ursprüngliche Knoten, 15 passive AC-Leitungen, 120 stündliche Profile, fünf resultierende Zonen, random seed</w:t>
      </w:r>
      <w:r>
        <w:t xml:space="preserve"> </w:t>
      </w:r>
      <w:r>
        <w:rPr>
          <w:rStyle w:val="VerbatimChar"/>
        </w:rPr>
        <w:t xml:space="preserve">20261016</w:t>
      </w:r>
      <w:r>
        <w:t xml:space="preserve">; frei erfundene, feste Grenzkosten und installierte Kapazitäten. Derselbe vollständige, stündlich bilanzierte Betrieb wird für die</w:t>
      </w:r>
      <w:r>
        <w:t xml:space="preserve"> </w:t>
      </w:r>
      <w:r>
        <w:rPr>
          <w:b/>
          <w:bCs/>
        </w:rPr>
        <w:t xml:space="preserve">elektrische Validierung beider Busmaps</w:t>
      </w:r>
      <w:r>
        <w:t xml:space="preserve"> </w:t>
      </w:r>
      <w:r>
        <w:t xml:space="preserve">verwendet. Die Clusterbildung A nutzt Überlastungsenergie, B nutzt RES/Last-Screening mit kapazitätsgewichtetem Bilanzausgleich. Kalibrierungsperiode sind die ersten 80 Stunden, unabhängige Testperiode die letzten 40.</w:t>
      </w:r>
    </w:p>
    <w:p>
      <w:pPr>
        <w:pStyle w:val="BodyText"/>
      </w:pPr>
      <w:r>
        <w:t xml:space="preserve">Die PTDF-Operatorprojektion wird</w:t>
      </w:r>
      <w:r>
        <w:t xml:space="preserve"> </w:t>
      </w:r>
      <w:r>
        <w:rPr>
          <w:b/>
          <w:bCs/>
        </w:rPr>
        <w:t xml:space="preserve">je Referenz</w:t>
      </w:r>
      <w:r>
        <w:t xml:space="preserve"> </w:t>
      </w:r>
      <w:r>
        <w:t xml:space="preserve">neu berechnet. Für den Vergleich „mit Strukturkorrektur“ sind die</w:t>
      </w:r>
      <w:r>
        <w:t xml:space="preserve"> </w:t>
      </w:r>
      <w:r>
        <w:rPr>
          <w:b/>
          <w:bCs/>
        </w:rPr>
        <w:t xml:space="preserve">hochaufgelösten</w:t>
      </w:r>
      <w:r>
        <w:t xml:space="preserve"> </w:t>
      </w:r>
      <w:r>
        <w:t xml:space="preserve">Wind-, PV- und Lastbeiträge auch in der Validierung bekannt; das ist eine bewusst</w:t>
      </w:r>
      <w:r>
        <w:t xml:space="preserve"> </w:t>
      </w:r>
      <w:r>
        <w:rPr>
          <w:b/>
          <w:bCs/>
        </w:rPr>
        <w:t xml:space="preserve">datenintensive Obergrenze</w:t>
      </w:r>
      <w:r>
        <w:t xml:space="preserve">, keine Aussage über spätere Verfügbarkeit dieser nodalen Daten im Produktionsnetz.</w:t>
      </w:r>
    </w:p>
    <w:bookmarkEnd w:id="44"/>
    <w:bookmarkStart w:id="45" w:name="ergebnisse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13.2 Ergebnisse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Test-RMSE ohne Struktur [MW]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Test-RMSE mit RES/Last-Struktur [MW]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Zyklusrang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Gleichmäßig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Kapazitätsgewichtet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Merit-Order-gewichtet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Gleichmäßig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Kapazitätsgewichtet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Merit-Order-gewichtet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Die gemeinsame snapshotbasierte Anpassung von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erreichte in diesem Test unabhängig von der nachträglich daneben betrachteten Referenzverteilung einen Test-RMSE von</w:t>
      </w:r>
      <w:r>
        <w:t xml:space="preserve"> </w:t>
      </w:r>
      <w:r>
        <w:rPr>
          <w:b/>
          <w:bCs/>
        </w:rPr>
        <w:t xml:space="preserve">1,024 MW</w:t>
      </w:r>
      <w:r>
        <w:t xml:space="preserve"> </w:t>
      </w:r>
      <w:r>
        <w:t xml:space="preserve">für Busmap A und</w:t>
      </w:r>
      <w:r>
        <w:t xml:space="preserve"> </w:t>
      </w:r>
      <w:r>
        <w:rPr>
          <w:b/>
          <w:bCs/>
        </w:rPr>
        <w:t xml:space="preserve">0,551 MW</w:t>
      </w:r>
      <w:r>
        <w:t xml:space="preserve"> </w:t>
      </w:r>
      <w:r>
        <w:t xml:space="preserve">für Busmap B. Das liegt daran, dass dieses Fit-Ziel nur die vollständigen Zielzeitreihen, nicht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verwendet. Die drei Wiederholungen dürfen daher nicht als drei unterschiedliche wirtschaftliche Fits missverstanden werden.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bewahrt im synthetischen Fall 100 % der positiven Überlastungsenergie als Originalleitungen auf Interzonenschnitten; das ist</w:t>
      </w:r>
      <w:r>
        <w:t xml:space="preserve"> </w:t>
      </w:r>
      <w:r>
        <w:rPr>
          <w:b/>
          <w:bCs/>
        </w:rPr>
        <w:t xml:space="preserve">kein</w:t>
      </w:r>
      <w:r>
        <w:t xml:space="preserve"> </w:t>
      </w:r>
      <w:r>
        <w:t xml:space="preserve">Nachweis, dass der aggregierte Ersatz dieselben Überlastungen prognostiziert.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bewahrt 92,4 % des definierten relativen Belastungsscores auf Schnittleitungen auf.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Die Clustering-Busmaps unterscheiden sich</w:t>
      </w:r>
      <w:r>
        <w:t xml:space="preserve">, und auch die Fehlerstruktur unterscheidet sich. Ein Vergleich allein von zwei RMSE-Zahlen ist ohne gleiches Zonenbudget, Kalibrierungsfenster und Testset unzulässig.</w:t>
      </w:r>
    </w:p>
    <w:p>
      <w:pPr>
        <w:pStyle w:val="Compact"/>
        <w:numPr>
          <w:ilvl w:val="0"/>
          <w:numId w:val="1003"/>
        </w:numPr>
      </w:pPr>
      <w:r>
        <w:t xml:space="preserve">Die demonstrative N-1-Punktwolkenschätzung liefert vielfach</w:t>
      </w:r>
      <w:r>
        <w:t xml:space="preserve"> </w:t>
      </w:r>
      <w:r>
        <w:rPr>
          <w:b/>
          <w:bCs/>
        </w:rPr>
        <w:t xml:space="preserve">„insufficient_data“</w:t>
      </w:r>
      <w:r>
        <w:t xml:space="preserve"> </w:t>
      </w:r>
      <w:r>
        <w:t xml:space="preserve">oder</w:t>
      </w:r>
      <w:r>
        <w:t xml:space="preserve"> </w:t>
      </w:r>
      <w:r>
        <w:rPr>
          <w:b/>
          <w:bCs/>
        </w:rPr>
        <w:t xml:space="preserve">„weak_relationship“</w:t>
      </w:r>
      <w:r>
        <w:t xml:space="preserve">. Diese Fälle bleiben ausdrücklich offen; die Software füllt sie nicht mit erdachten MW-Kapazitäten.</w:t>
      </w:r>
    </w:p>
    <w:p>
      <w:pPr>
        <w:pStyle w:val="FirstParagraph"/>
      </w:pPr>
      <w:r>
        <w:t xml:space="preserve">Die Zahlen sind</w:t>
      </w:r>
      <w:r>
        <w:t xml:space="preserve"> </w:t>
      </w:r>
      <w:r>
        <w:rPr>
          <w:i/>
          <w:iCs/>
        </w:rPr>
        <w:t xml:space="preserve">nicht</w:t>
      </w:r>
      <w:r>
        <w:t xml:space="preserve"> </w:t>
      </w:r>
      <w:r>
        <w:t xml:space="preserve">direkt mit dem früheren 6-Bus-/3-Zonen-Pilot [I3] vergleichbar; dort lag nach RES/Last-Korrektur die Kapazitätsreferenz vorn. Die geänderten Netztopologien und Einspeisungsannahmen unterstreichen, dass keine Variante universal dominant ist.</w:t>
      </w:r>
    </w:p>
    <w:bookmarkEnd w:id="45"/>
    <w:bookmarkEnd w:id="46"/>
    <w:bookmarkStart w:id="47" w:name="Xf69f3316e9a10a7964cd154c3c920e58d96267b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14. Reproduzierbarkeit, Validierungsgates und Grenzen</w:t>
      </w:r>
    </w:p>
    <w:p>
      <w:pPr>
        <w:pStyle w:val="FirstParagraph"/>
      </w:pPr>
      <w:r>
        <w:rPr>
          <w:b/>
          <w:bCs/>
        </w:rPr>
        <w:t xml:space="preserve">Gate G0 – Eingang:</w:t>
      </w:r>
      <w:r>
        <w:t xml:space="preserve"> </w:t>
      </w:r>
      <w:r>
        <w:t xml:space="preserve">vollständige, versionierte Ausgangsnetze und synchronisierte Zeitreihen; eindeutig definierte technologiebasierte Erzeugungsklassen und Vorzeichen. Bei fehlenden Originaleingängen kein Anspruch auf echte Netzreduktion.</w:t>
      </w:r>
    </w:p>
    <w:p>
      <w:pPr>
        <w:pStyle w:val="BodyText"/>
      </w:pPr>
      <w:r>
        <w:rPr>
          <w:b/>
          <w:bCs/>
        </w:rPr>
        <w:t xml:space="preserve">Gate G1 – vollständige Balance:</w:t>
      </w:r>
      <w:r>
        <w:t xml:space="preserve"> </w:t>
      </w:r>
      <w:r>
        <w:t xml:space="preserve">nodale Einspeisungsbilanz je Insel (A); explizite Sensitivität gegenüber Ausgleichsschlüsseln (B). Bei verletzter Bilanz kein PTDF-Fluss.</w:t>
      </w:r>
    </w:p>
    <w:p>
      <w:pPr>
        <w:pStyle w:val="BodyText"/>
      </w:pPr>
      <w:r>
        <w:rPr>
          <w:b/>
          <w:bCs/>
        </w:rPr>
        <w:t xml:space="preserve">Gate G2 – Partition:</w:t>
      </w:r>
      <w:r>
        <w:t xml:space="preserve"> </w:t>
      </w:r>
      <w:r>
        <w:t xml:space="preserve">gleiche Zonenzahl, nur zusammenhängende Zonen, vollständige Komponentenabdeckung, getrennte Busmaps A/B, dokumentierte kritische Schnitte.</w:t>
      </w:r>
    </w:p>
    <w:p>
      <w:pPr>
        <w:pStyle w:val="BodyText"/>
      </w:pPr>
      <w:r>
        <w:rPr>
          <w:b/>
          <w:bCs/>
        </w:rPr>
        <w:t xml:space="preserve">Gate G3 – algebraische Identität:</w:t>
      </w:r>
      <w:r>
        <w:t xml:space="preserve"> </w:t>
      </w:r>
      <m:oMath>
        <m:sSub>
          <m:e>
            <m:r>
              <m:t>A</m:t>
            </m:r>
          </m:e>
          <m:sub>
            <m:r>
              <m:t>z</m:t>
            </m:r>
          </m:sub>
        </m:sSub>
        <m:r>
          <m:t>Γ</m:t>
        </m:r>
        <m:r>
          <m:rPr>
            <m:sty m:val="p"/>
          </m:rPr>
          <m:t>=</m:t>
        </m:r>
        <m:r>
          <m:t>P</m:t>
        </m:r>
        <m:sSub>
          <m:e>
            <m:r>
              <m:t>A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z</m:t>
            </m:r>
          </m:sub>
        </m:sSub>
        <m:sSub>
          <m:e>
            <m:r>
              <m:t>f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r>
          <m:t>P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und Nullbilanz des Strukturflusses.</w:t>
      </w:r>
    </w:p>
    <w:p>
      <w:pPr>
        <w:pStyle w:val="BodyText"/>
      </w:pPr>
      <w:r>
        <w:rPr>
          <w:b/>
          <w:bCs/>
        </w:rPr>
        <w:t xml:space="preserve">Gate G4 – elektrische Identifikation:</w:t>
      </w:r>
      <w:r>
        <w:t xml:space="preserve"> </w:t>
      </w:r>
      <w:r>
        <w:t xml:space="preserve">positive Ersatzreaktanzen; Hinweis auf Skalengauge und Zyklusrang; keine Behauptung exakter Realisierbarkeit von</w:t>
      </w:r>
      <w:r>
        <w:t xml:space="preserve"> </w:t>
      </w:r>
      <m:oMath>
        <m:r>
          <m:t>Γ</m:t>
        </m:r>
        <m:sSub>
          <m:e>
            <m:r>
              <m:t>H</m:t>
            </m:r>
          </m:e>
          <m:sub>
            <m:r>
              <m:t>d</m:t>
            </m:r>
          </m:sub>
        </m:sSub>
        <m:r>
          <m:t>R</m:t>
        </m:r>
      </m:oMath>
      <w:r>
        <w:t xml:space="preserve">; Test mit zurückgehaltenen Stunden.</w:t>
      </w:r>
    </w:p>
    <w:p>
      <w:pPr>
        <w:pStyle w:val="BodyText"/>
      </w:pPr>
      <w:r>
        <w:rPr>
          <w:b/>
          <w:bCs/>
        </w:rPr>
        <w:t xml:space="preserve">Gate G5 – Security:</w:t>
      </w:r>
      <w:r>
        <w:t xml:space="preserve"> </w:t>
      </w:r>
      <w:r>
        <w:t xml:space="preserve">N-0/N-1 auf Originalleitungen; inselbildende Ausfälle separat; CBCO-Regeln, Ratingdefinitionen, Sommer/Winter und beide Richtungen; keine Kapazität ohne identifizierbare Daten.</w:t>
      </w:r>
    </w:p>
    <w:p>
      <w:pPr>
        <w:pStyle w:val="BodyText"/>
      </w:pPr>
      <w:r>
        <w:rPr>
          <w:b/>
          <w:bCs/>
        </w:rPr>
        <w:t xml:space="preserve">Gate G6 – Produktionsintegration:</w:t>
      </w:r>
      <w:r>
        <w:t xml:space="preserve"> </w:t>
      </w:r>
      <w:r>
        <w:t xml:space="preserve">affine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-Semantik in Linopy/PyPSA restriktionswirksam, Transformatoren/HVDC/PST modelliert, unabhängige Prüfszenarien, Reproduzierbarkeit mit gepinnter PyPSA-Version.</w:t>
      </w:r>
    </w:p>
    <w:p>
      <w:pPr>
        <w:pStyle w:val="BodyText"/>
      </w:pPr>
      <w:r>
        <w:t xml:space="preserve">Status zum Zeitpunkt dieses Berichts:</w:t>
      </w:r>
      <w:r>
        <w:t xml:space="preserve"> </w:t>
      </w:r>
      <w:r>
        <w:rPr>
          <w:b/>
          <w:bCs/>
        </w:rPr>
        <w:t xml:space="preserve">G1–G4 für den begrenzten synthetischen DC-Kern teilweise testgestützt; G0/G5/G6 für ein reales ENTSO-E-Netz nicht erreicht.</w:t>
      </w:r>
      <w:r>
        <w:t xml:space="preserve"> </w:t>
      </w:r>
      <w:r>
        <w:t xml:space="preserve">Der PyPSA-Adapter konnte in dieser Containerumgebung nicht ausgeführt werden, da PyPSA nicht installiert war und der Paketindex nicht erreichbar war. Getestet sind NumPy/SciPy-Kernfunktionen mit sieben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-Tests. Ein Produktionsfreigabestatus wird nicht behauptet.</w:t>
      </w:r>
    </w:p>
    <w:bookmarkEnd w:id="47"/>
    <w:bookmarkStart w:id="48" w:name="priorisierte-implementierungsschritte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15. Priorisierte Implementierungsschritte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Echte Dateneingänge binden (verpflichtend):</w:t>
      </w:r>
      <w:r>
        <w:t xml:space="preserve"> </w:t>
      </w:r>
      <w:r>
        <w:t xml:space="preserve">Originalnetz, Profil- und Dispatchdaten, AC-Zweige einschließlich Transformatoren, Ratings, HVDC und PST sowie eindeutige Trägerinformationen. Validierung der PyPSA-Version</w:t>
      </w:r>
      <w:r>
        <w:t xml:space="preserve"> </w:t>
      </w:r>
      <w:r>
        <w:rPr>
          <w:b/>
          <w:bCs/>
        </w:rPr>
        <w:t xml:space="preserve">1.4.0</w:t>
      </w:r>
      <w:r>
        <w:t xml:space="preserve"> </w:t>
      </w:r>
      <w:r>
        <w:t xml:space="preserve">oder bewusst gepinnter Folgeversion.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A/B unter gleicher Topologie ausführen:</w:t>
      </w:r>
      <w:r>
        <w:t xml:space="preserve"> </w:t>
      </w:r>
      <w:r>
        <w:t xml:space="preserve">über die tatsächlichen Snapshots Scores bilden, alternative Bilanzausgleichsschlüssel für B testen, beide Busmaps ausgeben und algebraisch prüfen. Bei großem Netz die PTDF nicht zwingend dicht materialisieren, sondern Flüsse mit Sparse-DC-Lösungen berechnen.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Drei Referenzen und Ersatzknoten vergleichen:</w:t>
      </w:r>
      <w:r>
        <w:t xml:space="preserve"> </w:t>
      </w:r>
      <w:r>
        <w:t xml:space="preserve">gleiche Zonen, gleicher Validierungsdatensatz; kein Auswahlentscheid aufgrund von Marginalkosten allein. Auswahl mittels unabhängiger Flussgüte und Stabilität.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Realisierbaren Ersatznetz-Fit produktionsfähig machen:</w:t>
      </w:r>
      <w:r>
        <w:t xml:space="preserve"> </w:t>
      </w:r>
      <w:r>
        <w:t xml:space="preserve">Projektions- und Snapshotfit getrennt dokumentieren, Offset in mathematische Netzrestriktionen integrieren, saisonale Parameterstrategie festlegen.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 qualifizieren:</w:t>
      </w:r>
      <w:r>
        <w:t xml:space="preserve"> </w:t>
      </w:r>
      <w:r>
        <w:t xml:space="preserve">N-1 und CBCO-Definitionssatz, korrekte MVA-/MW-Konversion, Richtung, Saison, statistische Identifizierbarkeit, unabhängige Kontingenzprüfungen. Erst danach exportierte Zonenkapazitäten als qualifiziert bewerten.</w:t>
      </w:r>
    </w:p>
    <w:bookmarkEnd w:id="48"/>
    <w:bookmarkStart w:id="49" w:name="schlussfolgerung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16. Schlussfolgerung</w:t>
      </w:r>
    </w:p>
    <w:p>
      <w:pPr>
        <w:pStyle w:val="FirstParagraph"/>
      </w:pPr>
      <w:r>
        <w:t xml:space="preserve">Die frühere technologieabhängige PTDF-Idee und die ENTSO-E-nahe Netzreduktion konkurrieren</w:t>
      </w:r>
      <w:r>
        <w:t xml:space="preserve"> </w:t>
      </w:r>
      <w:r>
        <w:rPr>
          <w:b/>
          <w:bCs/>
        </w:rPr>
        <w:t xml:space="preserve">nicht</w:t>
      </w:r>
      <w:r>
        <w:t xml:space="preserve">: Die erstere macht räumliche Einspeiseverteilungen und ihren Einfluss auf</w:t>
      </w:r>
      <w:r>
        <w:t xml:space="preserve"> </w:t>
      </w:r>
      <w:r>
        <w:rPr>
          <w:b/>
          <w:bCs/>
        </w:rPr>
        <w:t xml:space="preserve">No-Load-/Strukturflüsse</w:t>
      </w:r>
      <w:r>
        <w:t xml:space="preserve"> </w:t>
      </w:r>
      <w:r>
        <w:t xml:space="preserve">sichtbar, die zweite bestimmt die</w:t>
      </w:r>
      <w:r>
        <w:t xml:space="preserve"> </w:t>
      </w:r>
      <w:r>
        <w:rPr>
          <w:b/>
          <w:bCs/>
        </w:rPr>
        <w:t xml:space="preserve">Topologie und physikalischen Ersatzparameter</w:t>
      </w:r>
      <w:r>
        <w:t xml:space="preserve">. Als mathematischer Kern genügen die Operatoren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; weder ein neuer AC-Solver noch separate elektrische Gleichungen pro Technologie sind erforderlich.</w:t>
      </w:r>
    </w:p>
    <w:p>
      <w:pPr>
        <w:pStyle w:val="BodyText"/>
      </w:pPr>
      <w:r>
        <w:t xml:space="preserve">Eine Merit-Order-gewichtete Referenz ist eine</w:t>
      </w:r>
      <w:r>
        <w:t xml:space="preserve"> </w:t>
      </w:r>
      <w:r>
        <w:rPr>
          <w:b/>
          <w:bCs/>
        </w:rPr>
        <w:t xml:space="preserve">testbare ökonomische Hypothese</w:t>
      </w:r>
      <w:r>
        <w:t xml:space="preserve">, keine physikalisch notwendige oder generell genauere PTDF. Positive Ersatzreaktanzen müssen als</w:t>
      </w:r>
      <w:r>
        <w:t xml:space="preserve"> </w:t>
      </w:r>
      <w:r>
        <w:rPr>
          <w:b/>
          <w:bCs/>
        </w:rPr>
        <w:t xml:space="preserve">Projektion auf ein physikalisch zulässiges reduziertes Netz</w:t>
      </w:r>
      <w:r>
        <w:t xml:space="preserve"> </w:t>
      </w:r>
      <w:r>
        <w:t xml:space="preserve">identifiziert werden. Der konstante Struktur-Offset muss als Näherung und nicht als automatisch aus der detaillierten Laststruktur exakte Konstante behandelt werden. Schließlich liefern aus zeitlichen Punktwolken geschätzte N-1-Kapazitäten nur mit nachgelagerter Security-Qualifikation belastbare Grenzen.</w:t>
      </w:r>
    </w:p>
    <w:p>
      <w:pPr>
        <w:pStyle w:val="BodyText"/>
      </w:pPr>
      <w:r>
        <w:t xml:space="preserve">Für die weitere Forschung ist die direkte Paarung von</w:t>
      </w:r>
      <w:r>
        <w:t xml:space="preserve"> </w:t>
      </w:r>
      <w:r>
        <w:rPr>
          <w:b/>
          <w:bCs/>
        </w:rPr>
        <w:t xml:space="preserve">A: dispatchgetriebene Überlastungsinformation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B: RES-Last-basierte strukturelle Belastung</w:t>
      </w:r>
      <w:r>
        <w:t xml:space="preserve"> </w:t>
      </w:r>
      <w:r>
        <w:t xml:space="preserve">bei gemeinsamer Elektrik, Kalibrierung und</w:t>
      </w:r>
      <w:r>
        <w:t xml:space="preserve"> </w:t>
      </w:r>
      <w:r>
        <w:rPr>
          <w:i/>
          <w:iCs/>
        </w:rPr>
        <w:t xml:space="preserve">out-of-sample</w:t>
      </w:r>
      <w:r>
        <w:t xml:space="preserve">-Validierung die methodisch klarste und am besten falsifizierbare Studiendesignentscheidung.</w:t>
      </w:r>
    </w:p>
    <w:bookmarkEnd w:id="49"/>
    <w:bookmarkStart w:id="54" w:name="referenzen-und-provenienz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Referenzen und Provenienz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[E1]</w:t>
      </w:r>
      <w:r>
        <w:t xml:space="preserve"> </w:t>
      </w:r>
      <w:r>
        <w:t xml:space="preserve">ENTSO-E,</w:t>
      </w:r>
      <w:r>
        <w:t xml:space="preserve"> </w:t>
      </w:r>
      <w:r>
        <w:rPr>
          <w:i/>
          <w:iCs/>
        </w:rPr>
        <w:t xml:space="preserve">TYNDP 2026 Identification of System Needs Methodology</w:t>
      </w:r>
      <w:r>
        <w:t xml:space="preserve">, Konsultationsfassung vom 25. Februar 2026, Kapitel 3.8 und Anhang 6.1:</w:t>
      </w:r>
      <w:r>
        <w:t xml:space="preserve"> </w:t>
      </w:r>
      <w:hyperlink r:id="rId50">
        <w:r>
          <w:rPr>
            <w:rStyle w:val="Hyperlink"/>
          </w:rPr>
          <w:t xml:space="preserve">https://eepublicdownloads.blob.core.windows.net/public-cdn-container/clean-documents/tyndp-documents/TYNDP2026/TYNDP_2026_identification_of_system_needs_methodology_for_consultation.pdf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[P1]</w:t>
      </w:r>
      <w:r>
        <w:t xml:space="preserve"> </w:t>
      </w:r>
      <w:r>
        <w:t xml:space="preserve">PyPSA,</w:t>
      </w:r>
      <w:r>
        <w:t xml:space="preserve"> </w:t>
      </w:r>
      <w:r>
        <w:rPr>
          <w:i/>
          <w:iCs/>
        </w:rPr>
        <w:t xml:space="preserve">Clustering API</w:t>
      </w:r>
      <w:r>
        <w:t xml:space="preserve">,</w:t>
      </w:r>
      <w:r>
        <w:t xml:space="preserve"> </w:t>
      </w:r>
      <w:hyperlink r:id="rId51">
        <w:r>
          <w:rPr>
            <w:rStyle w:val="Hyperlink"/>
          </w:rPr>
          <w:t xml:space="preserve">https://docs.pypsa.org/latest/api/networks/cluster/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[P2]</w:t>
      </w:r>
      <w:r>
        <w:t xml:space="preserve"> </w:t>
      </w:r>
      <w:r>
        <w:t xml:space="preserve">PyPSA,</w:t>
      </w:r>
      <w:r>
        <w:t xml:space="preserve"> </w:t>
      </w:r>
      <w:r>
        <w:rPr>
          <w:i/>
          <w:iCs/>
        </w:rPr>
        <w:t xml:space="preserve">SubNetwork API</w:t>
      </w:r>
      <w:r>
        <w:t xml:space="preserve">, PTDF/BODF,</w:t>
      </w:r>
      <w:r>
        <w:t xml:space="preserve"> </w:t>
      </w:r>
      <w:hyperlink r:id="rId52">
        <w:r>
          <w:rPr>
            <w:rStyle w:val="Hyperlink"/>
          </w:rPr>
          <w:t xml:space="preserve">https://docs.pypsa.org/latest/api/networks/subnetwork/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[P3]</w:t>
      </w:r>
      <w:r>
        <w:t xml:space="preserve"> </w:t>
      </w:r>
      <w:r>
        <w:t xml:space="preserve">PyPSA,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https://docs.pypsa.org/latest/home/installation/</w:t>
        </w:r>
      </w:hyperlink>
      <w:r>
        <w:t xml:space="preserve">. PyPI Stand Oktober 2026:</w:t>
      </w:r>
      <w:r>
        <w:t xml:space="preserve"> </w:t>
      </w:r>
      <w:r>
        <w:rPr>
          <w:rStyle w:val="VerbatimChar"/>
        </w:rPr>
        <w:t xml:space="preserve">pypsa==1.4.0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[I1]</w:t>
      </w:r>
      <w:r>
        <w:t xml:space="preserve"> </w:t>
      </w:r>
      <w:r>
        <w:t xml:space="preserve">Früheres Chat-Artefakt:</w:t>
      </w:r>
      <w:r>
        <w:t xml:space="preserve"> </w:t>
      </w:r>
      <w:r>
        <w:rPr>
          <w:i/>
          <w:iCs/>
        </w:rPr>
        <w:t xml:space="preserve">ENTSOE_TYNDP2026_Netzreduktionsbericht.md</w:t>
      </w:r>
      <w:r>
        <w:t xml:space="preserve">, Oktober 2026. Methodische Interpretation, keine Primärquelle.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[I2]</w:t>
      </w:r>
      <w:r>
        <w:t xml:space="preserve"> </w:t>
      </w:r>
      <w:r>
        <w:t xml:space="preserve">Früheres Chat-Artefakt:</w:t>
      </w:r>
      <w:r>
        <w:t xml:space="preserve"> </w:t>
      </w:r>
      <w:r>
        <w:rPr>
          <w:i/>
          <w:iCs/>
        </w:rPr>
        <w:t xml:space="preserve">TYNDP_PyPSA_Netzreduktion_Implementierungsbericht.md</w:t>
      </w:r>
      <w:r>
        <w:t xml:space="preserve">, Oktober 2026. Softwarekonzept.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[I3]</w:t>
      </w:r>
      <w:r>
        <w:t xml:space="preserve"> </w:t>
      </w:r>
      <w:r>
        <w:t xml:space="preserve">Früheres Chat-Artefakt:</w:t>
      </w:r>
      <w:r>
        <w:t xml:space="preserve"> </w:t>
      </w:r>
      <w:r>
        <w:rPr>
          <w:i/>
          <w:iCs/>
        </w:rPr>
        <w:t xml:space="preserve">merit_order_ptdf_bericht.md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merit_order_ptdf_pilot.py</w:t>
      </w:r>
      <w:r>
        <w:t xml:space="preserve">, synthetischer 6-Bus-Pilot mit 1.000 Fällen und fixem Saatwert. Nicht gegen realen TYNDP-Datensatz validiert.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[S1]</w:t>
      </w:r>
      <w:r>
        <w:t xml:space="preserve"> </w:t>
      </w:r>
      <w:r>
        <w:t xml:space="preserve">Dieses Paket:</w:t>
      </w:r>
      <w:r>
        <w:t xml:space="preserve"> </w:t>
      </w:r>
      <w:r>
        <w:rPr>
          <w:rStyle w:val="VerbatimChar"/>
        </w:rPr>
        <w:t xml:space="preserve">tyndp_reduce/demo.py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outputs/comparison.csv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tests/test_core.py</w:t>
      </w:r>
      <w:r>
        <w:t xml:space="preserve">; künstlicher 9-Bus-Modellfall mit Saatwert 20261016.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docs.pypsa.org/latest/api/networks/cluster/" TargetMode="External" /><Relationship Type="http://schemas.openxmlformats.org/officeDocument/2006/relationships/hyperlink" Id="rId52" Target="https://docs.pypsa.org/latest/api/networks/subnetwork/" TargetMode="External" /><Relationship Type="http://schemas.openxmlformats.org/officeDocument/2006/relationships/hyperlink" Id="rId53" Target="https://docs.pypsa.org/latest/home/installation/" TargetMode="External" /><Relationship Type="http://schemas.openxmlformats.org/officeDocument/2006/relationships/hyperlink" Id="rId50" Target="https://eepublicdownloads.blob.core.windows.net/public-cdn-container/clean-documents/tyndp-documents/TYNDP2026/TYNDP_2026_identification_of_system_needs_methodology_for_consultation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cs.pypsa.org/latest/api/networks/cluster/" TargetMode="External" /><Relationship Type="http://schemas.openxmlformats.org/officeDocument/2006/relationships/hyperlink" Id="rId52" Target="https://docs.pypsa.org/latest/api/networks/subnetwork/" TargetMode="External" /><Relationship Type="http://schemas.openxmlformats.org/officeDocument/2006/relationships/hyperlink" Id="rId53" Target="https://docs.pypsa.org/latest/home/installation/" TargetMode="External" /><Relationship Type="http://schemas.openxmlformats.org/officeDocument/2006/relationships/hyperlink" Id="rId50" Target="https://eepublicdownloads.blob.core.windows.net/public-cdn-container/clean-documents/tyndp-documents/TYNDP2026/TYNDP_2026_identification_of_system_needs_methodology_for_consultatio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Vergleich und Softwaredesign TYNDP-naher Netzreduktionsmethoden mit PyPSA</dc:title>
  <dc:creator>Wissenschaftlicher Architektur- und Prototypbericht</dc:creator>
  <dc:language>de-DE</dc:language>
  <cp:keywords/>
  <dcterms:created xsi:type="dcterms:W3CDTF">2026-10-16T17:06:02Z</dcterms:created>
  <dcterms:modified xsi:type="dcterms:W3CDTF">2026-10-16T17:06:02Z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16. Oktober 2026</vt:lpwstr>
  </property>
  <property fmtid="{D5CDD505-2E9C-101B-9397-08002B2CF9AE}" pid="4" name="fontsize">
    <vt:lpwstr>10pt</vt:lpwstr>
  </property>
  <property fmtid="{D5CDD505-2E9C-101B-9397-08002B2CF9AE}" pid="5" name="geometry">
    <vt:lpwstr>margin=23mm</vt:lpwstr>
  </property>
  <property fmtid="{D5CDD505-2E9C-101B-9397-08002B2CF9AE}" pid="6" name="linkcolor">
    <vt:lpwstr>blue</vt:lpwstr>
  </property>
  <property fmtid="{D5CDD505-2E9C-101B-9397-08002B2CF9AE}" pid="7" name="numbersections">
    <vt:lpwstr>True</vt:lpwstr>
  </property>
  <property fmtid="{D5CDD505-2E9C-101B-9397-08002B2CF9AE}" pid="8" name="subtitle">
    <vt:lpwstr>Clustering A/B, technologiespezifische PTDFs, Merit-Order-Referenzen, elektrische Äquivalenz und N-1</vt:lpwstr>
  </property>
  <property fmtid="{D5CDD505-2E9C-101B-9397-08002B2CF9AE}" pid="9" name="toc">
    <vt:lpwstr>False</vt:lpwstr>
  </property>
  <property fmtid="{D5CDD505-2E9C-101B-9397-08002B2CF9AE}" pid="10" name="toc-depth">
    <vt:lpwstr>2</vt:lpwstr>
  </property>
  <property fmtid="{D5CDD505-2E9C-101B-9397-08002B2CF9AE}" pid="11" name="urlcolor">
    <vt:lpwstr>blue</vt:lpwstr>
  </property>
</Properties>
</file>