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IoSN-nahe</w:t>
      </w:r>
      <w:r>
        <w:t xml:space="preserve"> </w:t>
      </w:r>
      <w:r>
        <w:t xml:space="preserve">Netzreduktion</w:t>
      </w:r>
      <w:r>
        <w:t xml:space="preserve"> </w:t>
      </w:r>
      <w:r>
        <w:t xml:space="preserve">mit</w:t>
      </w:r>
      <w:r>
        <w:t xml:space="preserve"> </w:t>
      </w:r>
      <w:r>
        <w:t xml:space="preserve">PyPSA:</w:t>
      </w:r>
      <w:r>
        <w:t xml:space="preserve"> </w:t>
      </w:r>
      <w:r>
        <w:t xml:space="preserve">Softwarearchitektur</w:t>
      </w:r>
      <w:r>
        <w:t xml:space="preserve"> </w:t>
      </w:r>
      <w:r>
        <w:t xml:space="preserve">und</w:t>
      </w:r>
      <w:r>
        <w:t xml:space="preserve"> </w:t>
      </w:r>
      <w:r>
        <w:t xml:space="preserve">Validierungsplan</w:t>
      </w:r>
    </w:p>
    <w:p>
      <w:pPr>
        <w:pStyle w:val="Subtitle"/>
      </w:pPr>
      <w:r>
        <w:t xml:space="preserve">Zweistufige</w:t>
      </w:r>
      <w:r>
        <w:t xml:space="preserve"> </w:t>
      </w:r>
      <w:r>
        <w:t xml:space="preserve">Clustering-</w:t>
      </w:r>
      <w:r>
        <w:t xml:space="preserve"> </w:t>
      </w:r>
      <w:r>
        <w:t xml:space="preserve">und</w:t>
      </w:r>
      <w:r>
        <w:t xml:space="preserve"> </w:t>
      </w:r>
      <w:r>
        <w:t xml:space="preserve">Äquivalenzpipeline</w:t>
      </w:r>
      <w:r>
        <w:t xml:space="preserve"> </w:t>
      </w:r>
      <w:r>
        <w:t xml:space="preserve">mit</w:t>
      </w:r>
      <w:r>
        <w:t xml:space="preserve"> </w:t>
      </w:r>
      <w:r>
        <w:t xml:space="preserve">technologiespezifischen</w:t>
      </w:r>
      <w:r>
        <w:t xml:space="preserve"> </w:t>
      </w:r>
      <w:r>
        <w:t xml:space="preserve">PTDFs,</w:t>
      </w:r>
      <w:r>
        <w:t xml:space="preserve"> </w:t>
      </w:r>
      <w:r>
        <w:t xml:space="preserve">N-1-Sicherheitsoperator</w:t>
      </w:r>
      <w:r>
        <w:t xml:space="preserve"> </w:t>
      </w:r>
      <w:r>
        <w:t xml:space="preserve">und</w:t>
      </w:r>
      <w:r>
        <w:t xml:space="preserve"> </w:t>
      </w:r>
      <w:r>
        <w:t xml:space="preserve">FBMC-Brücke</w:t>
      </w:r>
    </w:p>
    <w:p>
      <w:pPr>
        <w:pStyle w:val="Author"/>
      </w:pPr>
      <w:r>
        <w:t xml:space="preserve">Wissenschaftliche</w:t>
      </w:r>
      <w:r>
        <w:t xml:space="preserve"> </w:t>
      </w:r>
      <w:r>
        <w:t xml:space="preserve">Implementierungsspezifikation</w:t>
      </w:r>
      <w:r>
        <w:t xml:space="preserve"> </w:t>
      </w:r>
      <w:r>
        <w:t xml:space="preserve">—</w:t>
      </w:r>
      <w:r>
        <w:t xml:space="preserve"> </w:t>
      </w:r>
      <w:r>
        <w:t xml:space="preserve">Revision</w:t>
      </w:r>
      <w:r>
        <w:t xml:space="preserve"> </w:t>
      </w:r>
      <w:r>
        <w:t xml:space="preserve">1</w:t>
      </w:r>
    </w:p>
    <w:p>
      <w:pPr>
        <w:pStyle w:val="Date"/>
      </w:pPr>
      <w:r>
        <w:t xml:space="preserve">16.</w:t>
      </w:r>
      <w:r>
        <w:t xml:space="preserve"> </w:t>
      </w:r>
      <w:r>
        <w:t xml:space="preserve">Oktober</w:t>
      </w:r>
      <w:r>
        <w:t xml:space="preserve"> </w:t>
      </w:r>
      <w:r>
        <w:t xml:space="preserve">2026</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20" w:name="Xf6f34ace82142e676d437273bd7a39a66d054c8"/>
    <w:p>
      <w:pPr>
        <w:pStyle w:val="Heading1"/>
      </w:pPr>
      <w:r>
        <w:t xml:space="preserve">Management Summary und Implementierungsstatus</w:t>
      </w:r>
    </w:p>
    <w:p>
      <w:pPr>
        <w:pStyle w:val="FirstParagraph"/>
      </w:pPr>
      <w:r>
        <w:t xml:space="preserve">Dieser Band übersetzt den</w:t>
      </w:r>
      <w:r>
        <w:t xml:space="preserve"> </w:t>
      </w:r>
      <w:r>
        <w:rPr>
          <w:b/>
          <w:bCs/>
        </w:rPr>
        <w:t xml:space="preserve">wissenschaftlichen Methodenvergleich (Band I)</w:t>
      </w:r>
      <w:r>
        <w:t xml:space="preserve"> </w:t>
      </w:r>
      <w:r>
        <w:t xml:space="preserve">in eine schlanke, überprüfbare Python-/PyPSA-Architektur. Als</w:t>
      </w:r>
      <w:r>
        <w:t xml:space="preserve"> </w:t>
      </w:r>
      <w:r>
        <w:rPr>
          <w:b/>
          <w:bCs/>
        </w:rPr>
        <w:t xml:space="preserve">einzige Normquelle</w:t>
      </w:r>
      <w:r>
        <w:t xml:space="preserve"> </w:t>
      </w:r>
      <w:r>
        <w:t xml:space="preserve">für die IoSN-Vorgehensweise gilt ENTSO-E TYNDP 2026, Konsultationsfassung vom 25.02.2026, §§3.8–3.9 und Anhang 6.1 [E1]. Der PyPSA-Teil ist ein</w:t>
      </w:r>
      <w:r>
        <w:t xml:space="preserve"> </w:t>
      </w:r>
      <w:r>
        <w:rPr>
          <w:b/>
          <w:bCs/>
        </w:rPr>
        <w:t xml:space="preserve">eigener Reimplementierungsentwurf</w:t>
      </w:r>
      <w:r>
        <w:t xml:space="preserve">, keine behauptete offizielle ENTSO-E-Software.</w:t>
      </w:r>
    </w:p>
    <w:p>
      <w:pPr>
        <w:pStyle w:val="BodyText"/>
      </w:pPr>
      <w:r>
        <w:rPr>
          <w:b/>
          <w:bCs/>
        </w:rPr>
        <w:t xml:space="preserve">Zwei Produktstufen, keine unnötigen Zwischenprojekte:</w:t>
      </w:r>
    </w:p>
    <w:p>
      <w:pPr>
        <w:pStyle w:val="Compact"/>
        <w:numPr>
          <w:ilvl w:val="0"/>
          <w:numId w:val="1001"/>
        </w:numPr>
      </w:pPr>
      <w:r>
        <w:rPr>
          <w:b/>
          <w:bCs/>
        </w:rPr>
        <w:t xml:space="preserve">Schritt 1: Zwei Clustering-Methoden auf demselben detaillierten Netz.</w:t>
      </w:r>
      <w:r>
        <w:t xml:space="preserve"> </w:t>
      </w:r>
      <w:r>
        <w:t xml:space="preserve">A nutzt vollständigen Dispatch und Überlastungsenergie; B nutzt verfügbare Wind-/PV-Leistung und Last mit dokumentierter Ausgleichskonvention sowie Gesamtbelastung. Beide liefern Busmaps, Operatoren</w:t>
      </w:r>
      <w:r>
        <w:t xml:space="preserve"> </w:t>
      </w:r>
      <m:oMath>
        <m:r>
          <m:t>P</m:t>
        </m:r>
        <m:r>
          <m:rPr>
            <m:sty m:val="p"/>
          </m:rPr>
          <m:t>,</m:t>
        </m:r>
        <m:r>
          <m:t>Γ</m:t>
        </m:r>
      </m:oMath>
      <w:r>
        <w:t xml:space="preserve">, Referenz-Zeitreihen und topologische Qualitätskennzahlen.</w:t>
      </w:r>
    </w:p>
    <w:p>
      <w:pPr>
        <w:pStyle w:val="Compact"/>
        <w:numPr>
          <w:ilvl w:val="0"/>
          <w:numId w:val="1001"/>
        </w:numPr>
      </w:pPr>
      <w:r>
        <w:rPr>
          <w:b/>
          <w:bCs/>
        </w:rPr>
        <w:t xml:space="preserve">Schritt 2: Einheitliche elektrische Kalibrierung und Sicherheitsidentifikation.</w:t>
      </w:r>
      <w:r>
        <w:t xml:space="preserve"> </w:t>
      </w:r>
      <w:r>
        <w:t xml:space="preserve">Für beide Busmaps werden technologiespezifische</w:t>
      </w:r>
      <w:r>
        <w:t xml:space="preserve"> </w:t>
      </w:r>
      <m:oMath>
        <m:sSub>
          <m:e>
            <m:r>
              <m:t>R</m:t>
            </m:r>
          </m:e>
          <m:sub>
            <m:r>
              <m:t>k</m:t>
            </m:r>
          </m:sub>
        </m:sSub>
        <m:d>
          <m:dPr>
            <m:begChr m:val="("/>
            <m:endChr m:val=")"/>
            <m:sepChr m:val=""/>
            <m:grow/>
          </m:dPr>
          <m:e>
            <m:r>
              <m:t>t</m:t>
            </m:r>
          </m:e>
        </m:d>
      </m:oMath>
      <w:r>
        <w:t xml:space="preserve">, Gleich-/Kapazitäts-/Kostenreferenzen, optionale Ersatzknoten, positiv beschränkte Ersatzreaktanzen, affine Nullbilanzflüsse und</w:t>
      </w:r>
      <w:r>
        <w:t xml:space="preserve"> </w:t>
      </w:r>
      <w:r>
        <w:rPr>
          <w:b/>
          <w:bCs/>
        </w:rPr>
        <w:t xml:space="preserve">drei</w:t>
      </w:r>
      <w:r>
        <w:t xml:space="preserve"> </w:t>
      </w:r>
      <w:r>
        <w:t xml:space="preserve">Sicherheits-/Kapazitätswege K1–K3 verglichen. FBMC ist ein zusätzlicher Evaluationsadapter.</w:t>
      </w:r>
    </w:p>
    <w:p>
      <w:pPr>
        <w:pStyle w:val="FirstParagraph"/>
      </w:pPr>
      <w:r>
        <w:rPr>
          <w:b/>
          <w:bCs/>
        </w:rPr>
        <w:t xml:space="preserve">Prototypstatus:</w:t>
      </w:r>
      <w:r>
        <w:t xml:space="preserve"> </w:t>
      </w:r>
      <w:r>
        <w:t xml:space="preserve">Die mitgelieferten Python-Module sind ein auf NumPy/SciPy/Pandas aufbauender Demonstrator; die originale Basissuite war ausführbar. Die weiterführenden N-1-Matrix- und Woodbury-Routinen sind in dieser Revision als eigenständige Module ergänzt;</w:t>
      </w:r>
      <w:r>
        <w:t xml:space="preserve"> </w:t>
      </w:r>
      <w:r>
        <w:rPr>
          <w:b/>
          <w:bCs/>
        </w:rPr>
        <w:t xml:space="preserve">24 automatisierte P0-Kerntests wurden erfolgreich ausgeführt</w:t>
      </w:r>
      <w:r>
        <w:t xml:space="preserve">. Sie ersetzen keine reale PyPSA-Integrationsprüfung. Die</w:t>
      </w:r>
      <w:r>
        <w:t xml:space="preserve"> </w:t>
      </w:r>
      <w:r>
        <w:rPr>
          <w:b/>
          <w:bCs/>
        </w:rPr>
        <w:t xml:space="preserve">reale PyPSA-Netzintegration</w:t>
      </w:r>
      <w:r>
        <w:t xml:space="preserve"> </w:t>
      </w:r>
      <w:r>
        <w:t xml:space="preserve">wurde in der aktuellen Laufzeit nicht ausgeführt, weil PyPSA hier nicht installiert ist. Ein produktiver Stand ist somit nicht nachgewiesen.</w:t>
      </w:r>
    </w:p>
    <w:bookmarkEnd w:id="20"/>
    <w:bookmarkStart w:id="21" w:name="X0824c4c0ac0eccfe8b8bb91a7c4ac355edcb6ad"/>
    <w:p>
      <w:pPr>
        <w:pStyle w:val="Heading1"/>
      </w:pPr>
      <w:r>
        <w:t xml:space="preserve">1. Wissenschaftlicher Scope und Traceability-Konvention</w:t>
      </w:r>
    </w:p>
    <w:p>
      <w:pPr>
        <w:pStyle w:val="FirstParagraph"/>
      </w:pPr>
      <w:r>
        <w:t xml:space="preserve">Die numerischen Algorithmen folgen der Bezeichnungsweise aus Band I:</w:t>
      </w:r>
      <w:r>
        <w:t xml:space="preserve"> </w:t>
      </w:r>
      <m:oMath>
        <m:sSub>
          <m:e>
            <m:r>
              <m:t>A</m:t>
            </m:r>
          </m:e>
          <m:sub>
            <m:r>
              <m:t>d</m:t>
            </m:r>
          </m:sub>
        </m:sSub>
      </m:oMath>
      <w:r>
        <w:t xml:space="preserve"> </w:t>
      </w:r>
      <w:r>
        <w:t xml:space="preserve">(detaillierte Inzidenz),</w:t>
      </w:r>
      <w:r>
        <w:t xml:space="preserve"> </w:t>
      </w:r>
      <m:oMath>
        <m:sSub>
          <m:e>
            <m:r>
              <m:t>H</m:t>
            </m:r>
          </m:e>
          <m:sub>
            <m:r>
              <m:t>d</m:t>
            </m:r>
          </m:sub>
        </m:sSub>
      </m:oMath>
      <w:r>
        <w:t xml:space="preserve"> </w:t>
      </w:r>
      <w:r>
        <w:t xml:space="preserve">(nodale PTDF),</w:t>
      </w:r>
      <w:r>
        <w:t xml:space="preserve"> </w:t>
      </w:r>
      <m:oMath>
        <m:sSub>
          <m:e>
            <m:r>
              <m:t>P</m:t>
            </m:r>
          </m:e>
          <m:sub>
            <m:r>
              <m:t>m</m:t>
            </m:r>
          </m:sub>
        </m:sSub>
      </m:oMath>
      <w:r>
        <w:t xml:space="preserve"> </w:t>
      </w:r>
      <w:r>
        <w:t xml:space="preserve">(Knotenzonenmatrix),</w:t>
      </w:r>
      <w:r>
        <w:t xml:space="preserve"> </w:t>
      </w:r>
      <m:oMath>
        <m:sSub>
          <m:e>
            <m:r>
              <m:t>Γ</m:t>
            </m:r>
          </m:e>
          <m:sub>
            <m:r>
              <m:t>m</m:t>
            </m:r>
          </m:sub>
        </m:sSub>
      </m:oMath>
      <w:r>
        <w:t xml:space="preserve"> </w:t>
      </w:r>
      <w:r>
        <w:t xml:space="preserve">(Schnittflussaggregation),</w:t>
      </w:r>
      <w:r>
        <w:t xml:space="preserve"> </w:t>
      </w:r>
      <m:oMath>
        <m:r>
          <m:t>R</m:t>
        </m:r>
      </m:oMath>
      <w:r>
        <w:t xml:space="preserve">/</w:t>
      </w:r>
      <m:oMath>
        <m:sSub>
          <m:e>
            <m:r>
              <m:t>R</m:t>
            </m:r>
          </m:e>
          <m:sub>
            <m:r>
              <m:t>k</m:t>
            </m:r>
          </m:sub>
        </m:sSub>
      </m:oMath>
      <w:r>
        <w:t xml:space="preserve"> </w:t>
      </w:r>
      <w:r>
        <w:t xml:space="preserve">(nodale Verteilung),</w:t>
      </w:r>
      <w:r>
        <w:t xml:space="preserve"> </w:t>
      </w:r>
      <m:oMath>
        <m:r>
          <m:t>K</m:t>
        </m:r>
      </m:oMath>
      <w:r>
        <w:t xml:space="preserve"> </w:t>
      </w:r>
      <w:r>
        <w:t xml:space="preserve">(CNEC-Operator),</w:t>
      </w:r>
      <w:r>
        <w:t xml:space="preserve"> </w:t>
      </w:r>
      <m:oMath>
        <m:sSub>
          <m:e>
            <m:r>
              <m:t>H</m:t>
            </m:r>
          </m:e>
          <m:sub>
            <m:r>
              <m:rPr>
                <m:sty m:val="p"/>
              </m:rPr>
              <m:t>e</m:t>
            </m:r>
            <m:r>
              <m:rPr>
                <m:sty m:val="p"/>
              </m:rPr>
              <m:t>q</m:t>
            </m:r>
          </m:sub>
        </m:sSub>
        <m:d>
          <m:dPr>
            <m:begChr m:val="("/>
            <m:endChr m:val=")"/>
            <m:sepChr m:val=""/>
            <m:grow/>
          </m:dPr>
          <m:e>
            <m:r>
              <m:t>x</m:t>
            </m:r>
          </m:e>
        </m:d>
      </m:oMath>
      <w:r>
        <w:t xml:space="preserve"> </w:t>
      </w:r>
      <w:r>
        <w:t xml:space="preserve">(physikalisch realisierbare Ersatz-PTDF) und</w:t>
      </w:r>
      <w:r>
        <w:t xml:space="preserve"> </w:t>
      </w:r>
      <m:oMath>
        <m:sSup>
          <m:e>
            <m:r>
              <m:t>c</m:t>
            </m:r>
          </m:e>
          <m:sup>
            <m:r>
              <m:t>0</m:t>
            </m:r>
          </m:sup>
        </m:sSup>
      </m:oMath>
      <w:r>
        <w:t xml:space="preserve"> </w:t>
      </w:r>
      <w:r>
        <w:t xml:space="preserve">(kalibrierter struktureller Offset). Alle Input-Verträge müssen diese</w:t>
      </w:r>
      <w:r>
        <w:t xml:space="preserve"> </w:t>
      </w:r>
      <w:r>
        <w:rPr>
          <w:b/>
          <w:bCs/>
        </w:rPr>
        <w:t xml:space="preserve">Unterscheidung der Rollen</w:t>
      </w:r>
      <w:r>
        <w:t xml:space="preserve"> </w:t>
      </w:r>
      <w:r>
        <w:t xml:space="preserve">erzwingen.</w:t>
      </w:r>
    </w:p>
    <w:p>
      <w:pPr>
        <w:pStyle w:val="BodyText"/>
      </w:pPr>
      <w:r>
        <w:t xml:space="preserve">Quellenstatus:</w:t>
      </w:r>
      <w:r>
        <w:t xml:space="preserve"> </w:t>
      </w:r>
      <w:r>
        <w:rPr>
          <w:b/>
          <w:bCs/>
        </w:rPr>
        <w:t xml:space="preserve">[D]</w:t>
      </w:r>
      <w:r>
        <w:t xml:space="preserve"> </w:t>
      </w:r>
      <w:r>
        <w:t xml:space="preserve">im IoSN-Dokument beschrieben;</w:t>
      </w:r>
      <w:r>
        <w:t xml:space="preserve"> </w:t>
      </w:r>
      <w:r>
        <w:rPr>
          <w:b/>
          <w:bCs/>
        </w:rPr>
        <w:t xml:space="preserve">[I]</w:t>
      </w:r>
      <w:r>
        <w:t xml:space="preserve"> </w:t>
      </w:r>
      <w:r>
        <w:t xml:space="preserve">Entwurf einer implementierbaren Rekonstruktion;</w:t>
      </w:r>
      <w:r>
        <w:t xml:space="preserve"> </w:t>
      </w:r>
      <w:r>
        <w:rPr>
          <w:b/>
          <w:bCs/>
        </w:rPr>
        <w:t xml:space="preserve">[A]</w:t>
      </w:r>
      <w:r>
        <w:t xml:space="preserve"> </w:t>
      </w:r>
      <w:r>
        <w:t xml:space="preserve">analytisch geprüft;</w:t>
      </w:r>
      <w:r>
        <w:t xml:space="preserve"> </w:t>
      </w:r>
      <w:r>
        <w:rPr>
          <w:b/>
          <w:bCs/>
        </w:rPr>
        <w:t xml:space="preserve">[S]</w:t>
      </w:r>
      <w:r>
        <w:t xml:space="preserve"> </w:t>
      </w:r>
      <w:r>
        <w:t xml:space="preserve">synthetisch getestet;</w:t>
      </w:r>
      <w:r>
        <w:t xml:space="preserve"> </w:t>
      </w:r>
      <w:r>
        <w:rPr>
          <w:b/>
          <w:bCs/>
        </w:rPr>
        <w:t xml:space="preserve">[O]</w:t>
      </w:r>
      <w:r>
        <w:t xml:space="preserve"> </w:t>
      </w:r>
      <w:r>
        <w:t xml:space="preserve">für Realnetze offen. Die IoSN selbst veröffentlicht keine direkt importierbare kanonische Python-API für den vollständigen Reduktionsalgorithmus.</w:t>
      </w:r>
    </w:p>
    <w:bookmarkEnd w:id="21"/>
    <w:bookmarkStart w:id="25" w:name="end-to-end-architektur-und-datenfluss"/>
    <w:p>
      <w:pPr>
        <w:pStyle w:val="Heading1"/>
      </w:pPr>
      <w:r>
        <w:t xml:space="preserve">2. End-to-End-Architektur und Datenfluss</w:t>
      </w:r>
    </w:p>
    <w:bookmarkStart w:id="22" w:name="hauptprozess"/>
    <w:p>
      <w:pPr>
        <w:pStyle w:val="Heading2"/>
      </w:pPr>
      <w:r>
        <w:t xml:space="preserve">2.1 Hauptprozess</w:t>
      </w:r>
    </w:p>
    <w:p>
      <w:pPr>
        <w:pStyle w:val="FirstParagraph"/>
      </w:pPr>
      <w:r>
        <w:rPr>
          <w:b/>
          <w:bCs/>
        </w:rPr>
        <w:t xml:space="preserve">Ausgangspunkt:</w:t>
      </w:r>
      <w:r>
        <w:t xml:space="preserve"> </w:t>
      </w:r>
      <w:r>
        <w:t xml:space="preserve">Eine unveränderte, versionierte detaillierte Netzkopie</w:t>
      </w:r>
      <w:r>
        <w:t xml:space="preserve"> </w:t>
      </w:r>
      <m:oMath>
        <m:sSub>
          <m:e>
            <m:r>
              <m:t>n</m:t>
            </m:r>
          </m:e>
          <m:sub>
            <m:r>
              <m:t>d</m:t>
            </m:r>
          </m:sub>
        </m:sSub>
      </m:oMath>
      <w:r>
        <w:t xml:space="preserve"> </w:t>
      </w:r>
      <w:r>
        <w:t xml:space="preserve">wird</w:t>
      </w:r>
      <w:r>
        <w:t xml:space="preserve"> </w:t>
      </w:r>
      <w:r>
        <w:rPr>
          <w:b/>
          <w:bCs/>
        </w:rPr>
        <w:t xml:space="preserve">als elektrische Evidenzquelle eingefroren</w:t>
      </w:r>
      <w:r>
        <w:t xml:space="preserve">. Alle Cluster- und Ersatznetze sind abgeleitete Objekte, die dieses Original nicht überschreiben.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Prozessmodul</w:t>
            </w:r>
          </w:p>
        </w:tc>
        <w:tc>
          <w:tcPr/>
          <w:p>
            <w:pPr>
              <w:pStyle w:val="Compact"/>
              <w:jc w:val="left"/>
            </w:pPr>
            <w:r>
              <w:t xml:space="preserve">Eingabe</w:t>
            </w:r>
          </w:p>
        </w:tc>
        <w:tc>
          <w:tcPr/>
          <w:p>
            <w:pPr>
              <w:pStyle w:val="Compact"/>
              <w:jc w:val="left"/>
            </w:pPr>
            <w:r>
              <w:t xml:space="preserve">Ausgabe</w:t>
            </w:r>
          </w:p>
        </w:tc>
        <w:tc>
          <w:tcPr/>
          <w:p>
            <w:pPr>
              <w:pStyle w:val="Compact"/>
              <w:jc w:val="left"/>
            </w:pPr>
            <w:r>
              <w:t xml:space="preserve">IoSN-Beziehung</w:t>
            </w:r>
          </w:p>
        </w:tc>
      </w:tr>
      <w:tr>
        <w:tc>
          <w:tcPr/>
          <w:p>
            <w:pPr>
              <w:pStyle w:val="Compact"/>
              <w:jc w:val="left"/>
            </w:pPr>
            <w:r>
              <w:rPr>
                <w:rStyle w:val="VerbatimChar"/>
              </w:rPr>
              <w:t xml:space="preserve">network_adapter</w:t>
            </w:r>
          </w:p>
        </w:tc>
        <w:tc>
          <w:tcPr/>
          <w:p>
            <w:pPr>
              <w:pStyle w:val="Compact"/>
              <w:jc w:val="left"/>
            </w:pPr>
            <w:r>
              <w:t xml:space="preserve">PyPSA Network, Status, Per-unit-Basen</w:t>
            </w:r>
          </w:p>
        </w:tc>
        <w:tc>
          <w:tcPr/>
          <w:p>
            <w:pPr>
              <w:pStyle w:val="Compact"/>
              <w:jc w:val="left"/>
            </w:pPr>
            <m:oMath>
              <m:sSub>
                <m:e>
                  <m:r>
                    <m:t>A</m:t>
                  </m:r>
                </m:e>
                <m:sub>
                  <m:r>
                    <m:t>d</m:t>
                  </m:r>
                </m:sub>
              </m:sSub>
              <m:r>
                <m:rPr>
                  <m:sty m:val="p"/>
                </m:rPr>
                <m:t>,</m:t>
              </m:r>
              <m:r>
                <m:t>x</m:t>
              </m:r>
              <m:r>
                <m:rPr>
                  <m:sty m:val="p"/>
                </m:rPr>
                <m:t>,</m:t>
              </m:r>
              <m:bar>
                <m:barPr>
                  <m:pos m:val="top"/>
                </m:barPr>
                <m:e>
                  <m:r>
                    <m:t>f</m:t>
                  </m:r>
                </m:e>
              </m:bar>
              <m:r>
                <m:rPr>
                  <m:sty m:val="p"/>
                </m:rPr>
                <m:t>,</m:t>
              </m:r>
              <m:sSub>
                <m:e>
                  <m:r>
                    <m:t>H</m:t>
                  </m:r>
                </m:e>
                <m:sub>
                  <m:r>
                    <m:t>d</m:t>
                  </m:r>
                </m:sub>
              </m:sSub>
            </m:oMath>
          </w:p>
        </w:tc>
        <w:tc>
          <w:tcPr/>
          <w:p>
            <w:pPr>
              <w:pStyle w:val="Compact"/>
              <w:jc w:val="left"/>
            </w:pPr>
            <w:r>
              <w:t xml:space="preserve">Voraussetzung für Anhang 6.1</w:t>
            </w:r>
          </w:p>
        </w:tc>
      </w:tr>
      <w:tr>
        <w:tc>
          <w:tcPr/>
          <w:p>
            <w:pPr>
              <w:pStyle w:val="Compact"/>
              <w:jc w:val="left"/>
            </w:pPr>
            <w:r>
              <w:rPr>
                <w:rStyle w:val="VerbatimChar"/>
              </w:rPr>
              <w:t xml:space="preserve">screening_A</w:t>
            </w:r>
          </w:p>
        </w:tc>
        <w:tc>
          <w:tcPr/>
          <w:p>
            <w:pPr>
              <w:pStyle w:val="Compact"/>
              <w:jc w:val="left"/>
            </w:pPr>
            <m:oMath>
              <m:sSubSup>
                <m:e>
                  <m:r>
                    <m:t>p</m:t>
                  </m:r>
                </m:e>
                <m:sub>
                  <m:r>
                    <m:t>d</m:t>
                  </m:r>
                  <m:r>
                    <m:rPr>
                      <m:sty m:val="p"/>
                    </m:rPr>
                    <m:t>,</m:t>
                  </m:r>
                  <m:r>
                    <m:t>t</m:t>
                  </m:r>
                </m:sub>
                <m:sup>
                  <m:r>
                    <m:rPr>
                      <m:sty m:val="p"/>
                    </m:rPr>
                    <m:t>d</m:t>
                  </m:r>
                  <m:r>
                    <m:rPr>
                      <m:sty m:val="p"/>
                    </m:rPr>
                    <m:t>i</m:t>
                  </m:r>
                  <m:r>
                    <m:rPr>
                      <m:sty m:val="p"/>
                    </m:rPr>
                    <m:t>s</m:t>
                  </m:r>
                  <m:r>
                    <m:rPr>
                      <m:sty m:val="p"/>
                    </m:rPr>
                    <m:t>p</m:t>
                  </m:r>
                  <m:r>
                    <m:rPr>
                      <m:sty m:val="p"/>
                    </m:rPr>
                    <m:t>a</m:t>
                  </m:r>
                  <m:r>
                    <m:rPr>
                      <m:sty m:val="p"/>
                    </m:rPr>
                    <m:t>t</m:t>
                  </m:r>
                  <m:r>
                    <m:rPr>
                      <m:sty m:val="p"/>
                    </m:rPr>
                    <m:t>c</m:t>
                  </m:r>
                  <m:r>
                    <m:rPr>
                      <m:sty m:val="p"/>
                    </m:rPr>
                    <m:t>h</m:t>
                  </m:r>
                </m:sup>
              </m:sSubSup>
            </m:oMath>
          </w:p>
        </w:tc>
        <w:tc>
          <w:tcPr/>
          <w:p>
            <w:pPr>
              <w:pStyle w:val="Compact"/>
              <w:jc w:val="left"/>
            </w:pPr>
            <w:r>
              <w:t xml:space="preserve">Flüsse, Überlastungsenergie</w:t>
            </w:r>
          </w:p>
        </w:tc>
        <w:tc>
          <w:tcPr/>
          <w:p>
            <w:pPr>
              <w:pStyle w:val="Compact"/>
              <w:jc w:val="left"/>
            </w:pPr>
            <w:r>
              <w:t xml:space="preserve">IoSN-naher Kern [D/I]</w:t>
            </w:r>
          </w:p>
        </w:tc>
      </w:tr>
      <w:tr>
        <w:tc>
          <w:tcPr/>
          <w:p>
            <w:pPr>
              <w:pStyle w:val="Compact"/>
              <w:jc w:val="left"/>
            </w:pPr>
            <w:r>
              <w:rPr>
                <w:rStyle w:val="VerbatimChar"/>
              </w:rPr>
              <w:t xml:space="preserve">screening_B</w:t>
            </w:r>
          </w:p>
        </w:tc>
        <w:tc>
          <w:tcPr/>
          <w:p>
            <w:pPr>
              <w:pStyle w:val="Compact"/>
              <w:jc w:val="left"/>
            </w:pPr>
            <w:r>
              <w:t xml:space="preserve">RES-Verfügbarkeit, Last, Ausgleich</w:t>
            </w:r>
            <w:r>
              <w:t xml:space="preserve"> </w:t>
            </w:r>
            <m:oMath>
              <m:r>
                <m:t>w</m:t>
              </m:r>
            </m:oMath>
          </w:p>
        </w:tc>
        <w:tc>
          <w:tcPr/>
          <w:p>
            <w:pPr>
              <w:pStyle w:val="Compact"/>
              <w:jc w:val="left"/>
            </w:pPr>
            <w:r>
              <w:t xml:space="preserve">Screening-Flüsse, Belastungsprofile</w:t>
            </w:r>
          </w:p>
        </w:tc>
        <w:tc>
          <w:tcPr/>
          <w:p>
            <w:pPr>
              <w:pStyle w:val="Compact"/>
              <w:jc w:val="left"/>
            </w:pPr>
            <w:r>
              <w:t xml:space="preserve">Forschungsalternative [I]</w:t>
            </w:r>
          </w:p>
        </w:tc>
      </w:tr>
      <w:tr>
        <w:tc>
          <w:tcPr/>
          <w:p>
            <w:pPr>
              <w:pStyle w:val="Compact"/>
              <w:jc w:val="left"/>
            </w:pPr>
            <w:r>
              <w:rPr>
                <w:rStyle w:val="VerbatimChar"/>
              </w:rPr>
              <w:t xml:space="preserve">clustering</w:t>
            </w:r>
          </w:p>
        </w:tc>
        <w:tc>
          <w:tcPr/>
          <w:p>
            <w:pPr>
              <w:pStyle w:val="Compact"/>
              <w:jc w:val="left"/>
            </w:pPr>
            <w:r>
              <w:t xml:space="preserve">Leitungscores, Topologie</w:t>
            </w:r>
          </w:p>
        </w:tc>
        <w:tc>
          <w:tcPr/>
          <w:p>
            <w:pPr>
              <w:pStyle w:val="Compact"/>
              <w:jc w:val="left"/>
            </w:pPr>
            <w:r>
              <w:rPr>
                <w:rStyle w:val="VerbatimChar"/>
              </w:rPr>
              <w:t xml:space="preserve">busmap_A</w:t>
            </w:r>
            <w:r>
              <w:t xml:space="preserve">,</w:t>
            </w:r>
            <w:r>
              <w:t xml:space="preserve"> </w:t>
            </w:r>
            <w:r>
              <w:rPr>
                <w:rStyle w:val="VerbatimChar"/>
              </w:rPr>
              <w:t xml:space="preserve">busmap_B</w:t>
            </w:r>
          </w:p>
        </w:tc>
        <w:tc>
          <w:tcPr/>
          <w:p>
            <w:pPr>
              <w:pStyle w:val="Compact"/>
              <w:jc w:val="left"/>
            </w:pPr>
            <w:r>
              <w:t xml:space="preserve">Kriterien §§3.8.1 [I]</w:t>
            </w:r>
          </w:p>
        </w:tc>
      </w:tr>
      <w:tr>
        <w:tc>
          <w:tcPr/>
          <w:p>
            <w:pPr>
              <w:pStyle w:val="Compact"/>
              <w:jc w:val="left"/>
            </w:pPr>
            <w:r>
              <w:rPr>
                <w:rStyle w:val="VerbatimChar"/>
              </w:rPr>
              <w:t xml:space="preserve">aggregation</w:t>
            </w:r>
          </w:p>
        </w:tc>
        <w:tc>
          <w:tcPr/>
          <w:p>
            <w:pPr>
              <w:pStyle w:val="Compact"/>
              <w:jc w:val="left"/>
            </w:pPr>
            <w:r>
              <w:t xml:space="preserve">Busmap,</w:t>
            </w:r>
            <w:r>
              <w:t xml:space="preserve"> </w:t>
            </w:r>
            <m:oMath>
              <m:sSub>
                <m:e>
                  <m:r>
                    <m:t>A</m:t>
                  </m:r>
                </m:e>
                <m:sub>
                  <m:r>
                    <m:t>d</m:t>
                  </m:r>
                </m:sub>
              </m:sSub>
              <m:r>
                <m:rPr>
                  <m:sty m:val="p"/>
                </m:rPr>
                <m:t>,</m:t>
              </m:r>
              <m:sSub>
                <m:e>
                  <m:r>
                    <m:t>f</m:t>
                  </m:r>
                </m:e>
                <m:sub>
                  <m:r>
                    <m:t>d</m:t>
                  </m:r>
                </m:sub>
              </m:sSub>
              <m:r>
                <m:rPr>
                  <m:sty m:val="p"/>
                </m:rPr>
                <m:t>,</m:t>
              </m:r>
              <m:sSub>
                <m:e>
                  <m:r>
                    <m:t>p</m:t>
                  </m:r>
                </m:e>
                <m:sub>
                  <m:r>
                    <m:t>d</m:t>
                  </m:r>
                </m:sub>
              </m:sSub>
            </m:oMath>
          </w:p>
        </w:tc>
        <w:tc>
          <w:tcPr/>
          <w:p>
            <w:pPr>
              <w:pStyle w:val="Compact"/>
              <w:jc w:val="left"/>
            </w:pPr>
            <m:oMath>
              <m:r>
                <m:t>P</m:t>
              </m:r>
              <m:r>
                <m:rPr>
                  <m:sty m:val="p"/>
                </m:rPr>
                <m:t>,</m:t>
              </m:r>
              <m:r>
                <m:t>Γ</m:t>
              </m:r>
              <m:r>
                <m:rPr>
                  <m:sty m:val="p"/>
                </m:rPr>
                <m:t>,</m:t>
              </m:r>
              <m:sSub>
                <m:e>
                  <m:r>
                    <m:t>A</m:t>
                  </m:r>
                </m:e>
                <m:sub>
                  <m:r>
                    <m:t>z</m:t>
                  </m:r>
                </m:sub>
              </m:sSub>
              <m:r>
                <m:rPr>
                  <m:sty m:val="p"/>
                </m:rPr>
                <m:t>,</m:t>
              </m:r>
              <m:sSub>
                <m:e>
                  <m:r>
                    <m:t>p</m:t>
                  </m:r>
                </m:e>
                <m:sub>
                  <m:r>
                    <m:t>z</m:t>
                  </m:r>
                </m:sub>
              </m:sSub>
              <m:r>
                <m:rPr>
                  <m:sty m:val="p"/>
                </m:rPr>
                <m:t>,</m:t>
              </m:r>
              <m:sSub>
                <m:e>
                  <m:r>
                    <m:t>f</m:t>
                  </m:r>
                </m:e>
                <m:sub>
                  <m:r>
                    <m:t>z</m:t>
                  </m:r>
                </m:sub>
              </m:sSub>
            </m:oMath>
          </w:p>
        </w:tc>
        <w:tc>
          <w:tcPr/>
          <w:p>
            <w:pPr>
              <w:pStyle w:val="Compact"/>
              <w:jc w:val="left"/>
            </w:pPr>
            <w:r>
              <w:t xml:space="preserve">exakte Bilanz [A]</w:t>
            </w:r>
          </w:p>
        </w:tc>
      </w:tr>
      <w:tr>
        <w:tc>
          <w:tcPr/>
          <w:p>
            <w:pPr>
              <w:pStyle w:val="Compact"/>
              <w:jc w:val="left"/>
            </w:pPr>
            <w:r>
              <w:rPr>
                <w:rStyle w:val="VerbatimChar"/>
              </w:rPr>
              <w:t xml:space="preserve">distribution</w:t>
            </w:r>
          </w:p>
        </w:tc>
        <w:tc>
          <w:tcPr/>
          <w:p>
            <w:pPr>
              <w:pStyle w:val="Compact"/>
              <w:jc w:val="left"/>
            </w:pPr>
            <w:r>
              <w:t xml:space="preserve">Technologie, Standort, Kapazität, Kosten</w:t>
            </w:r>
          </w:p>
        </w:tc>
        <w:tc>
          <w:tcPr/>
          <w:p>
            <w:pPr>
              <w:pStyle w:val="Compact"/>
              <w:jc w:val="left"/>
            </w:pPr>
            <m:oMath>
              <m:sSub>
                <m:e>
                  <m:r>
                    <m:t>R</m:t>
                  </m:r>
                </m:e>
                <m:sub>
                  <m:r>
                    <m:t>k</m:t>
                  </m:r>
                </m:sub>
              </m:sSub>
              <m:d>
                <m:dPr>
                  <m:begChr m:val="("/>
                  <m:endChr m:val=")"/>
                  <m:sepChr m:val=""/>
                  <m:grow/>
                </m:dPr>
                <m:e>
                  <m:r>
                    <m:t>t</m:t>
                  </m:r>
                </m:e>
              </m:d>
              <m:r>
                <m:rPr>
                  <m:sty m:val="p"/>
                </m:rPr>
                <m:t>,</m:t>
              </m:r>
              <m:sSub>
                <m:e>
                  <m:r>
                    <m:t>R</m:t>
                  </m:r>
                </m:e>
                <m:sub>
                  <m:r>
                    <m:rPr>
                      <m:sty m:val="p"/>
                    </m:rPr>
                    <m:t>u</m:t>
                  </m:r>
                  <m:r>
                    <m:rPr>
                      <m:sty m:val="p"/>
                    </m:rPr>
                    <m:t>n</m:t>
                  </m:r>
                  <m:r>
                    <m:rPr>
                      <m:sty m:val="p"/>
                    </m:rPr>
                    <m:t>i</m:t>
                  </m:r>
                </m:sub>
              </m:sSub>
              <m:r>
                <m:rPr>
                  <m:sty m:val="p"/>
                </m:rPr>
                <m:t>,</m:t>
              </m:r>
              <m:sSub>
                <m:e>
                  <m:r>
                    <m:t>R</m:t>
                  </m:r>
                </m:e>
                <m:sub>
                  <m:r>
                    <m:rPr>
                      <m:sty m:val="p"/>
                    </m:rPr>
                    <m:t>c</m:t>
                  </m:r>
                  <m:r>
                    <m:rPr>
                      <m:sty m:val="p"/>
                    </m:rPr>
                    <m:t>a</m:t>
                  </m:r>
                  <m:r>
                    <m:rPr>
                      <m:sty m:val="p"/>
                    </m:rPr>
                    <m:t>p</m:t>
                  </m:r>
                </m:sub>
              </m:sSub>
              <m:r>
                <m:rPr>
                  <m:sty m:val="p"/>
                </m:rPr>
                <m:t>,</m:t>
              </m:r>
              <m:sSub>
                <m:e>
                  <m:r>
                    <m:t>R</m:t>
                  </m:r>
                </m:e>
                <m:sub>
                  <m:r>
                    <m:rPr>
                      <m:sty m:val="p"/>
                    </m:rPr>
                    <m:t>c</m:t>
                  </m:r>
                  <m:r>
                    <m:rPr>
                      <m:sty m:val="p"/>
                    </m:rPr>
                    <m:t>o</m:t>
                  </m:r>
                  <m:r>
                    <m:rPr>
                      <m:sty m:val="p"/>
                    </m:rPr>
                    <m:t>s</m:t>
                  </m:r>
                  <m:r>
                    <m:rPr>
                      <m:sty m:val="p"/>
                    </m:rPr>
                    <m:t>t</m:t>
                  </m:r>
                </m:sub>
              </m:sSub>
            </m:oMath>
          </w:p>
        </w:tc>
        <w:tc>
          <w:tcPr/>
          <w:p>
            <w:pPr>
              <w:pStyle w:val="Compact"/>
              <w:jc w:val="left"/>
            </w:pPr>
            <w:r>
              <w:t xml:space="preserve">ergänzende Verteilung [I]</w:t>
            </w:r>
          </w:p>
        </w:tc>
      </w:tr>
      <w:tr>
        <w:tc>
          <w:tcPr/>
          <w:p>
            <w:pPr>
              <w:pStyle w:val="Compact"/>
              <w:jc w:val="left"/>
            </w:pPr>
            <w:r>
              <w:rPr>
                <w:rStyle w:val="VerbatimChar"/>
              </w:rPr>
              <w:t xml:space="preserve">equivalent</w:t>
            </w:r>
          </w:p>
        </w:tc>
        <w:tc>
          <w:tcPr/>
          <w:p>
            <w:pPr>
              <w:pStyle w:val="Compact"/>
              <w:jc w:val="left"/>
            </w:pPr>
            <m:oMath>
              <m:sSub>
                <m:e>
                  <m:r>
                    <m:t>p</m:t>
                  </m:r>
                </m:e>
                <m:sub>
                  <m:r>
                    <m:t>z</m:t>
                  </m:r>
                </m:sub>
              </m:sSub>
              <m:r>
                <m:rPr>
                  <m:sty m:val="p"/>
                </m:rPr>
                <m:t>,</m:t>
              </m:r>
              <m:sSub>
                <m:e>
                  <m:r>
                    <m:t>f</m:t>
                  </m:r>
                </m:e>
                <m:sub>
                  <m:r>
                    <m:t>z</m:t>
                  </m:r>
                </m:sub>
              </m:sSub>
            </m:oMath>
            <w:r>
              <w:t xml:space="preserve"> </w:t>
            </w:r>
            <w:r>
              <w:t xml:space="preserve">auf Kalibrierungssätzen</w:t>
            </w:r>
          </w:p>
        </w:tc>
        <w:tc>
          <w:tcPr/>
          <w:p>
            <w:pPr>
              <w:pStyle w:val="Compact"/>
              <w:jc w:val="left"/>
            </w:pPr>
            <m:oMath>
              <m:sSup>
                <m:e>
                  <m:r>
                    <m:t>x</m:t>
                  </m:r>
                </m:e>
                <m:sup>
                  <m:r>
                    <m:rPr>
                      <m:sty m:val="p"/>
                    </m:rPr>
                    <m:t>e</m:t>
                  </m:r>
                  <m:r>
                    <m:rPr>
                      <m:sty m:val="p"/>
                    </m:rPr>
                    <m:t>q</m:t>
                  </m:r>
                </m:sup>
              </m:sSup>
              <m:r>
                <m:rPr>
                  <m:sty m:val="p"/>
                </m:rPr>
                <m:t>,</m:t>
              </m:r>
              <m:sSup>
                <m:e>
                  <m:r>
                    <m:t>c</m:t>
                  </m:r>
                </m:e>
                <m:sup>
                  <m:r>
                    <m:t>0</m:t>
                  </m:r>
                </m:sup>
              </m:sSup>
            </m:oMath>
            <w:r>
              <w:t xml:space="preserve">, Fehler</w:t>
            </w:r>
          </w:p>
        </w:tc>
        <w:tc>
          <w:tcPr/>
          <w:p>
            <w:pPr>
              <w:pStyle w:val="Compact"/>
              <w:jc w:val="left"/>
            </w:pPr>
            <w:r>
              <w:t xml:space="preserve">Zielgrößen §3.8.2 [D/I]</w:t>
            </w:r>
          </w:p>
        </w:tc>
      </w:tr>
      <w:tr>
        <w:tc>
          <w:tcPr/>
          <w:p>
            <w:pPr>
              <w:pStyle w:val="Compact"/>
              <w:jc w:val="left"/>
            </w:pPr>
            <w:r>
              <w:rPr>
                <w:rStyle w:val="VerbatimChar"/>
              </w:rPr>
              <w:t xml:space="preserve">security</w:t>
            </w:r>
          </w:p>
        </w:tc>
        <w:tc>
          <w:tcPr/>
          <w:p>
            <w:pPr>
              <w:pStyle w:val="Compact"/>
              <w:jc w:val="left"/>
            </w:pPr>
            <m:oMath>
              <m:sSub>
                <m:e>
                  <m:r>
                    <m:t>H</m:t>
                  </m:r>
                </m:e>
                <m:sub>
                  <m:r>
                    <m:t>d</m:t>
                  </m:r>
                </m:sub>
              </m:sSub>
              <m:r>
                <m:rPr>
                  <m:sty m:val="p"/>
                </m:rPr>
                <m:t>,</m:t>
              </m:r>
              <m:r>
                <m:t>D</m:t>
              </m:r>
              <m:r>
                <m:rPr>
                  <m:sty m:val="p"/>
                </m:rPr>
                <m:t>,</m:t>
              </m:r>
              <m:bar>
                <m:barPr>
                  <m:pos m:val="top"/>
                </m:barPr>
                <m:e>
                  <m:r>
                    <m:t>f</m:t>
                  </m:r>
                </m:e>
              </m:bar>
              <m:r>
                <m:rPr>
                  <m:sty m:val="p"/>
                </m:rPr>
                <m:t>,</m:t>
              </m:r>
              <m:sSub>
                <m:e>
                  <m:r>
                    <m:t>f</m:t>
                  </m:r>
                </m:e>
                <m:sub>
                  <m:r>
                    <m:t>t</m:t>
                  </m:r>
                </m:sub>
              </m:sSub>
            </m:oMath>
          </w:p>
        </w:tc>
        <w:tc>
          <w:tcPr/>
          <w:p>
            <w:pPr>
              <w:pStyle w:val="Compact"/>
              <w:jc w:val="left"/>
            </w:pPr>
            <w:r>
              <w:t xml:space="preserve">IoSN-nahe K1-Kapazitäten</w:t>
            </w:r>
          </w:p>
        </w:tc>
        <w:tc>
          <w:tcPr/>
          <w:p>
            <w:pPr>
              <w:pStyle w:val="Compact"/>
              <w:jc w:val="left"/>
            </w:pPr>
            <w:r>
              <w:t xml:space="preserve">Annex 6.1 [I]</w:t>
            </w:r>
          </w:p>
        </w:tc>
      </w:tr>
      <w:tr>
        <w:tc>
          <w:tcPr/>
          <w:p>
            <w:pPr>
              <w:pStyle w:val="Compact"/>
              <w:jc w:val="left"/>
            </w:pPr>
            <w:r>
              <w:rPr>
                <w:rStyle w:val="VerbatimChar"/>
              </w:rPr>
              <w:t xml:space="preserve">security_projection</w:t>
            </w:r>
          </w:p>
        </w:tc>
        <w:tc>
          <w:tcPr/>
          <w:p>
            <w:pPr>
              <w:pStyle w:val="Compact"/>
              <w:jc w:val="left"/>
            </w:pPr>
            <m:oMath>
              <m:sSub>
                <m:e>
                  <m:r>
                    <m:t>H</m:t>
                  </m:r>
                </m:e>
                <m:sub>
                  <m:r>
                    <m:t>d</m:t>
                  </m:r>
                </m:sub>
              </m:sSub>
              <m:r>
                <m:rPr>
                  <m:sty m:val="p"/>
                </m:rPr>
                <m:t>,</m:t>
              </m:r>
              <m:r>
                <m:t>D</m:t>
              </m:r>
              <m:r>
                <m:rPr>
                  <m:sty m:val="p"/>
                </m:rPr>
                <m:t>,</m:t>
              </m:r>
              <m:r>
                <m:t>P</m:t>
              </m:r>
              <m:r>
                <m:rPr>
                  <m:sty m:val="p"/>
                </m:rPr>
                <m:t>,</m:t>
              </m:r>
              <m:r>
                <m:t>R</m:t>
              </m:r>
              <m:r>
                <m:rPr>
                  <m:sty m:val="p"/>
                </m:rPr>
                <m:t>,</m:t>
              </m:r>
              <m:r>
                <m:t>K</m:t>
              </m:r>
              <m:r>
                <m:rPr>
                  <m:sty m:val="p"/>
                </m:rPr>
                <m:t>,</m:t>
              </m:r>
              <m:sSup>
                <m:e>
                  <m:r>
                    <m:t>p</m:t>
                  </m:r>
                </m:e>
                <m:sup>
                  <m:r>
                    <m:rPr>
                      <m:sty m:val="p"/>
                    </m:rPr>
                    <m:t>r</m:t>
                  </m:r>
                  <m:r>
                    <m:rPr>
                      <m:sty m:val="p"/>
                    </m:rPr>
                    <m:t>e</m:t>
                  </m:r>
                  <m:r>
                    <m:rPr>
                      <m:sty m:val="p"/>
                    </m:rPr>
                    <m:t>f</m:t>
                  </m:r>
                </m:sup>
              </m:sSup>
            </m:oMath>
          </w:p>
        </w:tc>
        <w:tc>
          <w:tcPr/>
          <w:p>
            <w:pPr>
              <w:pStyle w:val="Compact"/>
              <w:jc w:val="left"/>
            </w:pPr>
            <w:r>
              <w:t xml:space="preserve">N-1-Polyeder, Bilaterallimits, K3</w:t>
            </w:r>
          </w:p>
        </w:tc>
        <w:tc>
          <w:tcPr/>
          <w:p>
            <w:pPr>
              <w:pStyle w:val="Compact"/>
              <w:jc w:val="left"/>
            </w:pPr>
            <w:r>
              <w:t xml:space="preserve">analytische Ergänzung [A/I]</w:t>
            </w:r>
          </w:p>
        </w:tc>
      </w:tr>
      <w:tr>
        <w:tc>
          <w:tcPr/>
          <w:p>
            <w:pPr>
              <w:pStyle w:val="Compact"/>
              <w:jc w:val="left"/>
            </w:pPr>
            <w:r>
              <w:rPr>
                <w:rStyle w:val="VerbatimChar"/>
              </w:rPr>
              <w:t xml:space="preserve">fbmc_bridge</w:t>
            </w:r>
          </w:p>
        </w:tc>
        <w:tc>
          <w:tcPr/>
          <w:p>
            <w:pPr>
              <w:pStyle w:val="Compact"/>
              <w:jc w:val="left"/>
            </w:pPr>
            <w:r>
              <w:t xml:space="preserve">Gebotszonen, GSK, K, Referenz</w:t>
            </w:r>
          </w:p>
        </w:tc>
        <w:tc>
          <w:tcPr/>
          <w:p>
            <w:pPr>
              <w:pStyle w:val="Compact"/>
              <w:jc w:val="left"/>
            </w:pPr>
            <w:r>
              <w:t xml:space="preserve">zonale CNEC-PTDF, Domain</w:t>
            </w:r>
          </w:p>
        </w:tc>
        <w:tc>
          <w:tcPr/>
          <w:p>
            <w:pPr>
              <w:pStyle w:val="Compact"/>
              <w:jc w:val="left"/>
            </w:pPr>
            <w:r>
              <w:t xml:space="preserve">externe Forschungsbrücke [I]</w:t>
            </w:r>
          </w:p>
        </w:tc>
      </w:tr>
      <w:tr>
        <w:tc>
          <w:tcPr/>
          <w:p>
            <w:pPr>
              <w:pStyle w:val="Compact"/>
              <w:jc w:val="left"/>
            </w:pPr>
            <w:r>
              <w:rPr>
                <w:rStyle w:val="VerbatimChar"/>
              </w:rPr>
              <w:t xml:space="preserve">validation</w:t>
            </w:r>
          </w:p>
        </w:tc>
        <w:tc>
          <w:tcPr/>
          <w:p>
            <w:pPr>
              <w:pStyle w:val="Compact"/>
              <w:jc w:val="left"/>
            </w:pPr>
            <w:r>
              <w:t xml:space="preserve">Detail-/Ersatznetz, Outages</w:t>
            </w:r>
          </w:p>
        </w:tc>
        <w:tc>
          <w:tcPr/>
          <w:p>
            <w:pPr>
              <w:pStyle w:val="Compact"/>
              <w:jc w:val="left"/>
            </w:pPr>
            <w:r>
              <w:t xml:space="preserve">vollständige Metriken, PASS/FAIL</w:t>
            </w:r>
          </w:p>
        </w:tc>
        <w:tc>
          <w:tcPr/>
          <w:p>
            <w:pPr>
              <w:pStyle w:val="Compact"/>
              <w:jc w:val="left"/>
            </w:pPr>
            <w:r>
              <w:t xml:space="preserve">zusätzlicher Nachweis [I]</w:t>
            </w:r>
          </w:p>
        </w:tc>
      </w:tr>
    </w:tbl>
    <w:bookmarkEnd w:id="22"/>
    <w:bookmarkStart w:id="23" w:name="unveränderliche-input-verträge"/>
    <w:p>
      <w:pPr>
        <w:pStyle w:val="Heading2"/>
      </w:pPr>
      <w:r>
        <w:t xml:space="preserve">2.2 Unveränderliche Input-Verträge</w:t>
      </w:r>
    </w:p>
    <w:p>
      <w:pPr>
        <w:pStyle w:val="FirstParagraph"/>
      </w:pPr>
      <w:r>
        <w:rPr>
          <w:b/>
          <w:bCs/>
        </w:rPr>
        <w:t xml:space="preserve">Netz:</w:t>
      </w:r>
      <w:r>
        <w:t xml:space="preserve"> </w:t>
      </w:r>
      <w:r>
        <w:t xml:space="preserve">bus-ID, AC-Insel,</w:t>
      </w:r>
      <w:r>
        <w:t xml:space="preserve"> </w:t>
      </w:r>
      <w:r>
        <w:rPr>
          <w:rStyle w:val="VerbatimChar"/>
        </w:rPr>
        <w:t xml:space="preserve">bus0</w:t>
      </w:r>
      <w:r>
        <w:t xml:space="preserve">,</w:t>
      </w:r>
      <w:r>
        <w:t xml:space="preserve"> </w:t>
      </w:r>
      <w:r>
        <w:rPr>
          <w:rStyle w:val="VerbatimChar"/>
        </w:rPr>
        <w:t xml:space="preserve">bus1</w:t>
      </w:r>
      <w:r>
        <w:t xml:space="preserve">, Leitungs-/Transformatoridentität, Länge, effektive per-unit-Reaktanz, Spannungsebene, Status, Leitungsgrenzwerte nach Saison, Kontingenzklassifikation, HVDC-/PST-Typ, Zeitstempel und verwendete Basen. Leitungen und Transformatoren dürfen nur zusammengefasst werden, wenn ihre tatsächlichen elektrischen Wirkungen kompatibel sind. Inaktive und inselbildende Zweige erhalten ein dokumentiertes Handling.</w:t>
      </w:r>
    </w:p>
    <w:p>
      <w:pPr>
        <w:pStyle w:val="BodyText"/>
      </w:pPr>
      <w:r>
        <w:rPr>
          <w:b/>
          <w:bCs/>
        </w:rPr>
        <w:t xml:space="preserve">Zeitreihen:</w:t>
      </w:r>
      <w:r>
        <w:t xml:space="preserve"> </w:t>
      </w:r>
      <w:r>
        <w:t xml:space="preserve">synchronisierte Stunden mit Quelle/Version/Wetterjahr/Zeitzone, Last in MW, wetterabhängige Erzeugungsverfügbarkeit in MW, tatsächlicher RES-Dispatch und Abregelung, konventioneller Dispatch, Speicherzeichen, HVDC-Terminalnettoeinspeisungen und ggf. Ausfälle. In jeder AC-Insel muss die Nettobilanz bekannt sein; „Slack“ ist keine unsichtbare Datenkorrektur.</w:t>
      </w:r>
    </w:p>
    <w:p>
      <w:pPr>
        <w:pStyle w:val="BodyText"/>
      </w:pPr>
      <w:r>
        <w:rPr>
          <w:b/>
          <w:bCs/>
        </w:rPr>
        <w:t xml:space="preserve">Aggregation:</w:t>
      </w:r>
      <w:r>
        <w:t xml:space="preserve"> </w:t>
      </w:r>
      <w:r>
        <w:rPr>
          <w:rStyle w:val="VerbatimChar"/>
        </w:rPr>
        <w:t xml:space="preserve">busmap</w:t>
      </w:r>
      <w:r>
        <w:t xml:space="preserve"> </w:t>
      </w:r>
      <w:r>
        <w:t xml:space="preserve">ordnet jeden AC-Knoten genau einmal zu.</w:t>
      </w:r>
      <w:r>
        <w:t xml:space="preserve"> </w:t>
      </w:r>
      <m:oMath>
        <m:r>
          <m:t>P</m:t>
        </m:r>
        <m:r>
          <m:rPr>
            <m:sty m:val="p"/>
          </m:rPr>
          <m:t>∈</m:t>
        </m:r>
        <m:r>
          <m:rPr>
            <m:sty m:val="p"/>
          </m:rPr>
          <m:t>{</m:t>
        </m:r>
        <m:r>
          <m:t>0</m:t>
        </m:r>
        <m:r>
          <m:rPr>
            <m:sty m:val="p"/>
          </m:rPr>
          <m:t>,</m:t>
        </m:r>
        <m:r>
          <m:t>1</m:t>
        </m:r>
        <m:sSup>
          <m:e>
            <m:r>
              <m:rPr>
                <m:sty m:val="p"/>
              </m:rPr>
              <m:t>}</m:t>
            </m:r>
          </m:e>
          <m:sup>
            <m:r>
              <m:t>Z</m:t>
            </m:r>
            <m:r>
              <m:rPr>
                <m:sty m:val="p"/>
              </m:rPr>
              <m:t>×</m:t>
            </m:r>
            <m:r>
              <m:t>N</m:t>
            </m:r>
          </m:sup>
        </m:sSup>
      </m:oMath>
      <w:r>
        <w:t xml:space="preserve">,</w:t>
      </w:r>
      <w:r>
        <w:t xml:space="preserve"> </w:t>
      </w:r>
      <m:oMath>
        <m:r>
          <m:t>Γ</m:t>
        </m:r>
        <m:r>
          <m:rPr>
            <m:sty m:val="p"/>
          </m:rPr>
          <m:t>∈</m:t>
        </m:r>
        <m:r>
          <m:rPr>
            <m:sty m:val="p"/>
          </m:rPr>
          <m:t>{</m:t>
        </m:r>
        <m:r>
          <m:rPr>
            <m:sty m:val="p"/>
          </m:rPr>
          <m:t>−</m:t>
        </m:r>
        <m:r>
          <m:t>1</m:t>
        </m:r>
        <m:r>
          <m:rPr>
            <m:sty m:val="p"/>
          </m:rPr>
          <m:t>,</m:t>
        </m:r>
        <m:r>
          <m:t>0</m:t>
        </m:r>
        <m:r>
          <m:rPr>
            <m:sty m:val="p"/>
          </m:rPr>
          <m:t>,</m:t>
        </m:r>
        <m:r>
          <m:t>1</m:t>
        </m:r>
        <m:sSup>
          <m:e>
            <m:r>
              <m:rPr>
                <m:sty m:val="p"/>
              </m:rPr>
              <m:t>}</m:t>
            </m:r>
          </m:e>
          <m:sup>
            <m:r>
              <m:t>E</m:t>
            </m:r>
            <m:r>
              <m:rPr>
                <m:sty m:val="p"/>
              </m:rPr>
              <m:t>×</m:t>
            </m:r>
            <m:r>
              <m:t>L</m:t>
            </m:r>
          </m:sup>
        </m:sSup>
      </m:oMath>
      <w:r>
        <w:t xml:space="preserve"> </w:t>
      </w:r>
      <w:r>
        <w:t xml:space="preserve">und</w:t>
      </w:r>
      <w:r>
        <w:t xml:space="preserve"> </w:t>
      </w:r>
      <m:oMath>
        <m:sSub>
          <m:e>
            <m:r>
              <m:t>A</m:t>
            </m:r>
          </m:e>
          <m:sub>
            <m:r>
              <m:t>z</m:t>
            </m:r>
          </m:sub>
        </m:sSub>
      </m:oMath>
      <w:r>
        <w:t xml:space="preserve"> </w:t>
      </w:r>
      <w:r>
        <w:t xml:space="preserve">werden</w:t>
      </w:r>
      <w:r>
        <w:t xml:space="preserve"> </w:t>
      </w:r>
      <w:r>
        <w:rPr>
          <w:b/>
          <w:bCs/>
        </w:rPr>
        <w:t xml:space="preserve">gemeinsam</w:t>
      </w:r>
      <w:r>
        <w:t xml:space="preserve"> </w:t>
      </w:r>
      <w:r>
        <w:t xml:space="preserve">erzeugt. Das Verhältnis</w:t>
      </w:r>
      <w:r>
        <w:t xml:space="preserve"> </w:t>
      </w:r>
      <m:oMath>
        <m:sSub>
          <m:e>
            <m:r>
              <m:t>A</m:t>
            </m:r>
          </m:e>
          <m:sub>
            <m:r>
              <m:t>z</m:t>
            </m:r>
          </m:sub>
        </m:sSub>
        <m:r>
          <m:t>Γ</m:t>
        </m:r>
        <m:r>
          <m:rPr>
            <m:sty m:val="p"/>
          </m:rPr>
          <m:t>=</m:t>
        </m:r>
        <m:r>
          <m:t>P</m:t>
        </m:r>
        <m:sSub>
          <m:e>
            <m:r>
              <m:t>A</m:t>
            </m:r>
          </m:e>
          <m:sub>
            <m:r>
              <m:t>d</m:t>
            </m:r>
          </m:sub>
        </m:sSub>
      </m:oMath>
      <w:r>
        <w:t xml:space="preserve"> </w:t>
      </w:r>
      <w:r>
        <w:t xml:space="preserve">wird exakt bis auf definierte numerische Toleranz geprüft. Eine inkonsistente Zweigrichtung ist ein harter Fehler.</w:t>
      </w:r>
    </w:p>
    <w:p>
      <w:pPr>
        <w:pStyle w:val="BodyText"/>
      </w:pPr>
      <w:r>
        <w:rPr>
          <w:b/>
          <w:bCs/>
        </w:rPr>
        <w:t xml:space="preserve">Referenzen:</w:t>
      </w:r>
      <w:r>
        <w:t xml:space="preserve"> </w:t>
      </w:r>
      <w:r>
        <w:t xml:space="preserve">Technologiegewichtungen sind normiert und nichtnegativ; Nullverfügbarkeiten besitzen einen expliziten Fallback. Merit-Order-Proxy, tatsächlicher kapazitätsbeschränkter Kosten-Dispatch und GSK/GLSK sind</w:t>
      </w:r>
      <w:r>
        <w:t xml:space="preserve"> </w:t>
      </w:r>
      <w:r>
        <w:rPr>
          <w:b/>
          <w:bCs/>
        </w:rPr>
        <w:t xml:space="preserve">drei verschiedene Datenobjekte</w:t>
      </w:r>
      <w:r>
        <w:t xml:space="preserve">.</w:t>
      </w:r>
    </w:p>
    <w:bookmarkEnd w:id="23"/>
    <w:bookmarkStart w:id="24" w:name="Xf92128397e090718898223507adbfdfed98ad07"/>
    <w:p>
      <w:pPr>
        <w:pStyle w:val="Heading2"/>
      </w:pPr>
      <w:r>
        <w:t xml:space="preserve">2.3 Konsequenz für die Zahl der Arbeitsschritte</w:t>
      </w:r>
    </w:p>
    <w:p>
      <w:pPr>
        <w:pStyle w:val="FirstParagraph"/>
      </w:pPr>
      <w:r>
        <w:t xml:space="preserve">Diese Trennung benötigt in der Umsetzung</w:t>
      </w:r>
      <w:r>
        <w:t xml:space="preserve"> </w:t>
      </w:r>
      <w:r>
        <w:rPr>
          <w:b/>
          <w:bCs/>
        </w:rPr>
        <w:t xml:space="preserve">keine zusätzliche fachliche Stufe</w:t>
      </w:r>
      <w:r>
        <w:t xml:space="preserve">. Sämtliche Datenprüfungen werden als Preflight des jeweiligen Hauptschritts behandelt. Entscheidend ist jedoch die</w:t>
      </w:r>
      <w:r>
        <w:t xml:space="preserve"> </w:t>
      </w:r>
      <w:r>
        <w:rPr>
          <w:i/>
          <w:iCs/>
        </w:rPr>
        <w:t xml:space="preserve">einmalige</w:t>
      </w:r>
      <w:r>
        <w:t xml:space="preserve"> </w:t>
      </w:r>
      <w:r>
        <w:t xml:space="preserve">Speicherung der hochaufgelösten Referenzflüsse: Schritt 2 darf nicht anhand einer anderen Netzversion oder einer stillschweigend geänderten Zeitszenarioauswahl kalibrieren.</w:t>
      </w:r>
    </w:p>
    <w:bookmarkEnd w:id="24"/>
    <w:bookmarkEnd w:id="25"/>
    <w:bookmarkStart w:id="31" w:name="X6ad7405eb5ae46388e611ca62a03e0b337b6b97"/>
    <w:p>
      <w:pPr>
        <w:pStyle w:val="Heading1"/>
      </w:pPr>
      <w:r>
        <w:t xml:space="preserve">3. Schritt 1: Zwei Clustering-Varianten in PyPSA</w:t>
      </w:r>
    </w:p>
    <w:bookmarkStart w:id="26" w:name="gemeinsamer-detaillierter-lastfluss"/>
    <w:p>
      <w:pPr>
        <w:pStyle w:val="Heading2"/>
      </w:pPr>
      <w:r>
        <w:t xml:space="preserve">3.1 Gemeinsamer detaillierter Lastfluss</w:t>
      </w:r>
    </w:p>
    <w:p>
      <w:pPr>
        <w:pStyle w:val="FirstParagraph"/>
      </w:pPr>
      <w:r>
        <w:t xml:space="preserve">PyPSA unterstützt die linearisierte Netzflussberechnung über</w:t>
      </w:r>
      <w:r>
        <w:t xml:space="preserve"> </w:t>
      </w:r>
      <w:r>
        <w:rPr>
          <w:rStyle w:val="VerbatimChar"/>
        </w:rPr>
        <w:t xml:space="preserve">n.lpf(snapshots=...)</w:t>
      </w:r>
      <w:r>
        <w:t xml:space="preserve">. Bei Bedarf stellt</w:t>
      </w:r>
      <w:r>
        <w:t xml:space="preserve"> </w:t>
      </w:r>
      <w:r>
        <w:rPr>
          <w:rStyle w:val="VerbatimChar"/>
        </w:rPr>
        <w:t xml:space="preserve">SubNetwork.calculate_PTDF()</w:t>
      </w:r>
      <w:r>
        <w:t xml:space="preserve"> </w:t>
      </w:r>
      <w:r>
        <w:t xml:space="preserve">eine nodale PTDF bereit, wobei die dokumentierte Implementierung eine</w:t>
      </w:r>
      <w:r>
        <w:t xml:space="preserve"> </w:t>
      </w:r>
      <w:r>
        <w:rPr>
          <w:b/>
          <w:bCs/>
        </w:rPr>
        <w:t xml:space="preserve">dichte NumPy-Matrix</w:t>
      </w:r>
      <w:r>
        <w:t xml:space="preserve"> </w:t>
      </w:r>
      <w:r>
        <w:t xml:space="preserve">erzeugt [P2]. Für sehr große Netze kann ein Sparse-Kirchhoff-Ansatz effizienter sein, der die notwendigen</w:t>
      </w:r>
      <w:r>
        <w:t xml:space="preserve"> </w:t>
      </w:r>
      <m:oMath>
        <m:sSub>
          <m:e>
            <m:r>
              <m:t>f</m:t>
            </m:r>
          </m:e>
          <m:sub>
            <m:r>
              <m:t>d</m:t>
            </m:r>
            <m:r>
              <m:rPr>
                <m:sty m:val="p"/>
              </m:rPr>
              <m:t>,</m:t>
            </m:r>
            <m:r>
              <m:t>t</m:t>
            </m:r>
          </m:sub>
        </m:sSub>
      </m:oMath>
      <w:r>
        <w:t xml:space="preserve"> </w:t>
      </w:r>
      <w:r>
        <w:t xml:space="preserve">aus der faktorisierbaren Laplace-Matrix berechnet, ohne sämtliche PTDF-Spalten im Speicher aufzubauen.</w:t>
      </w:r>
    </w:p>
    <w:p>
      <w:pPr>
        <w:pStyle w:val="BodyText"/>
      </w:pPr>
      <w:r>
        <w:rPr>
          <w:b/>
          <w:bCs/>
        </w:rPr>
        <w:t xml:space="preserve">Wichtig:</w:t>
      </w:r>
      <w:r>
        <w:t xml:space="preserve"> </w:t>
      </w:r>
      <w:r>
        <w:rPr>
          <w:rStyle w:val="VerbatimChar"/>
        </w:rPr>
        <w:t xml:space="preserve">n.lpf()</w:t>
      </w:r>
      <w:r>
        <w:t xml:space="preserve"> </w:t>
      </w:r>
      <w:r>
        <w:t xml:space="preserve">verwendet die in PyPSA tatsächlich hinterlegten Leistungssollwerte. Ein externes Marktergebnis ist vor der Berechnung</w:t>
      </w:r>
      <w:r>
        <w:t xml:space="preserve"> </w:t>
      </w:r>
      <w:r>
        <w:rPr>
          <w:b/>
          <w:bCs/>
        </w:rPr>
        <w:t xml:space="preserve">eins-zu-eins</w:t>
      </w:r>
      <w:r>
        <w:t xml:space="preserve"> </w:t>
      </w:r>
      <w:r>
        <w:t xml:space="preserve">in Generator-, Last-, Speicher- und Link-Sollwerte zu mappen. Das Grundmodell muss alle zum AC-Bilanzausgleich erforderlichen Einspeisungen enthalten.</w:t>
      </w:r>
    </w:p>
    <w:bookmarkEnd w:id="26"/>
    <w:bookmarkStart w:id="27" w:name="a-dokumentierter-iosn-kern"/>
    <w:p>
      <w:pPr>
        <w:pStyle w:val="Heading2"/>
      </w:pPr>
      <w:r>
        <w:t xml:space="preserve">3.2 A: Dokumentierter IoSN-Kern</w:t>
      </w:r>
    </w:p>
    <w:p>
      <w:pPr>
        <w:pStyle w:val="FirstParagraph"/>
      </w:pPr>
      <w:r>
        <w:t xml:space="preserve">Aus dem vollständigen Marktergebnis wird für jede Originalleitung der aufgelaufene Überlastungsbetrag</w:t>
      </w:r>
      <w:r>
        <w:t xml:space="preserve"> </w:t>
      </w:r>
      <m:oMath>
        <m:nary>
          <m:naryPr>
            <m:chr m:val="∑"/>
            <m:limLoc m:val="undOvr"/>
            <m:subHide m:val="off"/>
            <m:supHide m:val="on"/>
          </m:naryPr>
          <m:sub>
            <m:r>
              <m:t>t</m:t>
            </m:r>
          </m:sub>
          <m:sup>
            <m:r>
              <m:t>​</m:t>
            </m:r>
          </m:sup>
          <m:e>
            <m:r>
              <m:t>Δ</m:t>
            </m:r>
          </m:e>
        </m:nary>
        <m:r>
          <m:t>t</m:t>
        </m:r>
        <m:r>
          <m:rPr>
            <m:sty m:val="p"/>
          </m:rPr>
          <m:t>max</m:t>
        </m:r>
        <m:d>
          <m:dPr>
            <m:begChr m:val="("/>
            <m:endChr m:val=")"/>
            <m:sepChr m:val=""/>
            <m:grow/>
          </m:dPr>
          <m:e>
            <m:r>
              <m:t>0</m:t>
            </m:r>
            <m:r>
              <m:rPr>
                <m:sty m:val="p"/>
              </m:rPr>
              <m:t>,</m:t>
            </m:r>
            <m:d>
              <m:dPr>
                <m:begChr m:val="|"/>
                <m:endChr m:val="|"/>
                <m:sepChr m:val=""/>
                <m:grow/>
              </m:dPr>
              <m:e>
                <m:sSub>
                  <m:e>
                    <m:r>
                      <m:t>f</m:t>
                    </m:r>
                  </m:e>
                  <m:sub>
                    <m:r>
                      <m:rPr>
                        <m:sty m:val="p"/>
                      </m:rPr>
                      <m:t>ℓ</m:t>
                    </m:r>
                    <m:r>
                      <m:rPr>
                        <m:sty m:val="p"/>
                      </m:rPr>
                      <m:t>,</m:t>
                    </m:r>
                    <m:r>
                      <m:t>t</m:t>
                    </m:r>
                  </m:sub>
                </m:sSub>
              </m:e>
            </m:d>
            <m:r>
              <m:rPr>
                <m:sty m:val="p"/>
              </m:rPr>
              <m:t>−</m:t>
            </m:r>
            <m:sSub>
              <m:e>
                <m:bar>
                  <m:barPr>
                    <m:pos m:val="top"/>
                  </m:barPr>
                  <m:e>
                    <m:r>
                      <m:t>F</m:t>
                    </m:r>
                  </m:e>
                </m:bar>
              </m:e>
              <m:sub>
                <m:r>
                  <m:rPr>
                    <m:sty m:val="p"/>
                  </m:rPr>
                  <m:t>ℓ</m:t>
                </m:r>
                <m:r>
                  <m:rPr>
                    <m:sty m:val="p"/>
                  </m:rPr>
                  <m:t>,</m:t>
                </m:r>
                <m:r>
                  <m:t>t</m:t>
                </m:r>
              </m:sub>
            </m:sSub>
          </m:e>
        </m:d>
      </m:oMath>
      <w:r>
        <w:t xml:space="preserve"> </w:t>
      </w:r>
      <w:r>
        <w:t xml:space="preserve">bestimmt. Kritische Leitungen sollen als Zonen-Schnitte sichtbar bleiben. Die IoSN selbst bezieht sich für die initiale Auswahl auf 225-/400-kV-Netze; unser Adapter muss diese Filter als konfigurierbaren Parameter umsetzen und darf sie nicht unbemerkt über andere Spannungsebenen verallgemeinern [E1, Annex 6.1].</w:t>
      </w:r>
    </w:p>
    <w:bookmarkEnd w:id="27"/>
    <w:bookmarkStart w:id="28" w:name="b-alternative-strukturelle-bewertung"/>
    <w:p>
      <w:pPr>
        <w:pStyle w:val="Heading2"/>
      </w:pPr>
      <w:r>
        <w:t xml:space="preserve">3.3 B: Alternative strukturelle Bewertung</w:t>
      </w:r>
    </w:p>
    <w:p>
      <w:pPr>
        <w:pStyle w:val="FirstParagraph"/>
      </w:pPr>
      <w:r>
        <w:t xml:space="preserve">Aus</w:t>
      </w:r>
      <w:r>
        <w:t xml:space="preserve"> </w:t>
      </w:r>
      <m:oMath>
        <m:sSub>
          <m:e>
            <m:r>
              <m:t>q</m:t>
            </m:r>
          </m:e>
          <m:sub>
            <m:r>
              <m:t>t</m:t>
            </m:r>
          </m:sub>
        </m:sSub>
        <m:r>
          <m:rPr>
            <m:sty m:val="p"/>
          </m:rPr>
          <m:t>=</m:t>
        </m:r>
        <m:sSub>
          <m:e>
            <m:r>
              <m:t>p</m:t>
            </m:r>
          </m:e>
          <m:sub>
            <m:r>
              <m:rPr>
                <m:sty m:val="p"/>
              </m:rPr>
              <m:t>R</m:t>
            </m:r>
            <m:r>
              <m:rPr>
                <m:sty m:val="p"/>
              </m:rPr>
              <m:t>E</m:t>
            </m:r>
            <m:r>
              <m:rPr>
                <m:sty m:val="p"/>
              </m:rPr>
              <m:t>S</m:t>
            </m:r>
            <m:r>
              <m:rPr>
                <m:sty m:val="p"/>
              </m:rPr>
              <m:t>,</m:t>
            </m:r>
            <m:r>
              <m:t>a</m:t>
            </m:r>
            <m:r>
              <m:t>v</m:t>
            </m:r>
            <m:r>
              <m:t>a</m:t>
            </m:r>
            <m:r>
              <m:t>i</m:t>
            </m:r>
            <m:r>
              <m:t>l</m:t>
            </m:r>
            <m:r>
              <m:rPr>
                <m:sty m:val="p"/>
              </m:rPr>
              <m:t>,</m:t>
            </m:r>
            <m:r>
              <m:t>t</m:t>
            </m:r>
          </m:sub>
        </m:sSub>
        <m:r>
          <m:rPr>
            <m:sty m:val="p"/>
          </m:rPr>
          <m:t>−</m:t>
        </m:r>
        <m:sSub>
          <m:e>
            <m:r>
              <m:t>p</m:t>
            </m:r>
          </m:e>
          <m:sub>
            <m:r>
              <m:rPr>
                <m:sty m:val="p"/>
              </m:rPr>
              <m:t>l</m:t>
            </m:r>
            <m:r>
              <m:rPr>
                <m:sty m:val="p"/>
              </m:rPr>
              <m:t>o</m:t>
            </m:r>
            <m:r>
              <m:rPr>
                <m:sty m:val="p"/>
              </m:rPr>
              <m:t>a</m:t>
            </m:r>
            <m:r>
              <m:rPr>
                <m:sty m:val="p"/>
              </m:rPr>
              <m:t>d</m:t>
            </m:r>
            <m:r>
              <m:rPr>
                <m:sty m:val="p"/>
              </m:rPr>
              <m:t>,</m:t>
            </m:r>
            <m:r>
              <m:t>t</m:t>
            </m:r>
          </m:sub>
        </m:sSub>
      </m:oMath>
      <w:r>
        <w:t xml:space="preserve"> </w:t>
      </w:r>
      <w:r>
        <w:t xml:space="preserve">wird erst nach einer</w:t>
      </w:r>
      <w:r>
        <w:t xml:space="preserve"> </w:t>
      </w:r>
      <w:r>
        <w:rPr>
          <w:b/>
          <w:bCs/>
        </w:rPr>
        <w:t xml:space="preserve">deklarierten</w:t>
      </w:r>
      <w:r>
        <w:t xml:space="preserve"> </w:t>
      </w:r>
      <w:r>
        <w:t xml:space="preserve">Ausgleichsverteilung</w:t>
      </w:r>
      <w:r>
        <w:t xml:space="preserve"> </w:t>
      </w:r>
      <m:oMath>
        <m:r>
          <m:t>w</m:t>
        </m:r>
      </m:oMath>
      <w:r>
        <w:t xml:space="preserve"> </w:t>
      </w:r>
      <w:r>
        <w:t xml:space="preserve">der Screening-Fluss</w:t>
      </w:r>
      <w:r>
        <w:t xml:space="preserve"> </w:t>
      </w:r>
      <m:oMath>
        <m:sSub>
          <m:e>
            <m:r>
              <m:t>H</m:t>
            </m:r>
          </m:e>
          <m:sub>
            <m:r>
              <m:t>d</m:t>
            </m:r>
          </m:sub>
        </m:sSub>
        <m:d>
          <m:dPr>
            <m:begChr m:val="("/>
            <m:endChr m:val=")"/>
            <m:sepChr m:val=""/>
            <m:grow/>
          </m:dPr>
          <m:e>
            <m:sSub>
              <m:e>
                <m:r>
                  <m:t>q</m:t>
                </m:r>
              </m:e>
              <m:sub>
                <m:r>
                  <m:t>t</m:t>
                </m:r>
              </m:sub>
            </m:sSub>
            <m:r>
              <m:rPr>
                <m:sty m:val="p"/>
              </m:rPr>
              <m:t>−</m:t>
            </m:r>
            <m:r>
              <m:t>w</m:t>
            </m:r>
            <m:sSup>
              <m:e>
                <m:r>
                  <m:rPr>
                    <m:sty m:val="b"/>
                  </m:rPr>
                  <m:t>1</m:t>
                </m:r>
              </m:e>
              <m:sup>
                <m:r>
                  <m:rPr>
                    <m:sty m:val="p"/>
                    <m:scr m:val="sans-serif"/>
                  </m:rPr>
                  <m:t>T</m:t>
                </m:r>
              </m:sup>
            </m:sSup>
            <m:sSub>
              <m:e>
                <m:r>
                  <m:t>q</m:t>
                </m:r>
              </m:e>
              <m:sub>
                <m:r>
                  <m:t>t</m:t>
                </m:r>
              </m:sub>
            </m:sSub>
          </m:e>
        </m:d>
      </m:oMath>
      <w:r>
        <w:t xml:space="preserve"> </w:t>
      </w:r>
      <w:r>
        <w:t xml:space="preserve">berechnet. Die gesamte (relative/absolute) Belastung und die Flusssynchronität bestimmen die wichtigsten Schnittlinien. Mindestens drei unterscheidbare</w:t>
      </w:r>
      <w:r>
        <w:t xml:space="preserve"> </w:t>
      </w:r>
      <m:oMath>
        <m:r>
          <m:t>w</m:t>
        </m:r>
      </m:oMath>
      <w:r>
        <w:t xml:space="preserve">-Varianten sollten geprüft werden, um zu vermeiden, dass die Cluster ausschließlich ein Artefakt der Slack-Verteilung werden.</w:t>
      </w:r>
    </w:p>
    <w:bookmarkEnd w:id="28"/>
    <w:bookmarkStart w:id="29" w:name="X4a7ea31d776a1671eaf0b08e2697cb0d6298071"/>
    <w:p>
      <w:pPr>
        <w:pStyle w:val="Heading2"/>
      </w:pPr>
      <w:r>
        <w:t xml:space="preserve">3.4 Clustering ohne erneute Entwicklung eines Frameworks</w:t>
      </w:r>
    </w:p>
    <w:p>
      <w:pPr>
        <w:pStyle w:val="FirstParagraph"/>
      </w:pPr>
      <w:r>
        <w:t xml:space="preserve">PyPSA bietet</w:t>
      </w:r>
      <w:r>
        <w:t xml:space="preserve"> </w:t>
      </w:r>
      <w:r>
        <w:rPr>
          <w:rStyle w:val="VerbatimChar"/>
        </w:rPr>
        <w:t xml:space="preserve">n.cluster.spatial.busmap_by_hac()</w:t>
      </w:r>
      <w:r>
        <w:t xml:space="preserve">,</w:t>
      </w:r>
      <w:r>
        <w:t xml:space="preserve"> </w:t>
      </w:r>
      <w:r>
        <w:rPr>
          <w:rStyle w:val="VerbatimChar"/>
        </w:rPr>
        <w:t xml:space="preserve">busmap_by_kmeans()</w:t>
      </w:r>
      <w:r>
        <w:t xml:space="preserve"> </w:t>
      </w:r>
      <w:r>
        <w:t xml:space="preserve">und</w:t>
      </w:r>
      <w:r>
        <w:t xml:space="preserve"> </w:t>
      </w:r>
      <w:r>
        <w:rPr>
          <w:rStyle w:val="VerbatimChar"/>
        </w:rPr>
        <w:t xml:space="preserve">get_clustering_from_busmap(busmap)</w:t>
      </w:r>
      <w:r>
        <w:t xml:space="preserve"> </w:t>
      </w:r>
      <w:r>
        <w:t xml:space="preserve">[P1]. Die</w:t>
      </w:r>
      <w:r>
        <w:t xml:space="preserve"> </w:t>
      </w:r>
      <w:r>
        <w:rPr>
          <w:b/>
          <w:bCs/>
        </w:rPr>
        <w:t xml:space="preserve">ökonomisch und methodisch günstigste Implementierung</w:t>
      </w:r>
      <w:r>
        <w:t xml:space="preserve"> </w:t>
      </w:r>
      <w:r>
        <w:t xml:space="preserve">ist eine initiale Busmap aus einer vorhandenen PyPSA-Funktion mit gezielter Korrektur wichtiger Schnittlinien. Eigene Schutz- oder Kantenkontraktionsroutinen erzeugen zuerst nur die</w:t>
      </w:r>
      <w:r>
        <w:t xml:space="preserve"> </w:t>
      </w:r>
      <w:r>
        <w:rPr>
          <w:rStyle w:val="VerbatimChar"/>
        </w:rPr>
        <w:t xml:space="preserve">busmap</w:t>
      </w:r>
      <w:r>
        <w:t xml:space="preserve">; anschließend übernimmt PyPSA die übliche Aggregation. Nicht jeder Standard-Algorithmus garantiert automatisch alle IoSN-Nebenbedingungen.</w:t>
      </w:r>
    </w:p>
    <w:p>
      <w:pPr>
        <w:pStyle w:val="BodyText"/>
      </w:pPr>
      <w:r>
        <w:t xml:space="preserve">Vorsicht: Die offizielle PyPSA-Spatial-Clustering-Dokumentation weist darauf hin, dass angehängte Komponenten standardmäßig ihren Anschlussbus wechseln, statt automatisch nach Technologie aggregiert zu werden. Die Behandlung von Transformatoren, PSTs und Spannungsbasen muss eigenständig validiert werden. Ein Ergebnis von</w:t>
      </w:r>
      <w:r>
        <w:t xml:space="preserve"> </w:t>
      </w:r>
      <w:r>
        <w:rPr>
          <w:rStyle w:val="VerbatimChar"/>
        </w:rPr>
        <w:t xml:space="preserve">get_clustering_from_busmap()</w:t>
      </w:r>
      <w:r>
        <w:t xml:space="preserve"> </w:t>
      </w:r>
      <w:r>
        <w:t xml:space="preserve">darf</w:t>
      </w:r>
      <w:r>
        <w:t xml:space="preserve"> </w:t>
      </w:r>
      <w:r>
        <w:rPr>
          <w:b/>
          <w:bCs/>
        </w:rPr>
        <w:t xml:space="preserve">nicht</w:t>
      </w:r>
      <w:r>
        <w:t xml:space="preserve"> </w:t>
      </w:r>
      <w:r>
        <w:t xml:space="preserve">ohne zusätzliche Kalibrierung als IoSN-Ersatznetz mit optimalen Impedanzen und Kapazitäten gelten.</w:t>
      </w:r>
    </w:p>
    <w:bookmarkEnd w:id="29"/>
    <w:bookmarkStart w:id="30" w:name="gate-für-schritt-1"/>
    <w:p>
      <w:pPr>
        <w:pStyle w:val="Heading2"/>
      </w:pPr>
      <w:r>
        <w:t xml:space="preserve">3.5 Gate für Schritt 1</w:t>
      </w:r>
    </w:p>
    <w:p>
      <w:pPr>
        <w:pStyle w:val="FirstParagraph"/>
      </w:pPr>
      <w:r>
        <w:rPr>
          <w:rStyle w:val="VerbatimChar"/>
        </w:rPr>
        <w:t xml:space="preserve">PASS_A</w:t>
      </w:r>
      <w:r>
        <w:t xml:space="preserve"> </w:t>
      </w:r>
      <w:r>
        <w:t xml:space="preserve">bzw.</w:t>
      </w:r>
      <w:r>
        <w:t xml:space="preserve"> </w:t>
      </w:r>
      <w:r>
        <w:rPr>
          <w:rStyle w:val="VerbatimChar"/>
        </w:rPr>
        <w:t xml:space="preserve">PASS_B</w:t>
      </w:r>
      <w:r>
        <w:t xml:space="preserve"> </w:t>
      </w:r>
      <w:r>
        <w:t xml:space="preserve">nur bei vollständig bilanzierten Referenz-Snapshots (bei B: explizite Ausgleichshypothese), dokumentiertem Leitungsfilter, intakter Zonenkonnektivität,</w:t>
      </w:r>
      <w:r>
        <w:t xml:space="preserve"> </w:t>
      </w:r>
      <m:oMath>
        <m:sSub>
          <m:e>
            <m:r>
              <m:t>A</m:t>
            </m:r>
          </m:e>
          <m:sub>
            <m:r>
              <m:t>z</m:t>
            </m:r>
          </m:sub>
        </m:sSub>
        <m:r>
          <m:t>Γ</m:t>
        </m:r>
        <m:r>
          <m:rPr>
            <m:sty m:val="p"/>
          </m:rPr>
          <m:t>=</m:t>
        </m:r>
        <m:r>
          <m:t>P</m:t>
        </m:r>
        <m:sSub>
          <m:e>
            <m:r>
              <m:t>A</m:t>
            </m:r>
          </m:e>
          <m:sub>
            <m:r>
              <m:t>d</m:t>
            </m:r>
          </m:sub>
        </m:sSub>
      </m:oMath>
      <w:r>
        <w:t xml:space="preserve">, hinreichend stabilen Leitungsrangfolgen und gespeicherten vollständigen Schnittflusszeitreihen. Beide Busmaps sind</w:t>
      </w:r>
      <w:r>
        <w:t xml:space="preserve"> </w:t>
      </w:r>
      <w:r>
        <w:rPr>
          <w:b/>
          <w:bCs/>
        </w:rPr>
        <w:t xml:space="preserve">Kandidaten</w:t>
      </w:r>
      <w:r>
        <w:t xml:space="preserve"> </w:t>
      </w:r>
      <w:r>
        <w:t xml:space="preserve">und erst nach der nachfolgenden elektrischen Kalibrierung endgültig zu qualifizieren.</w:t>
      </w:r>
    </w:p>
    <w:bookmarkEnd w:id="30"/>
    <w:bookmarkEnd w:id="31"/>
    <w:bookmarkStart w:id="36" w:name="Xbe04d32558944955359111ab12043f03acf6217"/>
    <w:p>
      <w:pPr>
        <w:pStyle w:val="Heading1"/>
      </w:pPr>
      <w:r>
        <w:t xml:space="preserve">4. Schritt 2a: Technologiespezifische PTDFs und Referenzverteilungen</w:t>
      </w:r>
    </w:p>
    <w:bookmarkStart w:id="32" w:name="matriximplementierung"/>
    <w:p>
      <w:pPr>
        <w:pStyle w:val="Heading2"/>
      </w:pPr>
      <w:r>
        <w:t xml:space="preserve">4.1 Matriximplementierung</w:t>
      </w:r>
    </w:p>
    <w:p>
      <w:pPr>
        <w:pStyle w:val="FirstParagraph"/>
      </w:pPr>
      <w:r>
        <w:t xml:space="preserve">Für die gegebene Busmap ist die eindeutige physikalische Matrix</w:t>
      </w:r>
      <w:r>
        <w:t xml:space="preserve"> </w:t>
      </w:r>
      <m:oMath>
        <m:sSub>
          <m:e>
            <m:r>
              <m:t>H</m:t>
            </m:r>
          </m:e>
          <m:sub>
            <m:r>
              <m:t>d</m:t>
            </m:r>
          </m:sub>
        </m:sSub>
      </m:oMath>
      <w:r>
        <w:t xml:space="preserve"> </w:t>
      </w:r>
      <w:r>
        <w:t xml:space="preserve">bereits verfügbar. Die effektive PTDF einer Technologie</w:t>
      </w:r>
      <w:r>
        <w:t xml:space="preserve"> </w:t>
      </w:r>
      <m:oMath>
        <m:r>
          <m:t>k</m:t>
        </m:r>
      </m:oMath>
      <w:r>
        <w:t xml:space="preserve"> </w:t>
      </w:r>
      <w:r>
        <w:t xml:space="preserve">folgt durch zwei Matrixprodukte:</w:t>
      </w:r>
    </w:p>
    <w:p>
      <w:pPr>
        <w:pStyle w:val="BodyText"/>
      </w:pPr>
      <m:oMathPara>
        <m:oMathParaPr>
          <m:jc m:val="center"/>
        </m:oMathParaPr>
        <m:oMath>
          <m:sSubSup>
            <m:e>
              <m:r>
                <m:t>H</m:t>
              </m:r>
            </m:e>
            <m:sub>
              <m:r>
                <m:t>z</m:t>
              </m:r>
            </m:sub>
            <m:sup>
              <m:d>
                <m:dPr>
                  <m:begChr m:val="("/>
                  <m:endChr m:val=")"/>
                  <m:sepChr m:val=""/>
                  <m:grow/>
                </m:dPr>
                <m:e>
                  <m:r>
                    <m:t>k</m:t>
                  </m:r>
                </m:e>
              </m:d>
            </m:sup>
          </m:sSubSup>
          <m:d>
            <m:dPr>
              <m:begChr m:val="("/>
              <m:endChr m:val=")"/>
              <m:sepChr m:val=""/>
              <m:grow/>
            </m:dPr>
            <m:e>
              <m:r>
                <m:t>t</m:t>
              </m:r>
            </m:e>
          </m:d>
          <m:r>
            <m:rPr>
              <m:sty m:val="p"/>
            </m:rPr>
            <m:t>=</m:t>
          </m:r>
          <m:r>
            <m:t>Γ</m:t>
          </m:r>
          <m:sSub>
            <m:e>
              <m:r>
                <m:t>H</m:t>
              </m:r>
            </m:e>
            <m:sub>
              <m:r>
                <m:t>d</m:t>
              </m:r>
            </m:sub>
          </m:sSub>
          <m:sSub>
            <m:e>
              <m:r>
                <m:t>R</m:t>
              </m:r>
            </m:e>
            <m:sub>
              <m:r>
                <m:t>k</m:t>
              </m:r>
            </m:sub>
          </m:sSub>
          <m:d>
            <m:dPr>
              <m:begChr m:val="("/>
              <m:endChr m:val=")"/>
              <m:sepChr m:val=""/>
              <m:grow/>
            </m:dPr>
            <m:e>
              <m:r>
                <m:t>t</m:t>
              </m:r>
            </m:e>
          </m:d>
          <m:r>
            <m:rPr>
              <m:sty m:val="p"/>
            </m:rPr>
            <m:t>.</m:t>
          </m:r>
        </m:oMath>
      </m:oMathPara>
    </w:p>
    <w:p>
      <w:pPr>
        <w:pStyle w:val="FirstParagraph"/>
      </w:pPr>
      <w:r>
        <w:t xml:space="preserve">Für große Netzgrößen sollte man statt</w:t>
      </w:r>
      <w:r>
        <w:t xml:space="preserve"> </w:t>
      </w:r>
      <m:oMath>
        <m:sSub>
          <m:e>
            <m:r>
              <m:t>H</m:t>
            </m:r>
          </m:e>
          <m:sub>
            <m:r>
              <m:t>d</m:t>
            </m:r>
          </m:sub>
        </m:sSub>
      </m:oMath>
      <w:r>
        <w:t xml:space="preserve"> </w:t>
      </w:r>
      <w:r>
        <w:t xml:space="preserve">als Dense-Matrix vorrangig</w:t>
      </w:r>
      <w:r>
        <w:t xml:space="preserve"> </w:t>
      </w:r>
      <m:oMath>
        <m:r>
          <m:t>Γ</m:t>
        </m:r>
      </m:oMath>
      <w:r>
        <w:t xml:space="preserve"> </w:t>
      </w:r>
      <w:r>
        <w:t xml:space="preserve">und</w:t>
      </w:r>
      <w:r>
        <w:t xml:space="preserve"> </w:t>
      </w:r>
      <m:oMath>
        <m:sSub>
          <m:e>
            <m:r>
              <m:t>R</m:t>
            </m:r>
          </m:e>
          <m:sub>
            <m:r>
              <m:t>k</m:t>
            </m:r>
          </m:sub>
        </m:sSub>
      </m:oMath>
      <w:r>
        <w:t xml:space="preserve"> </w:t>
      </w:r>
      <w:r>
        <w:t xml:space="preserve">als Sparse-Matrizen halten und die PTDF-Aktion</w:t>
      </w:r>
      <w:r>
        <w:t xml:space="preserve"> </w:t>
      </w:r>
      <m:oMath>
        <m:sSub>
          <m:e>
            <m:r>
              <m:t>H</m:t>
            </m:r>
          </m:e>
          <m:sub>
            <m:r>
              <m:t>d</m:t>
            </m:r>
          </m:sub>
        </m:sSub>
        <m:r>
          <m:t>v</m:t>
        </m:r>
      </m:oMath>
      <w:r>
        <w:t xml:space="preserve"> </w:t>
      </w:r>
      <w:r>
        <w:t xml:space="preserve">als linearen Kirchhoff-Solve ausführen. Die hochaufgelösten RES-/Lastreihen werden möglichst nicht vorzeitig gemittelt; andernfalls wären die korrekten Strukturflüsse nicht mehr rekonstruierbar.</w:t>
      </w:r>
    </w:p>
    <w:bookmarkEnd w:id="32"/>
    <w:bookmarkStart w:id="33" w:name="drei-referenzen-und-merit-order-modell"/>
    <w:p>
      <w:pPr>
        <w:pStyle w:val="Heading2"/>
      </w:pPr>
      <w:r>
        <w:t xml:space="preserve">4.2 Drei Referenzen und Merit-Order-Modell</w:t>
      </w:r>
    </w:p>
    <w:p>
      <w:pPr>
        <w:pStyle w:val="FirstParagraph"/>
      </w:pPr>
      <w:r>
        <w:rPr>
          <w:rStyle w:val="VerbatimChar"/>
        </w:rPr>
        <w:t xml:space="preserve">R_uni</w:t>
      </w:r>
      <w:r>
        <w:t xml:space="preserve"> </w:t>
      </w:r>
      <w:r>
        <w:t xml:space="preserve">verteilt Leistung gleichmäßig;</w:t>
      </w:r>
      <w:r>
        <w:t xml:space="preserve"> </w:t>
      </w:r>
      <w:r>
        <w:rPr>
          <w:rStyle w:val="VerbatimChar"/>
        </w:rPr>
        <w:t xml:space="preserve">R_cap</w:t>
      </w:r>
      <w:r>
        <w:t xml:space="preserve"> </w:t>
      </w:r>
      <w:r>
        <w:t xml:space="preserve">anhand geeigneter installierter Leistung;</w:t>
      </w:r>
      <w:r>
        <w:t xml:space="preserve"> </w:t>
      </w:r>
      <w:r>
        <w:rPr>
          <w:rStyle w:val="VerbatimChar"/>
        </w:rPr>
        <w:t xml:space="preserve">R_cost</w:t>
      </w:r>
      <w:r>
        <w:t xml:space="preserve"> </w:t>
      </w:r>
      <w:r>
        <w:t xml:space="preserve">über feste Grenzkosten und eine explizite Kostenpräferenz. Für eine</w:t>
      </w:r>
      <w:r>
        <w:t xml:space="preserve"> </w:t>
      </w:r>
      <w:r>
        <w:rPr>
          <w:b/>
          <w:bCs/>
        </w:rPr>
        <w:t xml:space="preserve">strenge Merit Order</w:t>
      </w:r>
      <w:r>
        <w:t xml:space="preserve"> </w:t>
      </w:r>
      <w:r>
        <w:t xml:space="preserve">wird ein separater kapazitätsbegrenzter LP je repräsentativem Residualbedarf gelöst. Die resultierende feste Referenz wird erst durch</w:t>
      </w:r>
      <w:r>
        <w:t xml:space="preserve"> </w:t>
      </w:r>
      <w:r>
        <w:rPr>
          <w:b/>
          <w:bCs/>
        </w:rPr>
        <w:t xml:space="preserve">nachgewiesene</w:t>
      </w:r>
      <w:r>
        <w:t xml:space="preserve"> </w:t>
      </w:r>
      <w:r>
        <w:t xml:space="preserve">Aggregation mehrerer Bedarfslagen gewonnen. Eine zeitlich konstante Kostenliste liefert ohne Annahmen über Residualbedarf keine feste physikalische Einspeiseverteilung.</w:t>
      </w:r>
    </w:p>
    <w:bookmarkEnd w:id="33"/>
    <w:bookmarkStart w:id="34" w:name="berechnung-des-strukturanteils"/>
    <w:p>
      <w:pPr>
        <w:pStyle w:val="Heading2"/>
      </w:pPr>
      <w:r>
        <w:t xml:space="preserve">4.3 Berechnung des Strukturanteils</w:t>
      </w:r>
    </w:p>
    <w:p>
      <w:pPr>
        <w:pStyle w:val="FirstParagraph"/>
      </w:pPr>
      <w:r>
        <w:t xml:space="preserve">Für</w:t>
      </w:r>
      <w:r>
        <w:t xml:space="preserve"> </w:t>
      </w:r>
      <m:oMath>
        <m:sSub>
          <m:e>
            <m:r>
              <m:t>R</m:t>
            </m:r>
          </m:e>
          <m:sub>
            <m:r>
              <m:t>0</m:t>
            </m:r>
          </m:sub>
        </m:sSub>
      </m:oMath>
      <w:r>
        <w:t xml:space="preserve"> </w:t>
      </w:r>
      <w:r>
        <w:t xml:space="preserve">mit</w:t>
      </w:r>
      <w:r>
        <w:t xml:space="preserve"> </w:t>
      </w:r>
      <m:oMath>
        <m:r>
          <m:t>P</m:t>
        </m:r>
        <m:sSub>
          <m:e>
            <m:r>
              <m:t>R</m:t>
            </m:r>
          </m:e>
          <m:sub>
            <m:r>
              <m:t>0</m:t>
            </m:r>
          </m:sub>
        </m:sSub>
        <m:r>
          <m:rPr>
            <m:sty m:val="p"/>
          </m:rPr>
          <m:t>=</m:t>
        </m:r>
        <m:r>
          <m:t>I</m:t>
        </m:r>
      </m:oMath>
      <w:r>
        <w:t xml:space="preserve"> </w:t>
      </w:r>
      <w:r>
        <w:t xml:space="preserve">lautet der aus RES-/Last-Verteilungen kommende, bereits bilanzerhaltende Anteil</w:t>
      </w:r>
    </w:p>
    <w:p>
      <w:pPr>
        <w:pStyle w:val="BodyText"/>
      </w:pPr>
      <m:oMathPara>
        <m:oMathParaPr>
          <m:jc m:val="center"/>
        </m:oMathParaPr>
        <m:oMath>
          <m:sSubSup>
            <m:e>
              <m:r>
                <m:t>c</m:t>
              </m:r>
            </m:e>
            <m:sub>
              <m:r>
                <m:t>t</m:t>
              </m:r>
            </m:sub>
            <m:sup>
              <m:r>
                <m:rPr>
                  <m:sty m:val="p"/>
                </m:rPr>
                <m:t>R</m:t>
              </m:r>
              <m:r>
                <m:rPr>
                  <m:sty m:val="p"/>
                </m:rPr>
                <m:t>E</m:t>
              </m:r>
              <m:r>
                <m:rPr>
                  <m:sty m:val="p"/>
                </m:rPr>
                <m:t>S</m:t>
              </m:r>
              <m:r>
                <m:rPr>
                  <m:sty m:val="p"/>
                </m:rPr>
                <m:t>−</m:t>
              </m:r>
              <m:r>
                <m:rPr>
                  <m:sty m:val="p"/>
                </m:rPr>
                <m:t>L</m:t>
              </m:r>
            </m:sup>
          </m:sSubSup>
          <m:r>
            <m:rPr>
              <m:sty m:val="p"/>
            </m:rPr>
            <m:t>=</m:t>
          </m:r>
          <m:r>
            <m:t>Γ</m:t>
          </m:r>
          <m:sSub>
            <m:e>
              <m:r>
                <m:t>H</m:t>
              </m:r>
            </m:e>
            <m:sub>
              <m:r>
                <m:t>d</m:t>
              </m:r>
            </m:sub>
          </m:sSub>
          <m:d>
            <m:dPr>
              <m:begChr m:val="("/>
              <m:endChr m:val=")"/>
              <m:sepChr m:val=""/>
              <m:grow/>
            </m:dPr>
            <m:e>
              <m:r>
                <m:t>I</m:t>
              </m:r>
              <m:r>
                <m:rPr>
                  <m:sty m:val="p"/>
                </m:rPr>
                <m:t>−</m:t>
              </m:r>
              <m:sSub>
                <m:e>
                  <m:r>
                    <m:t>R</m:t>
                  </m:r>
                </m:e>
                <m:sub>
                  <m:r>
                    <m:t>0</m:t>
                  </m:r>
                </m:sub>
              </m:sSub>
              <m:r>
                <m:t>P</m:t>
              </m:r>
            </m:e>
          </m:d>
          <m:d>
            <m:dPr>
              <m:begChr m:val="("/>
              <m:endChr m:val=")"/>
              <m:sepChr m:val=""/>
              <m:grow/>
            </m:dPr>
            <m:e>
              <m:sSub>
                <m:e>
                  <m:r>
                    <m:t>p</m:t>
                  </m:r>
                </m:e>
                <m:sub>
                  <m:r>
                    <m:rPr>
                      <m:sty m:val="p"/>
                    </m:rPr>
                    <m:t>R</m:t>
                  </m:r>
                  <m:r>
                    <m:rPr>
                      <m:sty m:val="p"/>
                    </m:rPr>
                    <m:t>E</m:t>
                  </m:r>
                  <m:r>
                    <m:rPr>
                      <m:sty m:val="p"/>
                    </m:rPr>
                    <m:t>S</m:t>
                  </m:r>
                  <m:r>
                    <m:rPr>
                      <m:sty m:val="p"/>
                    </m:rPr>
                    <m:t>,</m:t>
                  </m:r>
                  <m:r>
                    <m:t>a</m:t>
                  </m:r>
                  <m:r>
                    <m:t>v</m:t>
                  </m:r>
                  <m:r>
                    <m:t>a</m:t>
                  </m:r>
                  <m:r>
                    <m:t>i</m:t>
                  </m:r>
                  <m:r>
                    <m:t>l</m:t>
                  </m:r>
                  <m:r>
                    <m:rPr>
                      <m:sty m:val="p"/>
                    </m:rPr>
                    <m:t>,</m:t>
                  </m:r>
                  <m:r>
                    <m:t>t</m:t>
                  </m:r>
                </m:sub>
              </m:sSub>
              <m:r>
                <m:rPr>
                  <m:sty m:val="p"/>
                </m:rPr>
                <m:t>−</m:t>
              </m:r>
              <m:sSub>
                <m:e>
                  <m:r>
                    <m:t>p</m:t>
                  </m:r>
                </m:e>
                <m:sub>
                  <m:r>
                    <m:rPr>
                      <m:sty m:val="p"/>
                    </m:rPr>
                    <m:t>l</m:t>
                  </m:r>
                  <m:r>
                    <m:rPr>
                      <m:sty m:val="p"/>
                    </m:rPr>
                    <m:t>o</m:t>
                  </m:r>
                  <m:r>
                    <m:rPr>
                      <m:sty m:val="p"/>
                    </m:rPr>
                    <m:t>a</m:t>
                  </m:r>
                  <m:r>
                    <m:rPr>
                      <m:sty m:val="p"/>
                    </m:rPr>
                    <m:t>d</m:t>
                  </m:r>
                  <m:r>
                    <m:rPr>
                      <m:sty m:val="p"/>
                    </m:rPr>
                    <m:t>,</m:t>
                  </m:r>
                  <m:r>
                    <m:t>t</m:t>
                  </m:r>
                </m:sub>
              </m:sSub>
            </m:e>
          </m:d>
          <m:r>
            <m:rPr>
              <m:sty m:val="p"/>
            </m:rPr>
            <m:t>.</m:t>
          </m:r>
        </m:oMath>
      </m:oMathPara>
    </w:p>
    <w:p>
      <w:pPr>
        <w:pStyle w:val="FirstParagraph"/>
      </w:pPr>
      <w:r>
        <w:t xml:space="preserve">Dieser Beitrag kann</w:t>
      </w:r>
      <w:r>
        <w:t xml:space="preserve"> </w:t>
      </w:r>
      <w:r>
        <w:rPr>
          <w:b/>
          <w:bCs/>
        </w:rPr>
        <w:t xml:space="preserve">für jede feste Busmap</w:t>
      </w:r>
      <w:r>
        <w:t xml:space="preserve"> </w:t>
      </w:r>
      <w:r>
        <w:t xml:space="preserve">ohne konventionellen Marktdispatch berechnet werden. Er ist weder der gesamte strukturelle Offset unter vollständigem Betrieb noch bereits der konstante Kalibrierungswert</w:t>
      </w:r>
      <w:r>
        <w:t xml:space="preserve"> </w:t>
      </w:r>
      <m:oMath>
        <m:sSup>
          <m:e>
            <m:r>
              <m:t>c</m:t>
            </m:r>
          </m:e>
          <m:sup>
            <m:r>
              <m:t>0</m:t>
            </m:r>
          </m:sup>
        </m:sSup>
      </m:oMath>
      <w:r>
        <w:t xml:space="preserve"> </w:t>
      </w:r>
      <w:r>
        <w:t xml:space="preserve">des Ersatznetzes.</w:t>
      </w:r>
    </w:p>
    <w:bookmarkEnd w:id="34"/>
    <w:bookmarkStart w:id="35" w:name="gate"/>
    <w:p>
      <w:pPr>
        <w:pStyle w:val="Heading2"/>
      </w:pPr>
      <w:r>
        <w:t xml:space="preserve">4.4 Gate</w:t>
      </w:r>
    </w:p>
    <w:p>
      <w:pPr>
        <w:pStyle w:val="FirstParagraph"/>
      </w:pPr>
      <w:r>
        <w:t xml:space="preserve">Für alle aktivierten</w:t>
      </w:r>
      <w:r>
        <w:t xml:space="preserve"> </w:t>
      </w:r>
      <m:oMath>
        <m:sSub>
          <m:e>
            <m:r>
              <m:t>R</m:t>
            </m:r>
          </m:e>
          <m:sub>
            <m:r>
              <m:t>k</m:t>
            </m:r>
          </m:sub>
        </m:sSub>
      </m:oMath>
      <w:r>
        <w:t xml:space="preserve"> </w:t>
      </w:r>
      <w:r>
        <w:t xml:space="preserve">gilt</w:t>
      </w:r>
      <w:r>
        <w:t xml:space="preserve"> </w:t>
      </w:r>
      <m:oMath>
        <m:r>
          <m:t>P</m:t>
        </m:r>
        <m:sSub>
          <m:e>
            <m:r>
              <m:t>R</m:t>
            </m:r>
          </m:e>
          <m:sub>
            <m:r>
              <m:t>k</m:t>
            </m:r>
          </m:sub>
        </m:sSub>
        <m:r>
          <m:rPr>
            <m:sty m:val="p"/>
          </m:rPr>
          <m:t>=</m:t>
        </m:r>
        <m:r>
          <m:t>I</m:t>
        </m:r>
      </m:oMath>
      <w:r>
        <w:t xml:space="preserve">. Technologiespezifische Beiträge müssen bei einem vollständigen, bilanzierten Dispatch zum aggregierten Originalfluss summieren (mit ggf. physikalischem PST-Offset). Nullverfügbarkeitsstunden, fehlende Anlagen und Last/RES-Vorzeichen erhalten separate Testfälle.</w:t>
      </w:r>
    </w:p>
    <w:bookmarkEnd w:id="35"/>
    <w:bookmarkEnd w:id="36"/>
    <w:bookmarkStart w:id="40" w:name="Xfd6a69a40528c5f2afb0d4fe9417bbe32edb788"/>
    <w:p>
      <w:pPr>
        <w:pStyle w:val="Heading1"/>
      </w:pPr>
      <w:r>
        <w:t xml:space="preserve">5. Schritt 2b: Elektrische Äquivalenz mit</w:t>
      </w:r>
      <w:r>
        <w:t xml:space="preserve"> </w:t>
      </w:r>
      <m:oMath>
        <m:r>
          <m:t>x</m:t>
        </m:r>
      </m:oMath>
      <w:r>
        <w:t xml:space="preserve"> </w:t>
      </w:r>
      <w:r>
        <w:t xml:space="preserve">und</w:t>
      </w:r>
      <w:r>
        <w:t xml:space="preserve"> </w:t>
      </w:r>
      <m:oMath>
        <m:sSup>
          <m:e>
            <m:r>
              <m:t>c</m:t>
            </m:r>
          </m:e>
          <m:sup>
            <m:r>
              <m:t>0</m:t>
            </m:r>
          </m:sup>
        </m:sSup>
      </m:oMath>
    </w:p>
    <w:bookmarkStart w:id="37" w:name="identifikation"/>
    <w:p>
      <w:pPr>
        <w:pStyle w:val="Heading2"/>
      </w:pPr>
      <w:r>
        <w:t xml:space="preserve">5.1 Identifikation</w:t>
      </w:r>
    </w:p>
    <w:p>
      <w:pPr>
        <w:pStyle w:val="FirstParagraph"/>
      </w:pPr>
      <w:r>
        <w:t xml:space="preserve">Die positiven Ersatzreaktanzen</w:t>
      </w:r>
      <w:r>
        <w:t xml:space="preserve"> </w:t>
      </w:r>
      <m:oMath>
        <m:sSup>
          <m:e>
            <m:r>
              <m:t>x</m:t>
            </m:r>
          </m:e>
          <m:sup>
            <m:r>
              <m:rPr>
                <m:sty m:val="p"/>
              </m:rPr>
              <m:t>e</m:t>
            </m:r>
            <m:r>
              <m:rPr>
                <m:sty m:val="p"/>
              </m:rPr>
              <m:t>q</m:t>
            </m:r>
          </m:sup>
        </m:sSup>
      </m:oMath>
      <w:r>
        <w:t xml:space="preserve"> </w:t>
      </w:r>
      <w:r>
        <w:t xml:space="preserve">werden nicht aus einfachen Mittelwerten der Originalimpedanzen übernommen. Für den reduzierten Graphen wird</w:t>
      </w:r>
      <w:r>
        <w:t xml:space="preserve"> </w:t>
      </w:r>
      <m:oMath>
        <m:sSub>
          <m:e>
            <m:r>
              <m:t>H</m:t>
            </m:r>
          </m:e>
          <m:sub>
            <m:r>
              <m:rPr>
                <m:sty m:val="p"/>
              </m:rPr>
              <m:t>e</m:t>
            </m:r>
            <m:r>
              <m:rPr>
                <m:sty m:val="p"/>
              </m:rPr>
              <m:t>q</m:t>
            </m:r>
          </m:sub>
        </m:sSub>
        <m:d>
          <m:dPr>
            <m:begChr m:val="("/>
            <m:endChr m:val=")"/>
            <m:sepChr m:val=""/>
            <m:grow/>
          </m:dPr>
          <m:e>
            <m:r>
              <m:t>x</m:t>
            </m:r>
          </m:e>
        </m:d>
      </m:oMath>
      <w:r>
        <w:t xml:space="preserve"> </w:t>
      </w:r>
      <w:r>
        <w:t xml:space="preserve">berechnet und mit dem aggregierten Ziel</w:t>
      </w:r>
      <w:r>
        <w:t xml:space="preserve"> </w:t>
      </w:r>
      <m:oMath>
        <m:sSub>
          <m:e>
            <m:r>
              <m:t>F</m:t>
            </m:r>
          </m:e>
          <m:sub>
            <m:r>
              <m:t>z</m:t>
            </m:r>
          </m:sub>
        </m:sSub>
        <m:r>
          <m:rPr>
            <m:sty m:val="p"/>
          </m:rPr>
          <m:t>=</m:t>
        </m:r>
        <m:r>
          <m:t>Γ</m:t>
        </m:r>
        <m:sSub>
          <m:e>
            <m:r>
              <m:t>F</m:t>
            </m:r>
          </m:e>
          <m:sub>
            <m:r>
              <m:t>d</m:t>
            </m:r>
          </m:sub>
        </m:sSub>
      </m:oMath>
      <w:r>
        <w:t xml:space="preserve"> </w:t>
      </w:r>
      <w:r>
        <w:t xml:space="preserve">aus einer</w:t>
      </w:r>
      <w:r>
        <w:t xml:space="preserve"> </w:t>
      </w:r>
      <w:r>
        <w:rPr>
          <w:b/>
          <w:bCs/>
        </w:rPr>
        <w:t xml:space="preserve">festen Trainingsstichprobe</w:t>
      </w:r>
      <w:r>
        <w:t xml:space="preserve"> </w:t>
      </w:r>
      <w:r>
        <w:t xml:space="preserve">verglichen. Optimiert werden</w:t>
      </w:r>
      <w:r>
        <w:t xml:space="preserve"> </w:t>
      </w:r>
      <m:oMath>
        <m:r>
          <m:t>x</m:t>
        </m:r>
      </m:oMath>
      <w:r>
        <w:t xml:space="preserve"> </w:t>
      </w:r>
      <w:r>
        <w:t xml:space="preserve">und ein divergenzfreier Offset</w:t>
      </w:r>
      <w:r>
        <w:t xml:space="preserve"> </w:t>
      </w:r>
      <m:oMath>
        <m:sSup>
          <m:e>
            <m:r>
              <m:t>c</m:t>
            </m:r>
          </m:e>
          <m:sup>
            <m:r>
              <m:t>0</m:t>
            </m:r>
          </m:sup>
        </m:sSup>
      </m:oMath>
      <w:r>
        <w:t xml:space="preserve">:</w:t>
      </w:r>
    </w:p>
    <w:p>
      <w:pPr>
        <w:pStyle w:val="BodyText"/>
      </w:pPr>
      <m:oMathPara>
        <m:oMathParaPr>
          <m:jc m:val="center"/>
        </m:oMathParaPr>
        <m:oMath>
          <m:limLow>
            <m:e>
              <m:r>
                <m:rPr>
                  <m:sty m:val="p"/>
                </m:rPr>
                <m:t>min</m:t>
              </m:r>
            </m:e>
            <m:lim>
              <m:r>
                <m:t>x</m:t>
              </m:r>
              <m:r>
                <m:rPr>
                  <m:sty m:val="p"/>
                </m:rPr>
                <m:t>,</m:t>
              </m:r>
              <m:sSup>
                <m:e>
                  <m:r>
                    <m:t>c</m:t>
                  </m:r>
                </m:e>
                <m:sup>
                  <m:r>
                    <m:t>0</m:t>
                  </m:r>
                </m:sup>
              </m:sSup>
            </m:lim>
          </m:limLow>
          <m:r>
            <m:t> </m:t>
          </m:r>
          <m:nary>
            <m:naryPr>
              <m:chr m:val="∑"/>
              <m:limLoc m:val="undOvr"/>
              <m:subHide m:val="off"/>
              <m:supHide m:val="on"/>
            </m:naryPr>
            <m:sub>
              <m:r>
                <m:t>t</m:t>
              </m:r>
            </m:sub>
            <m:sup>
              <m:r>
                <m:t>​</m:t>
              </m:r>
            </m:sup>
            <m:e>
              <m:sSub>
                <m:e>
                  <m:r>
                    <m:t>ω</m:t>
                  </m:r>
                </m:e>
                <m:sub>
                  <m:r>
                    <m:t>t</m:t>
                  </m:r>
                </m:sub>
              </m:sSub>
            </m:e>
          </m:nary>
          <m:r>
            <m:rPr>
              <m:sty m:val="p"/>
            </m:rPr>
            <m:t>∥</m:t>
          </m:r>
          <m:sSub>
            <m:e>
              <m:r>
                <m:t>W</m:t>
              </m:r>
            </m:e>
            <m:sub>
              <m:r>
                <m:t>f</m:t>
              </m:r>
            </m:sub>
          </m:sSub>
          <m:d>
            <m:dPr>
              <m:begChr m:val="["/>
              <m:endChr m:val="]"/>
              <m:sepChr m:val=""/>
              <m:grow/>
            </m:dPr>
            <m:e>
              <m:sSub>
                <m:e>
                  <m:r>
                    <m:t>H</m:t>
                  </m:r>
                </m:e>
                <m:sub>
                  <m:r>
                    <m:rPr>
                      <m:sty m:val="p"/>
                    </m:rPr>
                    <m:t>e</m:t>
                  </m:r>
                  <m:r>
                    <m:rPr>
                      <m:sty m:val="p"/>
                    </m:rPr>
                    <m:t>q</m:t>
                  </m:r>
                </m:sub>
              </m:sSub>
              <m:d>
                <m:dPr>
                  <m:begChr m:val="("/>
                  <m:endChr m:val=")"/>
                  <m:sepChr m:val=""/>
                  <m:grow/>
                </m:dPr>
                <m:e>
                  <m:r>
                    <m:t>x</m:t>
                  </m:r>
                </m:e>
              </m:d>
              <m:sSub>
                <m:e>
                  <m:r>
                    <m:t>p</m:t>
                  </m:r>
                </m:e>
                <m:sub>
                  <m:r>
                    <m:t>z</m:t>
                  </m:r>
                  <m:r>
                    <m:rPr>
                      <m:sty m:val="p"/>
                    </m:rPr>
                    <m:t>,</m:t>
                  </m:r>
                  <m:r>
                    <m:t>t</m:t>
                  </m:r>
                </m:sub>
              </m:sSub>
              <m:r>
                <m:rPr>
                  <m:sty m:val="p"/>
                </m:rPr>
                <m:t>+</m:t>
              </m:r>
              <m:sSup>
                <m:e>
                  <m:r>
                    <m:t>c</m:t>
                  </m:r>
                </m:e>
                <m:sup>
                  <m:r>
                    <m:t>0</m:t>
                  </m:r>
                </m:sup>
              </m:sSup>
              <m:r>
                <m:rPr>
                  <m:sty m:val="p"/>
                </m:rPr>
                <m:t>−</m:t>
              </m:r>
              <m:sSub>
                <m:e>
                  <m:r>
                    <m:t>f</m:t>
                  </m:r>
                </m:e>
                <m:sub>
                  <m:r>
                    <m:t>z</m:t>
                  </m:r>
                  <m:r>
                    <m:rPr>
                      <m:sty m:val="p"/>
                    </m:rPr>
                    <m:t>,</m:t>
                  </m:r>
                  <m:r>
                    <m:t>t</m:t>
                  </m:r>
                </m:sub>
              </m:sSub>
            </m:e>
          </m:d>
          <m:sSubSup>
            <m:e>
              <m:r>
                <m:rPr>
                  <m:sty m:val="p"/>
                </m:rPr>
                <m:t>∥</m:t>
              </m:r>
            </m:e>
            <m:sub>
              <m:r>
                <m:t>2</m:t>
              </m:r>
            </m:sub>
            <m:sup>
              <m:r>
                <m:t>2</m:t>
              </m:r>
            </m:sup>
          </m:sSubSup>
          <m:r>
            <m:rPr>
              <m:sty m:val="p"/>
            </m:rPr>
            <m:t>+</m:t>
          </m:r>
          <m:r>
            <m:rPr>
              <m:nor/>
              <m:sty m:val="p"/>
            </m:rPr>
            <m:t>Regularisierung</m:t>
          </m:r>
          <m:r>
            <m:rPr>
              <m:sty m:val="p"/>
            </m:rPr>
            <m:t>,</m:t>
          </m:r>
          <m:r>
            <m:t>  </m:t>
          </m:r>
          <m:sSub>
            <m:e>
              <m:r>
                <m:t>A</m:t>
              </m:r>
            </m:e>
            <m:sub>
              <m:r>
                <m:t>z</m:t>
              </m:r>
            </m:sub>
          </m:sSub>
          <m:sSup>
            <m:e>
              <m:r>
                <m:t>c</m:t>
              </m:r>
            </m:e>
            <m:sup>
              <m:r>
                <m:t>0</m:t>
              </m:r>
            </m:sup>
          </m:sSup>
          <m:r>
            <m:rPr>
              <m:sty m:val="p"/>
            </m:rPr>
            <m:t>=</m:t>
          </m:r>
          <m:r>
            <m:t>0</m:t>
          </m:r>
          <m:r>
            <m:rPr>
              <m:sty m:val="p"/>
            </m:rPr>
            <m:t>.</m:t>
          </m:r>
        </m:oMath>
      </m:oMathPara>
    </w:p>
    <w:p>
      <w:pPr>
        <w:pStyle w:val="FirstParagraph"/>
      </w:pPr>
      <w:r>
        <w:t xml:space="preserve">Bei der Kalibrierung wird eine globale Reaktanznormierung festgesetzt; Rang und Kondition der Sensitivität von</w:t>
      </w:r>
      <w:r>
        <w:t xml:space="preserve"> </w:t>
      </w:r>
      <m:oMath>
        <m:sSub>
          <m:e>
            <m:r>
              <m:t>H</m:t>
            </m:r>
          </m:e>
          <m:sub>
            <m:r>
              <m:rPr>
                <m:sty m:val="p"/>
              </m:rPr>
              <m:t>e</m:t>
            </m:r>
            <m:r>
              <m:rPr>
                <m:sty m:val="p"/>
              </m:rPr>
              <m:t>q</m:t>
            </m:r>
          </m:sub>
        </m:sSub>
      </m:oMath>
      <w:r>
        <w:t xml:space="preserve"> </w:t>
      </w:r>
      <w:r>
        <w:t xml:space="preserve">nach</w:t>
      </w:r>
      <w:r>
        <w:t xml:space="preserve"> </w:t>
      </w:r>
      <m:oMath>
        <m:r>
          <m:t>x</m:t>
        </m:r>
      </m:oMath>
      <w:r>
        <w:t xml:space="preserve"> </w:t>
      </w:r>
      <w:r>
        <w:t xml:space="preserve">werden getestet. Ein baumförmiges reduziertes Netz ist</w:t>
      </w:r>
      <w:r>
        <w:t xml:space="preserve"> </w:t>
      </w:r>
      <w:r>
        <w:rPr>
          <w:b/>
          <w:bCs/>
        </w:rPr>
        <w:t xml:space="preserve">nicht</w:t>
      </w:r>
      <w:r>
        <w:t xml:space="preserve"> </w:t>
      </w:r>
      <w:r>
        <w:t xml:space="preserve">durch Flussdaten reaktanzidentifizierbar. Der Offset muss in nachfolgenden Linopy-Netzgleichungen als</w:t>
      </w:r>
      <w:r>
        <w:t xml:space="preserve"> </w:t>
      </w:r>
      <w:r>
        <w:rPr>
          <w:b/>
          <w:bCs/>
        </w:rPr>
        <w:t xml:space="preserve">affiner physikalischer Modellterm</w:t>
      </w:r>
      <w:r>
        <w:t xml:space="preserve"> </w:t>
      </w:r>
      <w:r>
        <w:t xml:space="preserve">wirksam werden. Ohne diese Integration handelt es sich nur um ein diagnostisches Nachverarbeitungsmodell.</w:t>
      </w:r>
    </w:p>
    <w:bookmarkEnd w:id="37"/>
    <w:bookmarkStart w:id="38" w:name="zeitvariable-versus-feste-offsets"/>
    <w:p>
      <w:pPr>
        <w:pStyle w:val="Heading2"/>
      </w:pPr>
      <w:r>
        <w:t xml:space="preserve">5.2 Zeitvariable versus feste Offsets</w:t>
      </w:r>
    </w:p>
    <w:p>
      <w:pPr>
        <w:pStyle w:val="FirstParagraph"/>
      </w:pPr>
      <w:r>
        <w:t xml:space="preserve">Die technologiespezifische Formel liefert</w:t>
      </w:r>
      <w:r>
        <w:t xml:space="preserve"> </w:t>
      </w:r>
      <m:oMath>
        <m:sSub>
          <m:e>
            <m:r>
              <m:t>c</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t</m:t>
            </m:r>
          </m:e>
        </m:d>
      </m:oMath>
      <w:r>
        <w:t xml:space="preserve">, einen physikalisch erklärbaren zeitvariablen Strukturanteil relativ zur Referenz</w:t>
      </w:r>
      <w:r>
        <w:t xml:space="preserve"> </w:t>
      </w:r>
      <m:oMath>
        <m:sSub>
          <m:e>
            <m:r>
              <m:t>R</m:t>
            </m:r>
          </m:e>
          <m:sub>
            <m:r>
              <m:t>0</m:t>
            </m:r>
          </m:sub>
        </m:sSub>
      </m:oMath>
      <w:r>
        <w:t xml:space="preserve">. Das spätere</w:t>
      </w:r>
      <w:r>
        <w:t xml:space="preserve"> </w:t>
      </w:r>
      <m:oMath>
        <m:sSup>
          <m:e>
            <m:r>
              <m:t>c</m:t>
            </m:r>
          </m:e>
          <m:sup>
            <m:r>
              <m:t>0</m:t>
            </m:r>
          </m:sup>
        </m:sSup>
      </m:oMath>
      <w:r>
        <w:t xml:space="preserve"> </w:t>
      </w:r>
      <w:r>
        <w:t xml:space="preserve">wird gewöhnlich über alle Kalibrierungssnapshots oder über ein</w:t>
      </w:r>
      <w:r>
        <w:t xml:space="preserve"> </w:t>
      </w:r>
      <w:r>
        <w:rPr>
          <w:i/>
          <w:iCs/>
        </w:rPr>
        <w:t xml:space="preserve">klar deklariertes Szenario</w:t>
      </w:r>
      <w:r>
        <w:t xml:space="preserve"> </w:t>
      </w:r>
      <w:r>
        <w:t xml:space="preserve">approximiert. Optional können definierte saisonale oder technologisch getriebene Korrekturtermfamilien geprüft werden. Jede zusätzliche Flexibilität erhöht die Gefahr von Überanpassung; ihre Qualität muss an unverwendeten Stunden bewertet werden.</w:t>
      </w:r>
    </w:p>
    <w:bookmarkEnd w:id="38"/>
    <w:bookmarkStart w:id="39" w:name="abnahme"/>
    <w:p>
      <w:pPr>
        <w:pStyle w:val="Heading2"/>
      </w:pPr>
      <w:r>
        <w:t xml:space="preserve">5.3 Abnahme</w:t>
      </w:r>
    </w:p>
    <w:p>
      <w:pPr>
        <w:pStyle w:val="FirstParagraph"/>
      </w:pPr>
      <w:r>
        <w:t xml:space="preserve">Fluss-RMSE je Link, 95-/99-%-Quantile der absoluten Fehler, relative Fehler nur bei sinnvollem Nenner, kritische Stunden und Energiesalden. Zusätzlich werden Identifizierbarkeitsindikatoren und die Frage geprüft, ob die Kalibrierung tatsächlich mehrere unabhängige Maschen anregt. Die von [E1, Annex 6.1] beschriebenen RMSE-Klassifikationen sind</w:t>
      </w:r>
      <w:r>
        <w:t xml:space="preserve"> </w:t>
      </w:r>
      <w:r>
        <w:rPr>
          <w:b/>
          <w:bCs/>
        </w:rPr>
        <w:t xml:space="preserve">Orientierungsgrößen</w:t>
      </w:r>
      <w:r>
        <w:t xml:space="preserve">; sie definieren allein kein vollständiges Abnahmeprotokoll.</w:t>
      </w:r>
    </w:p>
    <w:bookmarkEnd w:id="39"/>
    <w:bookmarkEnd w:id="40"/>
    <w:bookmarkStart w:id="47" w:name="Xc95a51999362dfdf78dd0df337de86f79966c13"/>
    <w:p>
      <w:pPr>
        <w:pStyle w:val="Heading1"/>
      </w:pPr>
      <w:r>
        <w:t xml:space="preserve">6. Schritt 2c: Drei konsistente Kapazitätsrouten</w:t>
      </w:r>
    </w:p>
    <w:bookmarkStart w:id="41" w:name="gemeinsame-sicherheitsgrundlage"/>
    <w:p>
      <w:pPr>
        <w:pStyle w:val="Heading2"/>
      </w:pPr>
      <w:r>
        <w:t xml:space="preserve">6.1 Gemeinsame Sicherheitsgrundlage</w:t>
      </w:r>
    </w:p>
    <w:p>
      <w:pPr>
        <w:pStyle w:val="FirstParagraph"/>
      </w:pPr>
      <w:r>
        <w:t xml:space="preserve">Alle Kapazitätswege verwenden</w:t>
      </w:r>
      <w:r>
        <w:t xml:space="preserve"> </w:t>
      </w:r>
      <w:r>
        <w:rPr>
          <w:b/>
          <w:bCs/>
        </w:rPr>
        <w:t xml:space="preserve">dieselbe</w:t>
      </w:r>
      <w:r>
        <w:t xml:space="preserve"> </w:t>
      </w:r>
      <w:r>
        <w:t xml:space="preserve">detaillierte Kontingenzliste und dieselben Normal-/Notfall-Grenzwerte. Für jeden nicht inselbildenden Ausfall wird</w:t>
      </w:r>
      <w:r>
        <w:t xml:space="preserve"> </w:t>
      </w:r>
      <m:oMath>
        <m:r>
          <m:t>D</m:t>
        </m:r>
        <m:r>
          <m:rPr>
            <m:sty m:val="p"/>
          </m:rPr>
          <m:t>=</m:t>
        </m:r>
        <m:r>
          <m:rPr>
            <m:sty m:val="p"/>
          </m:rPr>
          <m:t>L</m:t>
        </m:r>
        <m:r>
          <m:rPr>
            <m:sty m:val="p"/>
          </m:rPr>
          <m:t>O</m:t>
        </m:r>
        <m:r>
          <m:rPr>
            <m:sty m:val="p"/>
          </m:rPr>
          <m:t>D</m:t>
        </m:r>
        <m:r>
          <m:rPr>
            <m:sty m:val="p"/>
          </m:rPr>
          <m:t>F</m:t>
        </m:r>
      </m:oMath>
      <w:r>
        <w:t xml:space="preserve"> </w:t>
      </w:r>
      <w:r>
        <w:t xml:space="preserve">aus detaillierter PTDF, bestehendem PyPSA-BODF oder einem geprüften numerischen Alternativeinsatz berechnet; der CNEC-Operator</w:t>
      </w:r>
      <w:r>
        <w:t xml:space="preserve"> </w:t>
      </w:r>
      <m:oMath>
        <m:r>
          <m:t>K</m:t>
        </m:r>
      </m:oMath>
      <w:r>
        <w:t xml:space="preserve"> </w:t>
      </w:r>
      <w:r>
        <w:t xml:space="preserve">führt N-0- und N-1-Zeilen. Wird ein Ausfall wegen Singularität oder operativer Gegenmaßnahmen ausgeschlossen, erscheint er explizit im Bericht und in den Eingabemetadaten, nicht als unsichtbare Auslassung.</w:t>
      </w:r>
    </w:p>
    <w:bookmarkEnd w:id="41"/>
    <w:bookmarkStart w:id="42" w:name="k1-iosn-nahe-ermittlung"/>
    <w:p>
      <w:pPr>
        <w:pStyle w:val="Heading2"/>
      </w:pPr>
      <w:r>
        <w:t xml:space="preserve">6.2 K1 — IoSN-nahe Ermittlung</w:t>
      </w:r>
    </w:p>
    <w:p>
      <w:pPr>
        <w:pStyle w:val="FirstParagraph"/>
      </w:pPr>
      <w:r>
        <w:t xml:space="preserve">Der bestehende</w:t>
      </w:r>
      <w:r>
        <w:t xml:space="preserve"> </w:t>
      </w:r>
      <w:r>
        <w:rPr>
          <w:rStyle w:val="VerbatimChar"/>
        </w:rPr>
        <w:t xml:space="preserve">security.py</w:t>
      </w:r>
      <w:r>
        <w:t xml:space="preserve">-Prototyp berechnet physikalische N-1-Auslastungen und schätzt saisonal/richtungsabhängige Ersatzgrenzen aus</w:t>
      </w:r>
      <w:r>
        <w:t xml:space="preserve"> </w:t>
      </w:r>
      <m:oMath>
        <m:d>
          <m:dPr>
            <m:begChr m:val="("/>
            <m:endChr m:val=")"/>
            <m:sepChr m:val=""/>
            <m:grow/>
          </m:dPr>
          <m:e>
            <m:sSub>
              <m:e>
                <m:r>
                  <m:t>F</m:t>
                </m:r>
              </m:e>
              <m:sub>
                <m:r>
                  <m:t>e</m:t>
                </m:r>
                <m:r>
                  <m:rPr>
                    <m:sty m:val="p"/>
                  </m:rPr>
                  <m:t>,</m:t>
                </m:r>
                <m:r>
                  <m:t>t</m:t>
                </m:r>
              </m:sub>
            </m:sSub>
            <m:r>
              <m:rPr>
                <m:sty m:val="p"/>
              </m:rPr>
              <m:t>,</m:t>
            </m:r>
            <m:sSubSup>
              <m:e>
                <m:r>
                  <m:t>ρ</m:t>
                </m:r>
              </m:e>
              <m:sub>
                <m:r>
                  <m:t>e</m:t>
                </m:r>
                <m:r>
                  <m:rPr>
                    <m:sty m:val="p"/>
                  </m:rPr>
                  <m:t>,</m:t>
                </m:r>
                <m:r>
                  <m:t>t</m:t>
                </m:r>
              </m:sub>
              <m:sup>
                <m:r>
                  <m:t>N</m:t>
                </m:r>
                <m:r>
                  <m:rPr>
                    <m:sty m:val="p"/>
                  </m:rPr>
                  <m:t>−</m:t>
                </m:r>
                <m:r>
                  <m:t>1</m:t>
                </m:r>
              </m:sup>
            </m:sSubSup>
          </m:e>
        </m:d>
      </m:oMath>
      <w:r>
        <w:t xml:space="preserve">. Die aktuelle Regression ist</w:t>
      </w:r>
      <w:r>
        <w:t xml:space="preserve"> </w:t>
      </w:r>
      <w:r>
        <w:rPr>
          <w:b/>
          <w:bCs/>
        </w:rPr>
        <w:t xml:space="preserve">nur eine plausible Forschungsapproximation</w:t>
      </w:r>
      <w:r>
        <w:t xml:space="preserve">; ENTSO-E veröffentlicht das vollständige Fit-Verfahren nicht. Für jeden Grenzwert werden Stützstellenzahl, Richtungsdeckung, Auslastungsbereich, Korrelation, Extrapolationsstatus und mögliche Fehlschätzung berichtet.</w:t>
      </w:r>
    </w:p>
    <w:bookmarkEnd w:id="42"/>
    <w:bookmarkStart w:id="43" w:name="X9926df703ef6a7a3216788ec0ff08bfd96960b1"/>
    <w:p>
      <w:pPr>
        <w:pStyle w:val="Heading2"/>
      </w:pPr>
      <w:r>
        <w:t xml:space="preserve">6.3 K2 — Analytisches Sicherheits-Polyeder und Bilaterallimit</w:t>
      </w:r>
    </w:p>
    <w:p>
      <w:pPr>
        <w:pStyle w:val="FirstParagraph"/>
      </w:pPr>
      <w:r>
        <w:t xml:space="preserve">Der neue Kern berechnet</w:t>
      </w:r>
      <w:r>
        <w:t xml:space="preserve"> </w:t>
      </w:r>
      <m:oMath>
        <m:r>
          <m:t>K</m:t>
        </m:r>
      </m:oMath>
      <w:r>
        <w:t xml:space="preserve">,</w:t>
      </w:r>
      <w:r>
        <w:t xml:space="preserve"> </w:t>
      </w:r>
      <m:oMath>
        <m:sSub>
          <m:e>
            <m:r>
              <m:t>H</m:t>
            </m:r>
          </m:e>
          <m:sub>
            <m:r>
              <m:t>C</m:t>
            </m:r>
            <m:r>
              <m:rPr>
                <m:sty m:val="p"/>
              </m:rPr>
              <m:t>,</m:t>
            </m:r>
            <m:r>
              <m:t>z</m:t>
            </m:r>
          </m:sub>
        </m:sSub>
        <m:r>
          <m:rPr>
            <m:sty m:val="p"/>
          </m:rPr>
          <m:t>=</m:t>
        </m:r>
        <m:r>
          <m:t>K</m:t>
        </m:r>
        <m:sSub>
          <m:e>
            <m:r>
              <m:t>H</m:t>
            </m:r>
          </m:e>
          <m:sub>
            <m:r>
              <m:t>d</m:t>
            </m:r>
          </m:sub>
        </m:sSub>
        <m:r>
          <m:t>R</m:t>
        </m:r>
      </m:oMath>
      <w:r>
        <w:t xml:space="preserve"> </w:t>
      </w:r>
      <w:r>
        <w:t xml:space="preserve">und</w:t>
      </w:r>
      <w:r>
        <w:t xml:space="preserve"> </w:t>
      </w:r>
      <m:oMath>
        <m:sSub>
          <m:e>
            <m:r>
              <m:t>f</m:t>
            </m:r>
          </m:e>
          <m:sub>
            <m:r>
              <m:t>0</m:t>
            </m:r>
            <m:r>
              <m:rPr>
                <m:sty m:val="p"/>
              </m:rPr>
              <m:t>,</m:t>
            </m:r>
            <m:r>
              <m:t>C</m:t>
            </m:r>
          </m:sub>
        </m:sSub>
        <m:r>
          <m:rPr>
            <m:sty m:val="p"/>
          </m:rPr>
          <m:t>=</m:t>
        </m:r>
        <m:r>
          <m:t>K</m:t>
        </m:r>
        <m:d>
          <m:dPr>
            <m:begChr m:val="("/>
            <m:endChr m:val=")"/>
            <m:sepChr m:val=""/>
            <m:grow/>
          </m:dPr>
          <m:e>
            <m:sSub>
              <m:e>
                <m:r>
                  <m:t>H</m:t>
                </m:r>
              </m:e>
              <m:sub>
                <m:r>
                  <m:t>d</m:t>
                </m:r>
              </m:sub>
            </m:sSub>
            <m:r>
              <m:t>u</m:t>
            </m:r>
            <m:r>
              <m:rPr>
                <m:sty m:val="p"/>
              </m:rPr>
              <m:t>+</m:t>
            </m:r>
            <m:sSup>
              <m:e>
                <m:r>
                  <m:t>b</m:t>
                </m:r>
              </m:e>
              <m:sup>
                <m:r>
                  <m:t>ϕ</m:t>
                </m:r>
              </m:sup>
            </m:sSup>
          </m:e>
        </m:d>
      </m:oMath>
      <w:r>
        <w:t xml:space="preserve">. Für einen sicheren Referenzzustand und die zonale Transferdirection</w:t>
      </w:r>
      <w:r>
        <w:t xml:space="preserve"> </w:t>
      </w:r>
      <m:oMath>
        <m:sSub>
          <m:e>
            <m:r>
              <m:t>d</m:t>
            </m:r>
          </m:e>
          <m:sub>
            <m:r>
              <m:t>a</m:t>
            </m:r>
            <m:r>
              <m:t>b</m:t>
            </m:r>
          </m:sub>
        </m:sSub>
      </m:oMath>
      <w:r>
        <w:t xml:space="preserve"> </w:t>
      </w:r>
      <w:r>
        <w:t xml:space="preserve">wird</w:t>
      </w:r>
    </w:p>
    <w:p>
      <w:pPr>
        <w:pStyle w:val="BodyText"/>
      </w:pPr>
      <m:oMathPara>
        <m:oMathParaPr>
          <m:jc m:val="center"/>
        </m:oMathParaPr>
        <m:oMath>
          <m:sSub>
            <m:e>
              <m:r>
                <m:t>τ</m:t>
              </m:r>
            </m:e>
            <m:sub>
              <m:r>
                <m:rPr>
                  <m:sty m:val="p"/>
                </m:rPr>
                <m:t>max</m:t>
              </m:r>
            </m:sub>
          </m:sSub>
          <m:r>
            <m:rPr>
              <m:sty m:val="p"/>
            </m:rPr>
            <m:t>=</m:t>
          </m:r>
          <m:limLow>
            <m:e>
              <m:r>
                <m:rPr>
                  <m:sty m:val="p"/>
                </m:rPr>
                <m:t>min</m:t>
              </m:r>
            </m:e>
            <m:lim>
              <m:r>
                <m:t>r</m:t>
              </m:r>
              <m:r>
                <m:rPr>
                  <m:sty m:val="p"/>
                </m:rPr>
                <m:t>:</m:t>
              </m:r>
              <m:sSub>
                <m:e>
                  <m:r>
                    <m:t>g</m:t>
                  </m:r>
                </m:e>
                <m:sub>
                  <m:r>
                    <m:t>r</m:t>
                  </m:r>
                </m:sub>
              </m:sSub>
              <m:r>
                <m:rPr>
                  <m:sty m:val="p"/>
                </m:rPr>
                <m:t>≠</m:t>
              </m:r>
              <m:r>
                <m:t>0</m:t>
              </m:r>
            </m:lim>
          </m:limLow>
          <m:f>
            <m:fPr>
              <m:type m:val="bar"/>
            </m:fPr>
            <m:num>
              <m:sSub>
                <m:e>
                  <m:bar>
                    <m:barPr>
                      <m:pos m:val="top"/>
                    </m:barPr>
                    <m:e>
                      <m:r>
                        <m:t>f</m:t>
                      </m:r>
                    </m:e>
                  </m:bar>
                </m:e>
                <m:sub>
                  <m:r>
                    <m:t>r</m:t>
                  </m:r>
                </m:sub>
              </m:sSub>
              <m:r>
                <m:rPr>
                  <m:sty m:val="p"/>
                </m:rPr>
                <m:t>−</m:t>
              </m:r>
              <m:r>
                <m:rPr>
                  <m:sty m:val="p"/>
                </m:rPr>
                <m:t>s</m:t>
              </m:r>
              <m:r>
                <m:rPr>
                  <m:sty m:val="p"/>
                </m:rPr>
                <m:t>g</m:t>
              </m:r>
              <m:r>
                <m:rPr>
                  <m:sty m:val="p"/>
                </m:rPr>
                <m:t>n</m:t>
              </m:r>
              <m:d>
                <m:dPr>
                  <m:begChr m:val="("/>
                  <m:endChr m:val=")"/>
                  <m:sepChr m:val=""/>
                  <m:grow/>
                </m:dPr>
                <m:e>
                  <m:sSub>
                    <m:e>
                      <m:r>
                        <m:t>g</m:t>
                      </m:r>
                    </m:e>
                    <m:sub>
                      <m:r>
                        <m:t>r</m:t>
                      </m:r>
                    </m:sub>
                  </m:sSub>
                </m:e>
              </m:d>
              <m:sSub>
                <m:e>
                  <m:r>
                    <m:t>b</m:t>
                  </m:r>
                </m:e>
                <m:sub>
                  <m:r>
                    <m:t>r</m:t>
                  </m:r>
                </m:sub>
              </m:sSub>
            </m:num>
            <m:den>
              <m:d>
                <m:dPr>
                  <m:begChr m:val="|"/>
                  <m:endChr m:val="|"/>
                  <m:sepChr m:val=""/>
                  <m:grow/>
                </m:dPr>
                <m:e>
                  <m:sSub>
                    <m:e>
                      <m:r>
                        <m:t>g</m:t>
                      </m:r>
                    </m:e>
                    <m:sub>
                      <m:r>
                        <m:t>r</m:t>
                      </m:r>
                    </m:sub>
                  </m:sSub>
                </m:e>
              </m:d>
            </m:den>
          </m:f>
          <m:r>
            <m:rPr>
              <m:sty m:val="p"/>
            </m:rPr>
            <m:t>,</m:t>
          </m:r>
          <m:r>
            <m:t> </m:t>
          </m:r>
          <m:r>
            <m:t>b</m:t>
          </m:r>
          <m:r>
            <m:rPr>
              <m:sty m:val="p"/>
            </m:rPr>
            <m:t>=</m:t>
          </m:r>
          <m:sSub>
            <m:e>
              <m:r>
                <m:t>H</m:t>
              </m:r>
            </m:e>
            <m:sub>
              <m:r>
                <m:t>C</m:t>
              </m:r>
              <m:r>
                <m:rPr>
                  <m:sty m:val="p"/>
                </m:rPr>
                <m:t>,</m:t>
              </m:r>
              <m:r>
                <m:t>z</m:t>
              </m:r>
            </m:sub>
          </m:sSub>
          <m:sSubSup>
            <m:e>
              <m:r>
                <m:t>p</m:t>
              </m:r>
            </m:e>
            <m:sub>
              <m:r>
                <m:t>z</m:t>
              </m:r>
            </m:sub>
            <m:sup>
              <m:r>
                <m:rPr>
                  <m:sty m:val="p"/>
                </m:rPr>
                <m:t>r</m:t>
              </m:r>
              <m:r>
                <m:rPr>
                  <m:sty m:val="p"/>
                </m:rPr>
                <m:t>e</m:t>
              </m:r>
              <m:r>
                <m:rPr>
                  <m:sty m:val="p"/>
                </m:rPr>
                <m:t>f</m:t>
              </m:r>
            </m:sup>
          </m:sSubSup>
          <m:r>
            <m:rPr>
              <m:sty m:val="p"/>
            </m:rPr>
            <m:t>+</m:t>
          </m:r>
          <m:sSub>
            <m:e>
              <m:r>
                <m:t>f</m:t>
              </m:r>
            </m:e>
            <m:sub>
              <m:r>
                <m:t>0</m:t>
              </m:r>
              <m:r>
                <m:rPr>
                  <m:sty m:val="p"/>
                </m:rPr>
                <m:t>,</m:t>
              </m:r>
              <m:r>
                <m:t>C</m:t>
              </m:r>
            </m:sub>
          </m:sSub>
          <m:r>
            <m:rPr>
              <m:sty m:val="p"/>
            </m:rPr>
            <m:t>,</m:t>
          </m:r>
          <m:r>
            <m:t> </m:t>
          </m:r>
          <m:r>
            <m:t>g</m:t>
          </m:r>
          <m:r>
            <m:rPr>
              <m:sty m:val="p"/>
            </m:rPr>
            <m:t>=</m:t>
          </m:r>
          <m:sSub>
            <m:e>
              <m:r>
                <m:t>H</m:t>
              </m:r>
            </m:e>
            <m:sub>
              <m:r>
                <m:t>C</m:t>
              </m:r>
              <m:r>
                <m:rPr>
                  <m:sty m:val="p"/>
                </m:rPr>
                <m:t>,</m:t>
              </m:r>
              <m:r>
                <m:t>z</m:t>
              </m:r>
            </m:sub>
          </m:sSub>
          <m:sSub>
            <m:e>
              <m:r>
                <m:t>d</m:t>
              </m:r>
            </m:e>
            <m:sub>
              <m:r>
                <m:t>a</m:t>
              </m:r>
              <m:r>
                <m:t>b</m:t>
              </m:r>
            </m:sub>
          </m:sSub>
        </m:oMath>
      </m:oMathPara>
    </w:p>
    <w:p>
      <w:pPr>
        <w:pStyle w:val="FirstParagraph"/>
      </w:pPr>
      <w:r>
        <w:t xml:space="preserve">berechnet,</w:t>
      </w:r>
      <w:r>
        <w:t xml:space="preserve"> </w:t>
      </w:r>
      <w:r>
        <w:rPr>
          <w:b/>
          <w:bCs/>
        </w:rPr>
        <w:t xml:space="preserve">sofern</w:t>
      </w:r>
      <w:r>
        <w:t xml:space="preserve"> </w:t>
      </w:r>
      <w:r>
        <w:t xml:space="preserve">die Referenz bereits N-1-sicher und die nicht beeinflussbaren Zeilen zulässig sind. Jeder Grenzwert erhält eine Zuordnung zu seiner tatsächlich bindenden CNEC-Restriktion. Diese Größe ist ein sicherer inkrementeller</w:t>
      </w:r>
      <w:r>
        <w:t xml:space="preserve"> </w:t>
      </w:r>
      <w:r>
        <w:rPr>
          <w:b/>
          <w:bCs/>
        </w:rPr>
        <w:t xml:space="preserve">bilateraler</w:t>
      </w:r>
      <w:r>
        <w:t xml:space="preserve"> </w:t>
      </w:r>
      <w:r>
        <w:t xml:space="preserve">Transfer im definierten DC-Modell; sie ist nicht ohne weitere Prüfung eine Ersatzlinkkapazität.</w:t>
      </w:r>
    </w:p>
    <w:bookmarkEnd w:id="43"/>
    <w:bookmarkStart w:id="44" w:name="k3-robuste-derating-faktoren"/>
    <w:p>
      <w:pPr>
        <w:pStyle w:val="Heading2"/>
      </w:pPr>
      <w:r>
        <w:t xml:space="preserve">6.4 K3 — Robuste Derating-Faktoren</w:t>
      </w:r>
    </w:p>
    <w:p>
      <w:pPr>
        <w:pStyle w:val="FirstParagraph"/>
      </w:pPr>
      <w:r>
        <w:t xml:space="preserve">Der neue Kern berechnet konservative Faktoren</w:t>
      </w:r>
      <w:r>
        <w:t xml:space="preserve"> </w:t>
      </w:r>
      <m:oMath>
        <m:r>
          <m:t>α</m:t>
        </m:r>
      </m:oMath>
      <w:r>
        <w:t xml:space="preserve"> </w:t>
      </w:r>
      <w:r>
        <w:t xml:space="preserve">aus</w:t>
      </w:r>
    </w:p>
    <w:p>
      <w:pPr>
        <w:pStyle w:val="BodyText"/>
      </w:pPr>
      <m:oMathPara>
        <m:oMathParaPr>
          <m:jc m:val="center"/>
        </m:oMathParaPr>
        <m:oMath>
          <m:sSub>
            <m:e>
              <m:r>
                <m:t>α</m:t>
              </m:r>
            </m:e>
            <m:sub>
              <m:r>
                <m:rPr>
                  <m:sty m:val="p"/>
                </m:rPr>
                <m:t>ℓ</m:t>
              </m:r>
            </m:sub>
          </m:sSub>
          <m:sSub>
            <m:e>
              <m:bar>
                <m:barPr>
                  <m:pos m:val="top"/>
                </m:barPr>
                <m:e>
                  <m:r>
                    <m:t>f</m:t>
                  </m:r>
                </m:e>
              </m:bar>
            </m:e>
            <m:sub>
              <m:r>
                <m:rPr>
                  <m:sty m:val="p"/>
                </m:rPr>
                <m:t>ℓ</m:t>
              </m:r>
            </m:sub>
          </m:sSub>
          <m:r>
            <m:rPr>
              <m:sty m:val="p"/>
            </m:rPr>
            <m:t>+</m:t>
          </m:r>
          <m:d>
            <m:dPr>
              <m:begChr m:val="|"/>
              <m:endChr m:val="|"/>
              <m:sepChr m:val=""/>
              <m:grow/>
            </m:dPr>
            <m:e>
              <m:sSub>
                <m:e>
                  <m:r>
                    <m:t>D</m:t>
                  </m:r>
                </m:e>
                <m:sub>
                  <m:r>
                    <m:rPr>
                      <m:sty m:val="p"/>
                    </m:rPr>
                    <m:t>ℓ</m:t>
                  </m:r>
                  <m:r>
                    <m:t>k</m:t>
                  </m:r>
                </m:sub>
              </m:sSub>
            </m:e>
          </m:d>
          <m:sSub>
            <m:e>
              <m:r>
                <m:t>α</m:t>
              </m:r>
            </m:e>
            <m:sub>
              <m:r>
                <m:t>k</m:t>
              </m:r>
            </m:sub>
          </m:sSub>
          <m:sSub>
            <m:e>
              <m:bar>
                <m:barPr>
                  <m:pos m:val="top"/>
                </m:barPr>
                <m:e>
                  <m:r>
                    <m:t>f</m:t>
                  </m:r>
                </m:e>
              </m:bar>
            </m:e>
            <m:sub>
              <m:r>
                <m:t>k</m:t>
              </m:r>
            </m:sub>
          </m:sSub>
          <m:r>
            <m:rPr>
              <m:sty m:val="p"/>
            </m:rPr>
            <m:t>≤</m:t>
          </m:r>
          <m:sSub>
            <m:e>
              <m:bar>
                <m:barPr>
                  <m:pos m:val="top"/>
                </m:barPr>
                <m:e>
                  <m:r>
                    <m:t>f</m:t>
                  </m:r>
                </m:e>
              </m:bar>
            </m:e>
            <m:sub>
              <m:r>
                <m:rPr>
                  <m:sty m:val="p"/>
                </m:rPr>
                <m:t>ℓ</m:t>
              </m:r>
            </m:sub>
          </m:sSub>
          <m:r>
            <m:t>  </m:t>
          </m:r>
          <m:d>
            <m:dPr>
              <m:begChr m:val="("/>
              <m:endChr m:val=")"/>
              <m:sepChr m:val=""/>
              <m:grow/>
            </m:dPr>
            <m:e>
              <m:r>
                <m:rPr>
                  <m:sty m:val="p"/>
                </m:rPr>
                <m:t>ℓ</m:t>
              </m:r>
              <m:r>
                <m:rPr>
                  <m:sty m:val="p"/>
                </m:rPr>
                <m:t>≠</m:t>
              </m:r>
              <m:r>
                <m:t>k</m:t>
              </m:r>
            </m:e>
          </m:d>
          <m:r>
            <m:rPr>
              <m:sty m:val="p"/>
            </m:rPr>
            <m:t>.</m:t>
          </m:r>
        </m:oMath>
      </m:oMathPara>
    </w:p>
    <w:p>
      <w:pPr>
        <w:pStyle w:val="FirstParagraph"/>
      </w:pPr>
      <w:r>
        <w:t xml:space="preserve">Die Nebenbedingungen sind bezüglich ungestörter Boxgrenzen konservativ sicher, aber nicht notwendig, weshalb sie oft Transportpotenzial verschenken. Sie sind</w:t>
      </w:r>
      <w:r>
        <w:t xml:space="preserve"> </w:t>
      </w:r>
      <w:r>
        <w:rPr>
          <w:b/>
          <w:bCs/>
        </w:rPr>
        <w:t xml:space="preserve">nicht</w:t>
      </w:r>
      <w:r>
        <w:t xml:space="preserve"> </w:t>
      </w:r>
      <w:r>
        <w:t xml:space="preserve">identisch mit der Rechenvorschrift in [N2], sondern ein offengelegter Referenzbenchmark.</w:t>
      </w:r>
    </w:p>
    <w:bookmarkEnd w:id="44"/>
    <w:bookmarkStart w:id="45" w:name="Xb65fca06a00c31331e723632696587ff39f8d73"/>
    <w:p>
      <w:pPr>
        <w:pStyle w:val="Heading2"/>
      </w:pPr>
      <w:r>
        <w:t xml:space="preserve">6.5 Woodbury und duale LODF — optional, nicht Voraussetzung</w:t>
      </w:r>
    </w:p>
    <w:p>
      <w:pPr>
        <w:pStyle w:val="FirstParagraph"/>
      </w:pPr>
      <w:r>
        <w:rPr>
          <w:rStyle w:val="VerbatimChar"/>
        </w:rPr>
        <w:t xml:space="preserve">security_projection.py</w:t>
      </w:r>
      <w:r>
        <w:t xml:space="preserve"> </w:t>
      </w:r>
      <w:r>
        <w:t xml:space="preserve">kann direkte PTDF-LODF, Woodbury-Rang-eins-Update und die duale Zyklusformel vergleichen. Die produktive Default-Route soll auf der vorhandenen, getesteten PyPSA-BODF-Funktion aufbauen; die anderen Routinen werden</w:t>
      </w:r>
      <w:r>
        <w:t xml:space="preserve"> </w:t>
      </w:r>
      <w:r>
        <w:rPr>
          <w:b/>
          <w:bCs/>
        </w:rPr>
        <w:t xml:space="preserve">erst nach einem numerischen Performance-Vergleich</w:t>
      </w:r>
      <w:r>
        <w:t xml:space="preserve"> </w:t>
      </w:r>
      <w:r>
        <w:t xml:space="preserve">für große Netze zugeschaltet. Kein Performance-Vorteil wird ohne Benchmark behauptet.</w:t>
      </w:r>
    </w:p>
    <w:bookmarkEnd w:id="45"/>
    <w:bookmarkStart w:id="46" w:name="gemeinsame-abnahme"/>
    <w:p>
      <w:pPr>
        <w:pStyle w:val="Heading2"/>
      </w:pPr>
      <w:r>
        <w:t xml:space="preserve">6.6 Gemeinsame Abnahme</w:t>
      </w:r>
    </w:p>
    <w:p>
      <w:pPr>
        <w:pStyle w:val="FirstParagraph"/>
      </w:pPr>
      <w:r>
        <w:t xml:space="preserve">Eine einzelne TYNDP-Linkkapazität und ein mehrdimensionales CNEC-Sicherheits-Polyeder besitzen andere Semantik. Validiert wird deshalb für die drei Routen die</w:t>
      </w:r>
      <w:r>
        <w:t xml:space="preserve"> </w:t>
      </w:r>
      <w:r>
        <w:rPr>
          <w:b/>
          <w:bCs/>
        </w:rPr>
        <w:t xml:space="preserve">Zulässigkeitsentscheidung</w:t>
      </w:r>
      <w:r>
        <w:t xml:space="preserve"> </w:t>
      </w:r>
      <w:r>
        <w:t xml:space="preserve">nach Rückprojektion ins detaillierte Netz: Anteil fälschlich zulässiger Fälle, konservativ abgewiesene Fälle, maximale N-1-Verletzung und erkaufte Kapazitätsnutzung. Die vier K1-Kapazitäten müssen separat für Sommer/Winter und beide Richtungen ausgewiesen werden; K2 kann solche Werte nur</w:t>
      </w:r>
      <w:r>
        <w:t xml:space="preserve"> </w:t>
      </w:r>
      <w:r>
        <w:rPr>
          <w:b/>
          <w:bCs/>
        </w:rPr>
        <w:t xml:space="preserve">konditional</w:t>
      </w:r>
      <w:r>
        <w:t xml:space="preserve"> </w:t>
      </w:r>
      <w:r>
        <w:t xml:space="preserve">auf ein Referenz-/Transferensemble ausgeben.</w:t>
      </w:r>
    </w:p>
    <w:bookmarkEnd w:id="46"/>
    <w:bookmarkEnd w:id="47"/>
    <w:bookmarkStart w:id="48" w:name="Xc570e873315a0677ce68e16f5134737d5e6df3d"/>
    <w:p>
      <w:pPr>
        <w:pStyle w:val="Heading1"/>
      </w:pPr>
      <w:r>
        <w:t xml:space="preserve">7. FBMC-Brücke als getrennte Qualitätsdimension</w:t>
      </w:r>
    </w:p>
    <w:p>
      <w:pPr>
        <w:pStyle w:val="FirstParagraph"/>
      </w:pPr>
      <w:r>
        <w:t xml:space="preserve">Die vorhandene</w:t>
      </w:r>
      <w:r>
        <w:t xml:space="preserve"> </w:t>
      </w:r>
      <w:r>
        <w:rPr>
          <w:rStyle w:val="VerbatimChar"/>
        </w:rPr>
        <w:t xml:space="preserve">fbmc_bridge.py</w:t>
      </w:r>
      <w:r>
        <w:t xml:space="preserve">-Erweiterung arbeitet mit den Gebotszonen</w:t>
      </w:r>
      <w:r>
        <w:t xml:space="preserve"> </w:t>
      </w:r>
      <m:oMath>
        <m:sSub>
          <m:e>
            <m:r>
              <m:t>P</m:t>
            </m:r>
          </m:e>
          <m:sub>
            <m:r>
              <m:t>B</m:t>
            </m:r>
          </m:sub>
        </m:sSub>
      </m:oMath>
      <w:r>
        <w:t xml:space="preserve"> </w:t>
      </w:r>
      <w:r>
        <w:t xml:space="preserve">und GSK</w:t>
      </w:r>
      <w:r>
        <w:t xml:space="preserve"> </w:t>
      </w:r>
      <m:oMath>
        <m:sSub>
          <m:e>
            <m:r>
              <m:t>G</m:t>
            </m:r>
          </m:e>
          <m:sub>
            <m:r>
              <m:t>B</m:t>
            </m:r>
          </m:sub>
        </m:sSub>
      </m:oMath>
      <w:r>
        <w:t xml:space="preserve"> </w:t>
      </w:r>
      <w:r>
        <w:t xml:space="preserve">sowie mit denselben CNEC-Zeilen</w:t>
      </w:r>
      <w:r>
        <w:t xml:space="preserve"> </w:t>
      </w:r>
      <m:oMath>
        <m:r>
          <m:t>K</m:t>
        </m:r>
      </m:oMath>
      <w:r>
        <w:t xml:space="preserve">, aber</w:t>
      </w:r>
      <w:r>
        <w:t xml:space="preserve"> </w:t>
      </w:r>
      <w:r>
        <w:rPr>
          <w:b/>
          <w:bCs/>
        </w:rPr>
        <w:t xml:space="preserve">nicht</w:t>
      </w:r>
      <w:r>
        <w:t xml:space="preserve"> </w:t>
      </w:r>
      <w:r>
        <w:t xml:space="preserve">mit den IoSN-Planungszonen</w:t>
      </w:r>
      <w:r>
        <w:t xml:space="preserve"> </w:t>
      </w:r>
      <m:oMath>
        <m:sSub>
          <m:e>
            <m:r>
              <m:t>P</m:t>
            </m:r>
          </m:e>
          <m:sub>
            <m:r>
              <m:t>T</m:t>
            </m:r>
          </m:sub>
        </m:sSub>
      </m:oMath>
      <w:r>
        <w:t xml:space="preserve"> </w:t>
      </w:r>
      <w:r>
        <w:t xml:space="preserve">als stillschweigendem Ersatz:</w:t>
      </w:r>
    </w:p>
    <w:p>
      <w:pPr>
        <w:pStyle w:val="BodyText"/>
      </w:pPr>
      <m:oMathPara>
        <m:oMathParaPr>
          <m:jc m:val="center"/>
        </m:oMathParaPr>
        <m:oMath>
          <m:sSub>
            <m:e>
              <m:r>
                <m:t>Z</m:t>
              </m:r>
            </m:e>
            <m:sub>
              <m:r>
                <m:rPr>
                  <m:sty m:val="p"/>
                </m:rPr>
                <m:t>F</m:t>
              </m:r>
              <m:r>
                <m:rPr>
                  <m:sty m:val="p"/>
                </m:rPr>
                <m:t>B</m:t>
              </m:r>
            </m:sub>
          </m:sSub>
          <m:r>
            <m:rPr>
              <m:sty m:val="p"/>
            </m:rPr>
            <m:t>=</m:t>
          </m:r>
          <m:r>
            <m:t>K</m:t>
          </m:r>
          <m:sSub>
            <m:e>
              <m:r>
                <m:t>H</m:t>
              </m:r>
            </m:e>
            <m:sub>
              <m:r>
                <m:t>d</m:t>
              </m:r>
            </m:sub>
          </m:sSub>
          <m:sSub>
            <m:e>
              <m:r>
                <m:t>G</m:t>
              </m:r>
            </m:e>
            <m:sub>
              <m:r>
                <m:t>B</m:t>
              </m:r>
            </m:sub>
          </m:sSub>
          <m:r>
            <m:rPr>
              <m:sty m:val="p"/>
            </m:rPr>
            <m:t>,</m:t>
          </m:r>
          <m:r>
            <m:t>  </m:t>
          </m:r>
          <m:sSub>
            <m:e>
              <m:r>
                <m:t>f</m:t>
              </m:r>
            </m:e>
            <m:sub>
              <m:r>
                <m:t>0</m:t>
              </m:r>
              <m:r>
                <m:rPr>
                  <m:sty m:val="p"/>
                </m:rPr>
                <m:t>,</m:t>
              </m:r>
              <m:r>
                <m:rPr>
                  <m:sty m:val="p"/>
                </m:rPr>
                <m:t>F</m:t>
              </m:r>
              <m:r>
                <m:rPr>
                  <m:sty m:val="p"/>
                </m:rPr>
                <m:t>B</m:t>
              </m:r>
            </m:sub>
          </m:sSub>
          <m:r>
            <m:rPr>
              <m:sty m:val="p"/>
            </m:rPr>
            <m:t>=</m:t>
          </m:r>
          <m:r>
            <m:t>K</m:t>
          </m:r>
          <m:sSub>
            <m:e>
              <m:r>
                <m:t>H</m:t>
              </m:r>
            </m:e>
            <m:sub>
              <m:r>
                <m:t>d</m:t>
              </m:r>
            </m:sub>
          </m:sSub>
          <m:d>
            <m:dPr>
              <m:begChr m:val="("/>
              <m:endChr m:val=")"/>
              <m:sepChr m:val=""/>
              <m:grow/>
            </m:dPr>
            <m:e>
              <m:r>
                <m:t>I</m:t>
              </m:r>
              <m:r>
                <m:rPr>
                  <m:sty m:val="p"/>
                </m:rPr>
                <m:t>−</m:t>
              </m:r>
              <m:sSub>
                <m:e>
                  <m:r>
                    <m:t>G</m:t>
                  </m:r>
                </m:e>
                <m:sub>
                  <m:r>
                    <m:t>B</m:t>
                  </m:r>
                </m:sub>
              </m:sSub>
              <m:sSub>
                <m:e>
                  <m:r>
                    <m:t>P</m:t>
                  </m:r>
                </m:e>
                <m:sub>
                  <m:r>
                    <m:t>B</m:t>
                  </m:r>
                </m:sub>
              </m:sSub>
            </m:e>
          </m:d>
          <m:sSubSup>
            <m:e>
              <m:r>
                <m:t>p</m:t>
              </m:r>
            </m:e>
            <m:sub>
              <m:r>
                <m:t>d</m:t>
              </m:r>
            </m:sub>
            <m:sup>
              <m:r>
                <m:rPr>
                  <m:sty m:val="p"/>
                </m:rPr>
                <m:t>r</m:t>
              </m:r>
              <m:r>
                <m:rPr>
                  <m:sty m:val="p"/>
                </m:rPr>
                <m:t>e</m:t>
              </m:r>
              <m:r>
                <m:rPr>
                  <m:sty m:val="p"/>
                </m:rPr>
                <m:t>f</m:t>
              </m:r>
            </m:sup>
          </m:sSubSup>
          <m:r>
            <m:rPr>
              <m:sty m:val="p"/>
            </m:rPr>
            <m:t>+</m:t>
          </m:r>
          <m:r>
            <m:t>K</m:t>
          </m:r>
          <m:sSup>
            <m:e>
              <m:r>
                <m:t>b</m:t>
              </m:r>
            </m:e>
            <m:sup>
              <m:r>
                <m:t>ϕ</m:t>
              </m:r>
            </m:sup>
          </m:sSup>
          <m:r>
            <m:rPr>
              <m:sty m:val="p"/>
            </m:rPr>
            <m:t>.</m:t>
          </m:r>
        </m:oMath>
      </m:oMathPara>
    </w:p>
    <w:p>
      <w:pPr>
        <w:pStyle w:val="FirstParagraph"/>
      </w:pPr>
      <w:r>
        <w:t xml:space="preserve">Damit können die gleichmäßigen, kapazitäts- und kostengewichteten GSK-Hypothesen verglichen werden. Das ist eine wissenschaftliche</w:t>
      </w:r>
      <w:r>
        <w:t xml:space="preserve"> </w:t>
      </w:r>
      <w:r>
        <w:rPr>
          <w:b/>
          <w:bCs/>
        </w:rPr>
        <w:t xml:space="preserve">Sensitivitätsstudie</w:t>
      </w:r>
      <w:r>
        <w:t xml:space="preserve">; ein operativer Core-GLSK/RAM muss zusätzliche regionale und regulatorische Definitionen erfüllen. Die PyPSA-Dokumentation bietet bereits Beispielmodelle zur Flow-Based-Marktkopplung [P3].</w:t>
      </w:r>
    </w:p>
    <w:bookmarkEnd w:id="48"/>
    <w:bookmarkStart w:id="49" w:name="minimaler-daten--und-objektvertrag"/>
    <w:p>
      <w:pPr>
        <w:pStyle w:val="Heading1"/>
      </w:pPr>
      <w:r>
        <w:t xml:space="preserve">8. Minimaler Daten- und Objektvertrag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Objekt</w:t>
            </w:r>
          </w:p>
        </w:tc>
        <w:tc>
          <w:tcPr/>
          <w:p>
            <w:pPr>
              <w:pStyle w:val="Compact"/>
              <w:jc w:val="left"/>
            </w:pPr>
            <w:r>
              <w:t xml:space="preserve">Minimaler Inhalt</w:t>
            </w:r>
          </w:p>
        </w:tc>
        <w:tc>
          <w:tcPr/>
          <w:p>
            <w:pPr>
              <w:pStyle w:val="Compact"/>
              <w:jc w:val="left"/>
            </w:pPr>
            <w:r>
              <w:t xml:space="preserve">Verifikation</w:t>
            </w:r>
          </w:p>
        </w:tc>
      </w:tr>
      <w:tr>
        <w:tc>
          <w:tcPr/>
          <w:p>
            <w:pPr>
              <w:pStyle w:val="Compact"/>
              <w:jc w:val="left"/>
            </w:pPr>
            <w:r>
              <w:rPr>
                <w:rStyle w:val="VerbatimChar"/>
              </w:rPr>
              <w:t xml:space="preserve">detailed_network</w:t>
            </w:r>
          </w:p>
        </w:tc>
        <w:tc>
          <w:tcPr/>
          <w:p>
            <w:pPr>
              <w:pStyle w:val="Compact"/>
              <w:jc w:val="left"/>
            </w:pPr>
            <w:r>
              <w:t xml:space="preserve">AC-Knoten, passive Zweige, Transformatoren, Limits, Metadaten</w:t>
            </w:r>
          </w:p>
        </w:tc>
        <w:tc>
          <w:tcPr/>
          <w:p>
            <w:pPr>
              <w:pStyle w:val="Compact"/>
              <w:jc w:val="left"/>
            </w:pPr>
            <w:r>
              <w:t xml:space="preserve">Inseln, Reaktanzen, Basen</w:t>
            </w:r>
          </w:p>
        </w:tc>
      </w:tr>
      <w:tr>
        <w:tc>
          <w:tcPr/>
          <w:p>
            <w:pPr>
              <w:pStyle w:val="Compact"/>
              <w:jc w:val="left"/>
            </w:pPr>
            <w:r>
              <w:rPr>
                <w:rStyle w:val="VerbatimChar"/>
              </w:rPr>
              <w:t xml:space="preserve">full_dispatch</w:t>
            </w:r>
          </w:p>
        </w:tc>
        <w:tc>
          <w:tcPr/>
          <w:p>
            <w:pPr>
              <w:pStyle w:val="Compact"/>
              <w:jc w:val="left"/>
            </w:pPr>
            <w:r>
              <w:t xml:space="preserve">MW je Technologie/Knoten/Stunde</w:t>
            </w:r>
          </w:p>
        </w:tc>
        <w:tc>
          <w:tcPr/>
          <w:p>
            <w:pPr>
              <w:pStyle w:val="Compact"/>
              <w:jc w:val="left"/>
            </w:pPr>
            <w:r>
              <w:t xml:space="preserve">Balance je Insel</w:t>
            </w:r>
          </w:p>
        </w:tc>
      </w:tr>
      <w:tr>
        <w:tc>
          <w:tcPr/>
          <w:p>
            <w:pPr>
              <w:pStyle w:val="Compact"/>
              <w:jc w:val="left"/>
            </w:pPr>
            <w:r>
              <w:rPr>
                <w:rStyle w:val="VerbatimChar"/>
              </w:rPr>
              <w:t xml:space="preserve">res_load</w:t>
            </w:r>
          </w:p>
        </w:tc>
        <w:tc>
          <w:tcPr/>
          <w:p>
            <w:pPr>
              <w:pStyle w:val="Compact"/>
              <w:jc w:val="left"/>
            </w:pPr>
            <w:r>
              <w:t xml:space="preserve">Verfügbarkeit und Last, kein impliziter Dispatch</w:t>
            </w:r>
          </w:p>
        </w:tc>
        <w:tc>
          <w:tcPr/>
          <w:p>
            <w:pPr>
              <w:pStyle w:val="Compact"/>
              <w:jc w:val="left"/>
            </w:pPr>
            <w:r>
              <w:t xml:space="preserve">definierte</w:t>
            </w:r>
            <w:r>
              <w:t xml:space="preserve"> </w:t>
            </w:r>
            <m:oMath>
              <m:r>
                <m:t>w</m:t>
              </m:r>
            </m:oMath>
          </w:p>
        </w:tc>
      </w:tr>
      <w:tr>
        <w:tc>
          <w:tcPr/>
          <w:p>
            <w:pPr>
              <w:pStyle w:val="Compact"/>
              <w:jc w:val="left"/>
            </w:pPr>
            <w:r>
              <w:rPr>
                <w:rStyle w:val="VerbatimChar"/>
              </w:rPr>
              <w:t xml:space="preserve">busmap_A</w:t>
            </w:r>
            <w:r>
              <w:t xml:space="preserve">,</w:t>
            </w:r>
            <w:r>
              <w:t xml:space="preserve"> </w:t>
            </w:r>
            <w:r>
              <w:rPr>
                <w:rStyle w:val="VerbatimChar"/>
              </w:rPr>
              <w:t xml:space="preserve">busmap_B</w:t>
            </w:r>
          </w:p>
        </w:tc>
        <w:tc>
          <w:tcPr/>
          <w:p>
            <w:pPr>
              <w:pStyle w:val="Compact"/>
              <w:jc w:val="left"/>
            </w:pPr>
            <w:r>
              <w:t xml:space="preserve">eindeutige ID→Zonen-ID</w:t>
            </w:r>
          </w:p>
        </w:tc>
        <w:tc>
          <w:tcPr/>
          <w:p>
            <w:pPr>
              <w:pStyle w:val="Compact"/>
              <w:jc w:val="left"/>
            </w:pPr>
            <w:r>
              <w:t xml:space="preserve">Konnektivität, Zonenanzahl</w:t>
            </w:r>
          </w:p>
        </w:tc>
      </w:tr>
      <w:tr>
        <w:tc>
          <w:tcPr/>
          <w:p>
            <w:pPr>
              <w:pStyle w:val="Compact"/>
              <w:jc w:val="left"/>
            </w:pPr>
            <w:r>
              <w:rPr>
                <w:rStyle w:val="VerbatimChar"/>
              </w:rPr>
              <w:t xml:space="preserve">operators</w:t>
            </w:r>
          </w:p>
        </w:tc>
        <w:tc>
          <w:tcPr/>
          <w:p>
            <w:pPr>
              <w:pStyle w:val="Compact"/>
              <w:jc w:val="left"/>
            </w:pPr>
            <m:oMath>
              <m:r>
                <m:t>P</m:t>
              </m:r>
              <m:r>
                <m:rPr>
                  <m:sty m:val="p"/>
                </m:rPr>
                <m:t>,</m:t>
              </m:r>
              <m:r>
                <m:t>Γ</m:t>
              </m:r>
              <m:r>
                <m:rPr>
                  <m:sty m:val="p"/>
                </m:rPr>
                <m:t>,</m:t>
              </m:r>
              <m:sSub>
                <m:e>
                  <m:r>
                    <m:t>A</m:t>
                  </m:r>
                </m:e>
                <m:sub>
                  <m:r>
                    <m:t>z</m:t>
                  </m:r>
                </m:sub>
              </m:sSub>
            </m:oMath>
            <w:r>
              <w:t xml:space="preserve">, orientierte Zweigsets</w:t>
            </w:r>
          </w:p>
        </w:tc>
        <w:tc>
          <w:tcPr/>
          <w:p>
            <w:pPr>
              <w:pStyle w:val="Compact"/>
              <w:jc w:val="left"/>
            </w:pPr>
            <m:oMath>
              <m:sSub>
                <m:e>
                  <m:r>
                    <m:t>A</m:t>
                  </m:r>
                </m:e>
                <m:sub>
                  <m:r>
                    <m:t>z</m:t>
                  </m:r>
                </m:sub>
              </m:sSub>
              <m:r>
                <m:t>Γ</m:t>
              </m:r>
              <m:r>
                <m:rPr>
                  <m:sty m:val="p"/>
                </m:rPr>
                <m:t>=</m:t>
              </m:r>
              <m:r>
                <m:t>P</m:t>
              </m:r>
              <m:sSub>
                <m:e>
                  <m:r>
                    <m:t>A</m:t>
                  </m:r>
                </m:e>
                <m:sub>
                  <m:r>
                    <m:t>d</m:t>
                  </m:r>
                </m:sub>
              </m:sSub>
            </m:oMath>
          </w:p>
        </w:tc>
      </w:tr>
      <w:tr>
        <w:tc>
          <w:tcPr/>
          <w:p>
            <w:pPr>
              <w:pStyle w:val="Compact"/>
              <w:jc w:val="left"/>
            </w:pPr>
            <w:r>
              <w:rPr>
                <w:rStyle w:val="VerbatimChar"/>
              </w:rPr>
              <w:t xml:space="preserve">reference_R</w:t>
            </w:r>
          </w:p>
        </w:tc>
        <w:tc>
          <w:tcPr/>
          <w:p>
            <w:pPr>
              <w:pStyle w:val="Compact"/>
              <w:jc w:val="left"/>
            </w:pPr>
            <m:oMath>
              <m:sSub>
                <m:e>
                  <m:r>
                    <m:t>R</m:t>
                  </m:r>
                </m:e>
                <m:sub>
                  <m:r>
                    <m:t>k</m:t>
                  </m:r>
                </m:sub>
              </m:sSub>
            </m:oMath>
            <w:r>
              <w:t xml:space="preserve">, Kosten,</w:t>
            </w:r>
            <w:r>
              <w:t xml:space="preserve"> </w:t>
            </w:r>
            <m:oMath>
              <m:sSub>
                <m:e>
                  <m:r>
                    <m:t>R</m:t>
                  </m:r>
                </m:e>
                <m:sub>
                  <m:r>
                    <m:t>0</m:t>
                  </m:r>
                </m:sub>
              </m:sSub>
            </m:oMath>
            <w:r>
              <w:t xml:space="preserve">, GSK getrennt</w:t>
            </w:r>
          </w:p>
        </w:tc>
        <w:tc>
          <w:tcPr/>
          <w:p>
            <w:pPr>
              <w:pStyle w:val="Compact"/>
              <w:jc w:val="left"/>
            </w:pPr>
            <m:oMath>
              <m:r>
                <m:t>P</m:t>
              </m:r>
              <m:r>
                <m:t>R</m:t>
              </m:r>
              <m:r>
                <m:rPr>
                  <m:sty m:val="p"/>
                </m:rPr>
                <m:t>=</m:t>
              </m:r>
              <m:r>
                <m:t>I</m:t>
              </m:r>
            </m:oMath>
          </w:p>
        </w:tc>
      </w:tr>
      <w:tr>
        <w:tc>
          <w:tcPr/>
          <w:p>
            <w:pPr>
              <w:pStyle w:val="Compact"/>
              <w:jc w:val="left"/>
            </w:pPr>
            <w:r>
              <w:rPr>
                <w:rStyle w:val="VerbatimChar"/>
              </w:rPr>
              <w:t xml:space="preserve">equivalent</w:t>
            </w:r>
          </w:p>
        </w:tc>
        <w:tc>
          <w:tcPr/>
          <w:p>
            <w:pPr>
              <w:pStyle w:val="Compact"/>
              <w:jc w:val="left"/>
            </w:pPr>
            <m:oMath>
              <m:r>
                <m:t>x</m:t>
              </m:r>
              <m:r>
                <m:rPr>
                  <m:sty m:val="p"/>
                </m:rPr>
                <m:t>,</m:t>
              </m:r>
              <m:sSup>
                <m:e>
                  <m:r>
                    <m:t>c</m:t>
                  </m:r>
                </m:e>
                <m:sup>
                  <m:r>
                    <m:t>0</m:t>
                  </m:r>
                </m:sup>
              </m:sSup>
            </m:oMath>
            <w:r>
              <w:t xml:space="preserve">, Trainingsscope</w:t>
            </w:r>
          </w:p>
        </w:tc>
        <w:tc>
          <w:tcPr/>
          <w:p>
            <w:pPr>
              <w:pStyle w:val="Compact"/>
              <w:jc w:val="left"/>
            </w:pPr>
            <w:r>
              <w:t xml:space="preserve">positive</w:t>
            </w:r>
            <w:r>
              <w:t xml:space="preserve"> </w:t>
            </w:r>
            <m:oMath>
              <m:r>
                <m:t>x</m:t>
              </m:r>
            </m:oMath>
            <w:r>
              <w:t xml:space="preserve">, KVL-Korrektur</w:t>
            </w:r>
          </w:p>
        </w:tc>
      </w:tr>
      <w:tr>
        <w:tc>
          <w:tcPr/>
          <w:p>
            <w:pPr>
              <w:pStyle w:val="Compact"/>
              <w:jc w:val="left"/>
            </w:pPr>
            <w:r>
              <w:rPr>
                <w:rStyle w:val="VerbatimChar"/>
              </w:rPr>
              <w:t xml:space="preserve">security</w:t>
            </w:r>
          </w:p>
        </w:tc>
        <w:tc>
          <w:tcPr/>
          <w:p>
            <w:pPr>
              <w:pStyle w:val="Compact"/>
              <w:jc w:val="left"/>
            </w:pPr>
            <w:r>
              <w:t xml:space="preserve">Outage-/CNEC-Liste, Limitbasis,</w:t>
            </w:r>
            <w:r>
              <w:t xml:space="preserve"> </w:t>
            </w:r>
            <m:oMath>
              <m:r>
                <m:t>K</m:t>
              </m:r>
              <m:r>
                <m:rPr>
                  <m:sty m:val="p"/>
                </m:rPr>
                <m:t>,</m:t>
              </m:r>
              <m:r>
                <m:t>D</m:t>
              </m:r>
            </m:oMath>
          </w:p>
        </w:tc>
        <w:tc>
          <w:tcPr/>
          <w:p>
            <w:pPr>
              <w:pStyle w:val="Compact"/>
              <w:jc w:val="left"/>
            </w:pPr>
            <w:r>
              <w:t xml:space="preserve">Inseln, N-1-Quervergleich</w:t>
            </w:r>
          </w:p>
        </w:tc>
      </w:tr>
      <w:tr>
        <w:tc>
          <w:tcPr/>
          <w:p>
            <w:pPr>
              <w:pStyle w:val="Compact"/>
              <w:jc w:val="left"/>
            </w:pPr>
            <w:r>
              <w:rPr>
                <w:rStyle w:val="VerbatimChar"/>
              </w:rPr>
              <w:t xml:space="preserve">capacities</w:t>
            </w:r>
          </w:p>
        </w:tc>
        <w:tc>
          <w:tcPr/>
          <w:p>
            <w:pPr>
              <w:pStyle w:val="Compact"/>
              <w:jc w:val="left"/>
            </w:pPr>
            <w:r>
              <w:t xml:space="preserve">K1 vier saisonale Werte, K2/K3 getrennt</w:t>
            </w:r>
          </w:p>
        </w:tc>
        <w:tc>
          <w:tcPr/>
          <w:p>
            <w:pPr>
              <w:pStyle w:val="Compact"/>
              <w:jc w:val="left"/>
            </w:pPr>
            <w:r>
              <w:t xml:space="preserve">Statistik und Validität</w:t>
            </w:r>
          </w:p>
        </w:tc>
      </w:tr>
      <w:tr>
        <w:tc>
          <w:tcPr/>
          <w:p>
            <w:pPr>
              <w:pStyle w:val="Compact"/>
              <w:jc w:val="left"/>
            </w:pPr>
            <w:r>
              <w:rPr>
                <w:rStyle w:val="VerbatimChar"/>
              </w:rPr>
              <w:t xml:space="preserve">reports</w:t>
            </w:r>
          </w:p>
        </w:tc>
        <w:tc>
          <w:tcPr/>
          <w:p>
            <w:pPr>
              <w:pStyle w:val="Compact"/>
              <w:jc w:val="left"/>
            </w:pPr>
            <w:r>
              <w:t xml:space="preserve">Quellen/Hashes, Metriken, PASS/FAIL</w:t>
            </w:r>
          </w:p>
        </w:tc>
        <w:tc>
          <w:tcPr/>
          <w:p>
            <w:pPr>
              <w:pStyle w:val="Compact"/>
              <w:jc w:val="left"/>
            </w:pPr>
            <w:r>
              <w:t xml:space="preserve">auditierbar</w:t>
            </w:r>
          </w:p>
        </w:tc>
      </w:tr>
    </w:tbl>
    <w:p>
      <w:pPr>
        <w:pStyle w:val="BodyText"/>
      </w:pPr>
      <w:r>
        <w:t xml:space="preserve">Empfohlenes Manifestformat pro Experiment:</w:t>
      </w:r>
      <w:r>
        <w:t xml:space="preserve"> </w:t>
      </w:r>
      <w:r>
        <w:rPr>
          <w:rStyle w:val="VerbatimChar"/>
        </w:rPr>
        <w:t xml:space="preserve">dataset_hash</w:t>
      </w:r>
      <w:r>
        <w:t xml:space="preserve">,</w:t>
      </w:r>
      <w:r>
        <w:t xml:space="preserve"> </w:t>
      </w:r>
      <w:r>
        <w:rPr>
          <w:rStyle w:val="VerbatimChar"/>
        </w:rPr>
        <w:t xml:space="preserve">pypsa_version</w:t>
      </w:r>
      <w:r>
        <w:t xml:space="preserve">,</w:t>
      </w:r>
      <w:r>
        <w:t xml:space="preserve"> </w:t>
      </w:r>
      <w:r>
        <w:rPr>
          <w:rStyle w:val="VerbatimChar"/>
        </w:rPr>
        <w:t xml:space="preserve">scenario_id</w:t>
      </w:r>
      <w:r>
        <w:t xml:space="preserve">,</w:t>
      </w:r>
      <w:r>
        <w:t xml:space="preserve"> </w:t>
      </w:r>
      <w:r>
        <w:rPr>
          <w:rStyle w:val="VerbatimChar"/>
        </w:rPr>
        <w:t xml:space="preserve">weather_year</w:t>
      </w:r>
      <w:r>
        <w:t xml:space="preserve">,</w:t>
      </w:r>
      <w:r>
        <w:t xml:space="preserve"> </w:t>
      </w:r>
      <w:r>
        <w:rPr>
          <w:rStyle w:val="VerbatimChar"/>
        </w:rPr>
        <w:t xml:space="preserve">busmap_id</w:t>
      </w:r>
      <w:r>
        <w:t xml:space="preserve">,</w:t>
      </w:r>
      <w:r>
        <w:t xml:space="preserve"> </w:t>
      </w:r>
      <w:r>
        <w:rPr>
          <w:rStyle w:val="VerbatimChar"/>
        </w:rPr>
        <w:t xml:space="preserve">reference_method</w:t>
      </w:r>
      <w:r>
        <w:t xml:space="preserve">,</w:t>
      </w:r>
      <w:r>
        <w:t xml:space="preserve"> </w:t>
      </w:r>
      <w:r>
        <w:rPr>
          <w:rStyle w:val="VerbatimChar"/>
        </w:rPr>
        <w:t xml:space="preserve">random_seed</w:t>
      </w:r>
      <w:r>
        <w:t xml:space="preserve">,</w:t>
      </w:r>
      <w:r>
        <w:t xml:space="preserve"> </w:t>
      </w:r>
      <w:r>
        <w:rPr>
          <w:rStyle w:val="VerbatimChar"/>
        </w:rPr>
        <w:t xml:space="preserve">solver</w:t>
      </w:r>
      <w:r>
        <w:t xml:space="preserve">,</w:t>
      </w:r>
      <w:r>
        <w:t xml:space="preserve"> </w:t>
      </w:r>
      <w:r>
        <w:rPr>
          <w:rStyle w:val="VerbatimChar"/>
        </w:rPr>
        <w:t xml:space="preserve">outage_set</w:t>
      </w:r>
      <w:r>
        <w:t xml:space="preserve">,</w:t>
      </w:r>
      <w:r>
        <w:t xml:space="preserve"> </w:t>
      </w:r>
      <w:r>
        <w:rPr>
          <w:rStyle w:val="VerbatimChar"/>
        </w:rPr>
        <w:t xml:space="preserve">limit_convention</w:t>
      </w:r>
      <w:r>
        <w:t xml:space="preserve">,</w:t>
      </w:r>
      <w:r>
        <w:t xml:space="preserve"> </w:t>
      </w:r>
      <w:r>
        <w:rPr>
          <w:rStyle w:val="VerbatimChar"/>
        </w:rPr>
        <w:t xml:space="preserve">calibration_snapshots</w:t>
      </w:r>
      <w:r>
        <w:t xml:space="preserve">,</w:t>
      </w:r>
      <w:r>
        <w:t xml:space="preserve"> </w:t>
      </w:r>
      <w:r>
        <w:rPr>
          <w:rStyle w:val="VerbatimChar"/>
        </w:rPr>
        <w:t xml:space="preserve">test_snapshots</w:t>
      </w:r>
      <w:r>
        <w:t xml:space="preserve">. Diese Felder verhindern eine unbemerkte Vermischung mathematisch inkompatibler Versuche.</w:t>
      </w:r>
    </w:p>
    <w:bookmarkEnd w:id="49"/>
    <w:bookmarkStart w:id="55" w:name="Xe9890d72ba20d1021212c20601f14dc07986b31"/>
    <w:p>
      <w:pPr>
        <w:pStyle w:val="Heading1"/>
      </w:pPr>
      <w:r>
        <w:t xml:space="preserve">9. Reproduzierbarer Versuchsaufbau und Testhierarchie</w:t>
      </w:r>
    </w:p>
    <w:bookmarkStart w:id="50" w:name="ebene-p0-mathematischer-kern"/>
    <w:p>
      <w:pPr>
        <w:pStyle w:val="Heading2"/>
      </w:pPr>
      <w:r>
        <w:t xml:space="preserve">9.1 Ebene P0 — mathematischer Kern</w:t>
      </w:r>
    </w:p>
    <w:p>
      <w:pPr>
        <w:pStyle w:val="FirstParagraph"/>
      </w:pPr>
      <w:r>
        <w:t xml:space="preserve">Ein kleines synthetisches AC-DC-Netz mit Vermaschung und kontrollierter Busmap wird in NumPy/SciPy getestet: KCL/KVL, PTDF, LODF und duale LODF, Woodbury gegen direkte Faktorisierung,</w:t>
      </w:r>
      <w:r>
        <w:t xml:space="preserve"> </w:t>
      </w:r>
      <m:oMath>
        <m:sSub>
          <m:e>
            <m:r>
              <m:t>A</m:t>
            </m:r>
          </m:e>
          <m:sub>
            <m:r>
              <m:t>z</m:t>
            </m:r>
          </m:sub>
        </m:sSub>
        <m:r>
          <m:t>Γ</m:t>
        </m:r>
        <m:r>
          <m:rPr>
            <m:sty m:val="p"/>
          </m:rPr>
          <m:t>=</m:t>
        </m:r>
        <m:r>
          <m:t>P</m:t>
        </m:r>
        <m:sSub>
          <m:e>
            <m:r>
              <m:t>A</m:t>
            </m:r>
          </m:e>
          <m:sub>
            <m:r>
              <m:t>d</m:t>
            </m:r>
          </m:sub>
        </m:sSub>
      </m:oMath>
      <w:r>
        <w:t xml:space="preserve">,</w:t>
      </w:r>
      <w:r>
        <w:t xml:space="preserve"> </w:t>
      </w:r>
      <m:oMath>
        <m:r>
          <m:t>P</m:t>
        </m:r>
        <m:r>
          <m:t>R</m:t>
        </m:r>
        <m:r>
          <m:rPr>
            <m:sty m:val="p"/>
          </m:rPr>
          <m:t>=</m:t>
        </m:r>
        <m:r>
          <m:t>I</m:t>
        </m:r>
      </m:oMath>
      <w:r>
        <w:t xml:space="preserve">,</w:t>
      </w:r>
      <w:r>
        <w:t xml:space="preserve"> </w:t>
      </w:r>
      <m:oMath>
        <m:sSub>
          <m:e>
            <m:r>
              <m:t>A</m:t>
            </m:r>
          </m:e>
          <m:sub>
            <m:r>
              <m:t>z</m:t>
            </m:r>
          </m:sub>
        </m:sSub>
        <m:sSup>
          <m:e>
            <m:r>
              <m:t>c</m:t>
            </m:r>
          </m:e>
          <m:sup>
            <m:r>
              <m:t>0</m:t>
            </m:r>
          </m:sup>
        </m:sSup>
        <m:r>
          <m:rPr>
            <m:sty m:val="p"/>
          </m:rPr>
          <m:t>=</m:t>
        </m:r>
        <m:r>
          <m:t>0</m:t>
        </m:r>
      </m:oMath>
      <w:r>
        <w:t xml:space="preserve"> </w:t>
      </w:r>
      <w:r>
        <w:t xml:space="preserve">sowie Bilaterallimits gegen explizite N-1-Sweeps. Brückenausfälle und Baumzonennetze müssen explizit fehlschlagen oder als nicht identifizierbar/sonderbehandelt markiert werden.</w:t>
      </w:r>
    </w:p>
    <w:bookmarkEnd w:id="50"/>
    <w:bookmarkStart w:id="51" w:name="ebene-p1-pypsa-adapter"/>
    <w:p>
      <w:pPr>
        <w:pStyle w:val="Heading2"/>
      </w:pPr>
      <w:r>
        <w:t xml:space="preserve">9.2 Ebene P1 — PyPSA-Adapter</w:t>
      </w:r>
    </w:p>
    <w:p>
      <w:pPr>
        <w:pStyle w:val="FirstParagraph"/>
      </w:pPr>
      <w:r>
        <w:t xml:space="preserve">Auf einem kleinen echten PyPSA-</w:t>
      </w:r>
      <w:r>
        <w:rPr>
          <w:rStyle w:val="VerbatimChar"/>
        </w:rPr>
        <w:t xml:space="preserve">Network</w:t>
      </w:r>
      <w:r>
        <w:t xml:space="preserve"> </w:t>
      </w:r>
      <w:r>
        <w:t xml:space="preserve">muss geprüft werden, ob die selbst erzeugte PTDF/LODF und der Adapter numerisch dieselben Flüsse liefern wie</w:t>
      </w:r>
      <w:r>
        <w:t xml:space="preserve"> </w:t>
      </w:r>
      <w:r>
        <w:rPr>
          <w:rStyle w:val="VerbatimChar"/>
        </w:rPr>
        <w:t xml:space="preserve">n.lpf()</w:t>
      </w:r>
      <w:r>
        <w:t xml:space="preserve"> </w:t>
      </w:r>
      <w:r>
        <w:t xml:space="preserve">sowie</w:t>
      </w:r>
      <w:r>
        <w:t xml:space="preserve"> </w:t>
      </w:r>
      <w:r>
        <w:rPr>
          <w:rStyle w:val="VerbatimChar"/>
        </w:rPr>
        <w:t xml:space="preserve">calculate_PTDF()</w:t>
      </w:r>
      <w:r>
        <w:t xml:space="preserve"> </w:t>
      </w:r>
      <w:r>
        <w:t xml:space="preserve">und</w:t>
      </w:r>
      <w:r>
        <w:t xml:space="preserve"> </w:t>
      </w:r>
      <w:r>
        <w:rPr>
          <w:rStyle w:val="VerbatimChar"/>
        </w:rPr>
        <w:t xml:space="preserve">calculate_BODF()</w:t>
      </w:r>
      <w:r>
        <w:t xml:space="preserve">. Erst danach dürfen AC-Transformatoren und Sondergeräte zugeschaltet werden. Da PyPSA hier nicht verfügbar ist, bleibt</w:t>
      </w:r>
      <w:r>
        <w:t xml:space="preserve"> </w:t>
      </w:r>
      <w:r>
        <w:rPr>
          <w:b/>
          <w:bCs/>
        </w:rPr>
        <w:t xml:space="preserve">P1 offen</w:t>
      </w:r>
      <w:r>
        <w:t xml:space="preserve">.</w:t>
      </w:r>
    </w:p>
    <w:bookmarkEnd w:id="51"/>
    <w:bookmarkStart w:id="52" w:name="ebene-p2-referenznetz-mit-zeitreihen"/>
    <w:p>
      <w:pPr>
        <w:pStyle w:val="Heading2"/>
      </w:pPr>
      <w:r>
        <w:t xml:space="preserve">9.3 Ebene P2 — Referenznetz mit Zeitreihen</w:t>
      </w:r>
    </w:p>
    <w:p>
      <w:pPr>
        <w:pStyle w:val="FirstParagraph"/>
      </w:pPr>
      <w:r>
        <w:t xml:space="preserve">Ein versionierter PyPSA-Eur-/ENTSO-E-naher Datensatz mit ausreichender Detailtiefe und echten Szenarien liefert eine belastbare Bewertung der Methoden A/B. Eine reine topologische Demo mit wenigen zufälligen Stunden kann keine Aussage zur realen IoSN-Kapazität liefern. Die gleiche Originaltopologie wird für alle Methoden beibehalten. Wetterjahre werden in Trainings- und unabhängige Testsegmente getrennt.</w:t>
      </w:r>
    </w:p>
    <w:bookmarkEnd w:id="52"/>
    <w:bookmarkStart w:id="53" w:name="Xdbf2bf785b9bf1b5de46ec416b184db0cd02d62"/>
    <w:p>
      <w:pPr>
        <w:pStyle w:val="Heading2"/>
      </w:pPr>
      <w:r>
        <w:t xml:space="preserve">9.4 Ebene P3 — langfristige Planungsvalidierung</w:t>
      </w:r>
    </w:p>
    <w:p>
      <w:pPr>
        <w:pStyle w:val="FirstParagraph"/>
      </w:pPr>
      <w:r>
        <w:t xml:space="preserve">Ein zonales LF-/OPF-/Netzausbauproblem wird sowohl mit IoSN-nahen K1-Grenzen als auch mit K2-/K3-Sicherheitskontrollen ausgeführt; seine Ergebnisse werden nach Bedarf mit detaillierter Rückprojektion geprüft. Abschnitt 3.9 [E1] unterscheidet LF-Ausbauoptimierung und nachgelagerte netzbeschränkte Bewertungen;</w:t>
      </w:r>
      <w:r>
        <w:t xml:space="preserve"> </w:t>
      </w:r>
      <w:r>
        <w:rPr>
          <w:b/>
          <w:bCs/>
        </w:rPr>
        <w:t xml:space="preserve">die Aktivierung der inneren Grenzen pro Modus wird explizit festgelegt</w:t>
      </w:r>
      <w:r>
        <w:t xml:space="preserve">, zumal der Text selbst bei „interzone capacities“ nicht vollständig eindeutig ist.</w:t>
      </w:r>
    </w:p>
    <w:bookmarkEnd w:id="53"/>
    <w:bookmarkStart w:id="54" w:name="messgrößen"/>
    <w:p>
      <w:pPr>
        <w:pStyle w:val="Heading2"/>
      </w:pPr>
      <w:r>
        <w:t xml:space="preserve">9.5 Messgrößen</w:t>
      </w:r>
    </w:p>
    <w:p>
      <w:pPr>
        <w:pStyle w:val="Compact"/>
        <w:numPr>
          <w:ilvl w:val="0"/>
          <w:numId w:val="1002"/>
        </w:numPr>
      </w:pPr>
      <w:r>
        <w:t xml:space="preserve">Flussrekonstruktion: linkweiser RMSE, MAE, P95/P99, gewichtete Fehler und kritische Stunden.</w:t>
      </w:r>
    </w:p>
    <w:p>
      <w:pPr>
        <w:pStyle w:val="Compact"/>
        <w:numPr>
          <w:ilvl w:val="0"/>
          <w:numId w:val="1002"/>
        </w:numPr>
      </w:pPr>
      <w:r>
        <w:t xml:space="preserve">Clustering: erhaltene Überlastungsenergie, abgedecktes Transportvolumen, Fluss-Richtungs-Kompensation, Konnektivität, Stabilität gegen</w:t>
      </w:r>
      <w:r>
        <w:t xml:space="preserve"> </w:t>
      </w:r>
      <m:oMath>
        <m:r>
          <m:t>w</m:t>
        </m:r>
      </m:oMath>
      <w:r>
        <w:t xml:space="preserve">.</w:t>
      </w:r>
    </w:p>
    <w:p>
      <w:pPr>
        <w:pStyle w:val="Compact"/>
        <w:numPr>
          <w:ilvl w:val="0"/>
          <w:numId w:val="1002"/>
        </w:numPr>
      </w:pPr>
      <w:r>
        <w:t xml:space="preserve">Parameter: Rang/Kondition der Empfindlichkeitsmatrix, globale Reaktanzskalierung, Offset-Konsistenz.</w:t>
      </w:r>
    </w:p>
    <w:p>
      <w:pPr>
        <w:pStyle w:val="Compact"/>
        <w:numPr>
          <w:ilvl w:val="0"/>
          <w:numId w:val="1002"/>
        </w:numPr>
      </w:pPr>
      <w:r>
        <w:t xml:space="preserve">Sicherheit: falsch zulässige/falsch unzulässige Zoneneinspeisungen, N-1-Überschreitungen in MW und Zeit, Differenz der K1-K2-K3-Grenzen.</w:t>
      </w:r>
    </w:p>
    <w:p>
      <w:pPr>
        <w:pStyle w:val="Compact"/>
        <w:numPr>
          <w:ilvl w:val="0"/>
          <w:numId w:val="1002"/>
        </w:numPr>
      </w:pPr>
      <w:r>
        <w:t xml:space="preserve">Wirtschaft: Änderungen der Dispatch-/Redispatchkosten, Curtailment, zonalen Preise und Investitionsentscheidungen bei</w:t>
      </w:r>
      <w:r>
        <w:t xml:space="preserve"> </w:t>
      </w:r>
      <w:r>
        <w:rPr>
          <w:i/>
          <w:iCs/>
        </w:rPr>
        <w:t xml:space="preserve">gleichen</w:t>
      </w:r>
      <w:r>
        <w:t xml:space="preserve"> </w:t>
      </w:r>
      <w:r>
        <w:t xml:space="preserve">Rahmenannahmen.</w:t>
      </w:r>
    </w:p>
    <w:p>
      <w:pPr>
        <w:pStyle w:val="Compact"/>
        <w:numPr>
          <w:ilvl w:val="0"/>
          <w:numId w:val="1002"/>
        </w:numPr>
      </w:pPr>
      <w:r>
        <w:t xml:space="preserve">Effizienz: Spitzen-RAM, Laufzeit für Referenzflüsse, PTDF-LODF-Konstruktion, Optimierung und Speicherbedarf.</w:t>
      </w:r>
    </w:p>
    <w:bookmarkEnd w:id="54"/>
    <w:bookmarkEnd w:id="55"/>
    <w:bookmarkStart w:id="58" w:name="X898a9a741d260937b8543ce7d288c28c525830f"/>
    <w:p>
      <w:pPr>
        <w:pStyle w:val="Heading1"/>
      </w:pPr>
      <w:r>
        <w:t xml:space="preserve">10. Softwarepaket: vorhandene und ergänzte Komponenten</w:t>
      </w:r>
    </w:p>
    <w:bookmarkStart w:id="56" w:name="modulare-paketstruktur"/>
    <w:p>
      <w:pPr>
        <w:pStyle w:val="Heading2"/>
      </w:pPr>
      <w:r>
        <w:t xml:space="preserve">10.1 Modulare Paketstruktur</w:t>
      </w:r>
    </w:p>
    <w:p>
      <w:pPr>
        <w:pStyle w:val="SourceCode"/>
      </w:pPr>
      <w:r>
        <w:rPr>
          <w:rStyle w:val="VerbatimChar"/>
        </w:rPr>
        <w:t xml:space="preserve">tyndp_reduce/</w:t>
      </w:r>
      <w:r>
        <w:br/>
      </w:r>
      <w:r>
        <w:rPr>
          <w:rStyle w:val="VerbatimChar"/>
        </w:rPr>
        <w:t xml:space="preserve">  dc.py                   # Detaillierter linearer Referenzfluss</w:t>
      </w:r>
      <w:r>
        <w:br/>
      </w:r>
      <w:r>
        <w:rPr>
          <w:rStyle w:val="VerbatimChar"/>
        </w:rPr>
        <w:t xml:space="preserve">  screening.py            # A/B-Scores</w:t>
      </w:r>
      <w:r>
        <w:br/>
      </w:r>
      <w:r>
        <w:rPr>
          <w:rStyle w:val="VerbatimChar"/>
        </w:rPr>
        <w:t xml:space="preserve">  clustering.py           # Kandidat-Busmaps</w:t>
      </w:r>
      <w:r>
        <w:br/>
      </w:r>
      <w:r>
        <w:rPr>
          <w:rStyle w:val="VerbatimChar"/>
        </w:rPr>
        <w:t xml:space="preserve">  aggregation.py          # P, Gamma, A_z und Bilanz</w:t>
      </w:r>
      <w:r>
        <w:br/>
      </w:r>
      <w:r>
        <w:rPr>
          <w:rStyle w:val="VerbatimChar"/>
        </w:rPr>
        <w:t xml:space="preserve">  distribution.py         # Technologie-/Kostenreferenzen</w:t>
      </w:r>
      <w:r>
        <w:br/>
      </w:r>
      <w:r>
        <w:rPr>
          <w:rStyle w:val="VerbatimChar"/>
        </w:rPr>
        <w:t xml:space="preserve">  equivalent.py           # Ersatzreaktanzen</w:t>
      </w:r>
      <w:r>
        <w:br/>
      </w:r>
      <w:r>
        <w:rPr>
          <w:rStyle w:val="VerbatimChar"/>
        </w:rPr>
        <w:t xml:space="preserve">  offsets.py              # Strukturflussanteile</w:t>
      </w:r>
      <w:r>
        <w:br/>
      </w:r>
      <w:r>
        <w:rPr>
          <w:rStyle w:val="VerbatimChar"/>
        </w:rPr>
        <w:t xml:space="preserve">  security.py             # empirische saisonale K1-Grenzen</w:t>
      </w:r>
      <w:r>
        <w:br/>
      </w:r>
      <w:r>
        <w:rPr>
          <w:rStyle w:val="VerbatimChar"/>
        </w:rPr>
        <w:t xml:space="preserve">  security_projection.py  # analytische K2/K3, duale LODF, Woodbury</w:t>
      </w:r>
      <w:r>
        <w:br/>
      </w:r>
      <w:r>
        <w:rPr>
          <w:rStyle w:val="VerbatimChar"/>
        </w:rPr>
        <w:t xml:space="preserve">  fbmc_bridge.py          # hypothetische GSK-/CNEC-Domain</w:t>
      </w:r>
      <w:r>
        <w:br/>
      </w:r>
      <w:r>
        <w:rPr>
          <w:rStyle w:val="VerbatimChar"/>
        </w:rPr>
        <w:t xml:space="preserve">  pypsa_adapter.py        # optionale reale Netzschnittstelle</w:t>
      </w:r>
    </w:p>
    <w:p>
      <w:pPr>
        <w:pStyle w:val="FirstParagraph"/>
      </w:pPr>
      <w:r>
        <w:t xml:space="preserve">Die Basisbestandteile waren bereits in der vorigen Gesprächsversion als synthetischer Prototyp vorhanden;</w:t>
      </w:r>
      <w:r>
        <w:t xml:space="preserve"> </w:t>
      </w:r>
      <w:r>
        <w:rPr>
          <w:rStyle w:val="VerbatimChar"/>
        </w:rPr>
        <w:t xml:space="preserve">security_projection.py</w:t>
      </w:r>
      <w:r>
        <w:t xml:space="preserve"> </w:t>
      </w:r>
      <w:r>
        <w:t xml:space="preserve">ist eine</w:t>
      </w:r>
      <w:r>
        <w:t xml:space="preserve"> </w:t>
      </w:r>
      <w:r>
        <w:rPr>
          <w:b/>
          <w:bCs/>
        </w:rPr>
        <w:t xml:space="preserve">gezielte Ergänzung dieser Revision</w:t>
      </w:r>
      <w:r>
        <w:t xml:space="preserve">. Der Kern ist bewusst von PyPSA getrennt, damit algebraische Identitäten unabhängig von API-Versionen überprüft werden können.</w:t>
      </w:r>
    </w:p>
    <w:bookmarkEnd w:id="56"/>
    <w:bookmarkStart w:id="57" w:name="ausführung"/>
    <w:p>
      <w:pPr>
        <w:pStyle w:val="Heading2"/>
      </w:pPr>
      <w:r>
        <w:t xml:space="preserve">10.2 Ausführung</w:t>
      </w:r>
    </w:p>
    <w:p>
      <w:pPr>
        <w:pStyle w:val="FirstParagraph"/>
      </w:pPr>
      <w:r>
        <w:t xml:space="preserve">Aus dem entpackten Projektverzeichnis: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'.[test]'</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br/>
      </w:r>
      <w:r>
        <w:rPr>
          <w:rStyle w:val="ExtensionTok"/>
        </w:rPr>
        <w:t xml:space="preserve">python</w:t>
      </w:r>
      <w:r>
        <w:rPr>
          <w:rStyle w:val="NormalTok"/>
        </w:rPr>
        <w:t xml:space="preserve"> run_demo.py </w:t>
      </w:r>
      <w:r>
        <w:rPr>
          <w:rStyle w:val="AttributeTok"/>
        </w:rPr>
        <w:t xml:space="preserve">--output</w:t>
      </w:r>
      <w:r>
        <w:rPr>
          <w:rStyle w:val="NormalTok"/>
        </w:rPr>
        <w:t xml:space="preserve"> outputs</w:t>
      </w:r>
      <w:r>
        <w:br/>
      </w:r>
      <w:r>
        <w:rPr>
          <w:rStyle w:val="ExtensionTok"/>
        </w:rPr>
        <w:t xml:space="preserve">python</w:t>
      </w:r>
      <w:r>
        <w:rPr>
          <w:rStyle w:val="NormalTok"/>
        </w:rPr>
        <w:t xml:space="preserve"> </w:t>
      </w:r>
      <w:r>
        <w:rPr>
          <w:rStyle w:val="AttributeTok"/>
        </w:rPr>
        <w:t xml:space="preserve">-m</w:t>
      </w:r>
      <w:r>
        <w:rPr>
          <w:rStyle w:val="NormalTok"/>
        </w:rPr>
        <w:t xml:space="preserve"> examples.run_security_projection</w:t>
      </w:r>
    </w:p>
    <w:p>
      <w:pPr>
        <w:pStyle w:val="FirstParagraph"/>
      </w:pPr>
      <w:r>
        <w:t xml:space="preserve">Für reale PyPSA-Netze muss die optionale Abhängigkeit installiert und die zugehörige Schnittstelle im Test P1 nachgewiesen werden: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'.[pypsa,test]'</w:t>
      </w:r>
      <w:r>
        <w:br/>
      </w:r>
      <w:r>
        <w:rPr>
          <w:rStyle w:val="ExtensionTok"/>
        </w:rPr>
        <w:t xml:space="preserve">python</w:t>
      </w:r>
      <w:r>
        <w:rPr>
          <w:rStyle w:val="NormalTok"/>
        </w:rPr>
        <w:t xml:space="preserve"> examples/pypsa_real_network.py</w:t>
      </w:r>
    </w:p>
    <w:p>
      <w:pPr>
        <w:pStyle w:val="FirstParagraph"/>
      </w:pPr>
      <w:r>
        <w:t xml:space="preserve">Der letztgenannte Befehl ist</w:t>
      </w:r>
      <w:r>
        <w:t xml:space="preserve"> </w:t>
      </w:r>
      <w:r>
        <w:rPr>
          <w:b/>
          <w:bCs/>
        </w:rPr>
        <w:t xml:space="preserve">nur ein Integrationsbeispiel</w:t>
      </w:r>
      <w:r>
        <w:t xml:space="preserve">. Ohne passendes detailliertes Eingangsschema und vollständige Marktzeitreihen stellt er weder einen IoSN-End-to-End-Lauf noch eine Zertifizierung dar.</w:t>
      </w:r>
    </w:p>
    <w:bookmarkEnd w:id="57"/>
    <w:bookmarkEnd w:id="58"/>
    <w:bookmarkStart w:id="59" w:name="kritische-software--und-methodikrisiken"/>
    <w:p>
      <w:pPr>
        <w:pStyle w:val="Heading1"/>
      </w:pPr>
      <w:r>
        <w:t xml:space="preserve">11. Kritische Software- und Methodikrisiken</w:t>
      </w:r>
    </w:p>
    <w:p>
      <w:pPr>
        <w:pStyle w:val="FirstParagraph"/>
      </w:pPr>
      <w:r>
        <w:rPr>
          <w:b/>
          <w:bCs/>
        </w:rPr>
        <w:t xml:space="preserve">R1: Unvollständige physikalische Modellierung.</w:t>
      </w:r>
      <w:r>
        <w:t xml:space="preserve"> </w:t>
      </w:r>
      <w:r>
        <w:t xml:space="preserve">Standard-Schnittaggregation ignoriert ggf. aktive Transformatoren, PSTs, HVDC-Verluste und Verzweigungen über Spannungsregime. Gegenmaßnahme: component-level preflight, getrennte Ports und deklarierte AC-Inseln.</w:t>
      </w:r>
    </w:p>
    <w:p>
      <w:pPr>
        <w:pStyle w:val="BodyText"/>
      </w:pPr>
      <w:r>
        <w:rPr>
          <w:b/>
          <w:bCs/>
        </w:rPr>
        <w:t xml:space="preserve">R2: Latente Dateninkonsistenzen.</w:t>
      </w:r>
      <w:r>
        <w:t xml:space="preserve"> </w:t>
      </w:r>
      <w:r>
        <w:t xml:space="preserve">Last/RES aus einem Szenario und Grenzen aus einem anderen produzieren formal berechenbare, aber physikalisch wertlose Scores. Gegenmaßnahme: versionierte Rohdaten und Snapshot-Manifest.</w:t>
      </w:r>
    </w:p>
    <w:p>
      <w:pPr>
        <w:pStyle w:val="BodyText"/>
      </w:pPr>
      <w:r>
        <w:rPr>
          <w:b/>
          <w:bCs/>
        </w:rPr>
        <w:t xml:space="preserve">R3: Falsche N-1-Zulässigkeit.</w:t>
      </w:r>
      <w:r>
        <w:t xml:space="preserve"> </w:t>
      </w:r>
      <w:r>
        <w:t xml:space="preserve">Inselnde Outages oder ausgenommene CBCOs werden fälschlich als abgedeckt betrachtet. Gegenmaßnahme: Outage-Status-Ledger und ausdrückliche Behandlung.</w:t>
      </w:r>
    </w:p>
    <w:p>
      <w:pPr>
        <w:pStyle w:val="BodyText"/>
      </w:pPr>
      <w:r>
        <w:rPr>
          <w:b/>
          <w:bCs/>
        </w:rPr>
        <w:t xml:space="preserve">R4: Verwechslung von Referenzen.</w:t>
      </w:r>
      <w:r>
        <w:t xml:space="preserve"> </w:t>
      </w:r>
      <w:r>
        <w:t xml:space="preserve">Vollständiger Dispatch, Merit-Order-Niveauverteilung und marginaler GSK führen zu unterschiedlichen Interpretationen derselben Matrixmultiplikation. Gegenmaßnahme: separate Typen und Tests.</w:t>
      </w:r>
    </w:p>
    <w:p>
      <w:pPr>
        <w:pStyle w:val="BodyText"/>
      </w:pPr>
      <w:r>
        <w:rPr>
          <w:b/>
          <w:bCs/>
        </w:rPr>
        <w:t xml:space="preserve">R5: Verwechslung von Transferlimits.</w:t>
      </w:r>
      <w:r>
        <w:t xml:space="preserve"> </w:t>
      </w:r>
      <w:r>
        <w:t xml:space="preserve">Maximaler bilateraler Transfer wird direkt als unbedingtes Grenzlimit jeder Ersatzleitung eingesetzt. Gegenmaßnahme: K2-Polyeder als Sicherheitsreferenz; K1-Linkgrenzen nur mit Revalidierung.</w:t>
      </w:r>
    </w:p>
    <w:p>
      <w:pPr>
        <w:pStyle w:val="BodyText"/>
      </w:pPr>
      <w:r>
        <w:rPr>
          <w:b/>
          <w:bCs/>
        </w:rPr>
        <w:t xml:space="preserve">R6: Scheingenaue Impedanzen.</w:t>
      </w:r>
      <w:r>
        <w:t xml:space="preserve"> </w:t>
      </w:r>
      <w:r>
        <w:t xml:space="preserve">Baumförmiges Zonennetz oder fehlende Maschenanregung erzeugt kleine Flussfehler und beliebige</w:t>
      </w:r>
      <w:r>
        <w:t xml:space="preserve"> </w:t>
      </w:r>
      <m:oMath>
        <m:r>
          <m:t>x</m:t>
        </m:r>
      </m:oMath>
      <w:r>
        <w:t xml:space="preserve">. Gegenmaßnahme: Identifizierbarkeitsgates und normierte physikalische Priors.</w:t>
      </w:r>
    </w:p>
    <w:p>
      <w:pPr>
        <w:pStyle w:val="BodyText"/>
      </w:pPr>
      <w:r>
        <w:rPr>
          <w:b/>
          <w:bCs/>
        </w:rPr>
        <w:t xml:space="preserve">R7: Überinterpretation synthetischer Ergebnisse.</w:t>
      </w:r>
      <w:r>
        <w:t xml:space="preserve"> </w:t>
      </w:r>
      <w:r>
        <w:t xml:space="preserve">Die bisherigen synthetischen RMSE-Werte können durch die Wahl künstlicher Eingangsdaten umkehren. Gegenmaßnahme: getrennte Realnetzvalidierung; keine Übernahme als IoSN-Evidenz.</w:t>
      </w:r>
    </w:p>
    <w:bookmarkEnd w:id="59"/>
    <w:bookmarkStart w:id="60" w:name="X21e2167dc55a40accddebf7ab3a19fe09ee93c2"/>
    <w:p>
      <w:pPr>
        <w:pStyle w:val="Heading1"/>
      </w:pPr>
      <w:r>
        <w:t xml:space="preserve">12. Fortlaufende IoSN-Compliance-Matrix und Abnahme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IoSN-Anforderung</w:t>
            </w:r>
          </w:p>
        </w:tc>
        <w:tc>
          <w:tcPr/>
          <w:p>
            <w:pPr>
              <w:pStyle w:val="Compact"/>
              <w:jc w:val="left"/>
            </w:pPr>
            <w:r>
              <w:t xml:space="preserve">Gewählter Implementierungspfad</w:t>
            </w:r>
          </w:p>
        </w:tc>
        <w:tc>
          <w:tcPr/>
          <w:p>
            <w:pPr>
              <w:pStyle w:val="Compact"/>
              <w:jc w:val="left"/>
            </w:pPr>
            <w:r>
              <w:t xml:space="preserve">Status</w:t>
            </w:r>
          </w:p>
        </w:tc>
      </w:tr>
      <w:tr>
        <w:tc>
          <w:tcPr/>
          <w:p>
            <w:pPr>
              <w:pStyle w:val="Compact"/>
              <w:jc w:val="left"/>
            </w:pPr>
            <w:r>
              <w:t xml:space="preserve">Überlastungsenergie aus detaillierten Marktsituationen</w:t>
            </w:r>
          </w:p>
        </w:tc>
        <w:tc>
          <w:tcPr/>
          <w:p>
            <w:pPr>
              <w:pStyle w:val="Compact"/>
              <w:jc w:val="left"/>
            </w:pPr>
            <w:r>
              <w:t xml:space="preserve">A /</w:t>
            </w:r>
            <w:r>
              <w:t xml:space="preserve"> </w:t>
            </w:r>
            <w:r>
              <w:rPr>
                <w:rStyle w:val="VerbatimChar"/>
              </w:rPr>
              <w:t xml:space="preserve">screening.py</w:t>
            </w:r>
          </w:p>
        </w:tc>
        <w:tc>
          <w:tcPr/>
          <w:p>
            <w:pPr>
              <w:pStyle w:val="Compact"/>
              <w:jc w:val="left"/>
            </w:pPr>
            <w:r>
              <w:t xml:space="preserve">synthetisch modelliert; Realnetznachweis offen</w:t>
            </w:r>
          </w:p>
        </w:tc>
      </w:tr>
      <w:tr>
        <w:tc>
          <w:tcPr/>
          <w:p>
            <w:pPr>
              <w:pStyle w:val="Compact"/>
              <w:jc w:val="left"/>
            </w:pPr>
            <w:r>
              <w:t xml:space="preserve">Kritische Leitungen an Zonengrenzen</w:t>
            </w:r>
          </w:p>
        </w:tc>
        <w:tc>
          <w:tcPr/>
          <w:p>
            <w:pPr>
              <w:pStyle w:val="Compact"/>
              <w:jc w:val="left"/>
            </w:pPr>
            <w:r>
              <w:rPr>
                <w:rStyle w:val="VerbatimChar"/>
              </w:rPr>
              <w:t xml:space="preserve">clustering.py</w:t>
            </w:r>
            <w:r>
              <w:t xml:space="preserve">, Topologie-Gates</w:t>
            </w:r>
          </w:p>
        </w:tc>
        <w:tc>
          <w:tcPr/>
          <w:p>
            <w:pPr>
              <w:pStyle w:val="Compact"/>
              <w:jc w:val="left"/>
            </w:pPr>
            <w:r>
              <w:t xml:space="preserve">Heuristik vorhanden; Qualitätsziel offen</w:t>
            </w:r>
          </w:p>
        </w:tc>
      </w:tr>
      <w:tr>
        <w:tc>
          <w:tcPr/>
          <w:p>
            <w:pPr>
              <w:pStyle w:val="Compact"/>
              <w:jc w:val="left"/>
            </w:pPr>
            <w:r>
              <w:t xml:space="preserve">Synchrone Flussmuster und Konnektivität</w:t>
            </w:r>
          </w:p>
        </w:tc>
        <w:tc>
          <w:tcPr/>
          <w:p>
            <w:pPr>
              <w:pStyle w:val="Compact"/>
              <w:jc w:val="left"/>
            </w:pPr>
            <w:r>
              <w:rPr>
                <w:rStyle w:val="VerbatimChar"/>
              </w:rPr>
              <w:t xml:space="preserve">clustering.py</w:t>
            </w:r>
            <w:r>
              <w:t xml:space="preserve">, Diagnose</w:t>
            </w:r>
          </w:p>
        </w:tc>
        <w:tc>
          <w:tcPr/>
          <w:p>
            <w:pPr>
              <w:pStyle w:val="Compact"/>
              <w:jc w:val="left"/>
            </w:pPr>
            <w:r>
              <w:t xml:space="preserve">Basistests; Realnetz offen</w:t>
            </w:r>
          </w:p>
        </w:tc>
      </w:tr>
      <w:tr>
        <w:tc>
          <w:tcPr/>
          <w:p>
            <w:pPr>
              <w:pStyle w:val="Compact"/>
              <w:jc w:val="left"/>
            </w:pPr>
            <w:r>
              <w:t xml:space="preserve">ca. 100 / spezifisch 102 Zonen in IoSN</w:t>
            </w:r>
          </w:p>
        </w:tc>
        <w:tc>
          <w:tcPr/>
          <w:p>
            <w:pPr>
              <w:pStyle w:val="Compact"/>
              <w:jc w:val="left"/>
            </w:pPr>
            <w:r>
              <w:t xml:space="preserve">konfigurierbares</w:t>
            </w:r>
            <w:r>
              <w:t xml:space="preserve"> </w:t>
            </w:r>
            <m:oMath>
              <m:r>
                <m:t>Z</m:t>
              </m:r>
            </m:oMath>
            <w:r>
              <w:t xml:space="preserve">, Länderbudgets</w:t>
            </w:r>
          </w:p>
        </w:tc>
        <w:tc>
          <w:tcPr/>
          <w:p>
            <w:pPr>
              <w:pStyle w:val="Compact"/>
              <w:jc w:val="left"/>
            </w:pPr>
            <w:r>
              <w:t xml:space="preserve">derzeit Demo, nicht IoSN-102</w:t>
            </w:r>
          </w:p>
        </w:tc>
      </w:tr>
      <w:tr>
        <w:tc>
          <w:tcPr/>
          <w:p>
            <w:pPr>
              <w:pStyle w:val="Compact"/>
              <w:jc w:val="left"/>
            </w:pPr>
            <w:r>
              <w:t xml:space="preserve">Aus Flüssen kalibrierte Ersatzimpedanzen</w:t>
            </w:r>
          </w:p>
        </w:tc>
        <w:tc>
          <w:tcPr/>
          <w:p>
            <w:pPr>
              <w:pStyle w:val="Compact"/>
              <w:jc w:val="left"/>
            </w:pPr>
            <w:r>
              <w:rPr>
                <w:rStyle w:val="VerbatimChar"/>
              </w:rPr>
              <w:t xml:space="preserve">equivalent.py</w:t>
            </w:r>
          </w:p>
        </w:tc>
        <w:tc>
          <w:tcPr/>
          <w:p>
            <w:pPr>
              <w:pStyle w:val="Compact"/>
              <w:jc w:val="left"/>
            </w:pPr>
            <w:r>
              <w:t xml:space="preserve">synthetisch; reale PyPSA-Anbindung offen</w:t>
            </w:r>
          </w:p>
        </w:tc>
      </w:tr>
      <w:tr>
        <w:tc>
          <w:tcPr/>
          <w:p>
            <w:pPr>
              <w:pStyle w:val="Compact"/>
              <w:jc w:val="left"/>
            </w:pPr>
            <w:r>
              <w:t xml:space="preserve">No-Load-Flows als Modellrestriktionen</w:t>
            </w:r>
          </w:p>
        </w:tc>
        <w:tc>
          <w:tcPr/>
          <w:p>
            <w:pPr>
              <w:pStyle w:val="Compact"/>
              <w:jc w:val="left"/>
            </w:pPr>
            <w:r>
              <w:rPr>
                <w:rStyle w:val="VerbatimChar"/>
              </w:rPr>
              <w:t xml:space="preserve">offsets.py</w:t>
            </w:r>
            <w:r>
              <w:t xml:space="preserve"> </w:t>
            </w:r>
            <w:r>
              <w:t xml:space="preserve">plus Linopy-Adapter</w:t>
            </w:r>
          </w:p>
        </w:tc>
        <w:tc>
          <w:tcPr/>
          <w:p>
            <w:pPr>
              <w:pStyle w:val="Compact"/>
              <w:jc w:val="left"/>
            </w:pPr>
            <w:r>
              <w:t xml:space="preserve">Berechnung vorhanden; produktive Kopplung offen</w:t>
            </w:r>
          </w:p>
        </w:tc>
      </w:tr>
      <w:tr>
        <w:tc>
          <w:tcPr/>
          <w:p>
            <w:pPr>
              <w:pStyle w:val="Compact"/>
              <w:jc w:val="left"/>
            </w:pPr>
            <w:r>
              <w:t xml:space="preserve">Vier saison-/richtungsabhängige N-1-Kapazitäten</w:t>
            </w:r>
          </w:p>
        </w:tc>
        <w:tc>
          <w:tcPr/>
          <w:p>
            <w:pPr>
              <w:pStyle w:val="Compact"/>
              <w:jc w:val="left"/>
            </w:pPr>
            <w:r>
              <w:rPr>
                <w:rStyle w:val="VerbatimChar"/>
              </w:rPr>
              <w:t xml:space="preserve">security.py</w:t>
            </w:r>
            <w:r>
              <w:t xml:space="preserve"> </w:t>
            </w:r>
            <w:r>
              <w:t xml:space="preserve">/ K1</w:t>
            </w:r>
          </w:p>
        </w:tc>
        <w:tc>
          <w:tcPr/>
          <w:p>
            <w:pPr>
              <w:pStyle w:val="Compact"/>
              <w:jc w:val="left"/>
            </w:pPr>
            <w:r>
              <w:t xml:space="preserve">Forschungsschätzer, nicht ENTSO-E-Originalfit</w:t>
            </w:r>
          </w:p>
        </w:tc>
      </w:tr>
      <w:tr>
        <w:tc>
          <w:tcPr/>
          <w:p>
            <w:pPr>
              <w:pStyle w:val="Compact"/>
              <w:jc w:val="left"/>
            </w:pPr>
            <w:r>
              <w:t xml:space="preserve">Vollständige N-1-Referenzregion</w:t>
            </w:r>
          </w:p>
        </w:tc>
        <w:tc>
          <w:tcPr/>
          <w:p>
            <w:pPr>
              <w:pStyle w:val="Compact"/>
              <w:jc w:val="left"/>
            </w:pPr>
            <w:r>
              <w:rPr>
                <w:rStyle w:val="VerbatimChar"/>
              </w:rPr>
              <w:t xml:space="preserve">security_projection.py</w:t>
            </w:r>
            <w:r>
              <w:t xml:space="preserve"> </w:t>
            </w:r>
            <w:r>
              <w:t xml:space="preserve">/ K2</w:t>
            </w:r>
          </w:p>
        </w:tc>
        <w:tc>
          <w:tcPr/>
          <w:p>
            <w:pPr>
              <w:pStyle w:val="Compact"/>
              <w:jc w:val="left"/>
            </w:pPr>
            <w:r>
              <w:t xml:space="preserve">zusätzlicher mathematischer Benchmark</w:t>
            </w:r>
          </w:p>
        </w:tc>
      </w:tr>
      <w:tr>
        <w:tc>
          <w:tcPr/>
          <w:p>
            <w:pPr>
              <w:pStyle w:val="Compact"/>
              <w:jc w:val="left"/>
            </w:pPr>
            <w:r>
              <w:t xml:space="preserve">Robust-konservativer Derating-Check</w:t>
            </w:r>
          </w:p>
        </w:tc>
        <w:tc>
          <w:tcPr/>
          <w:p>
            <w:pPr>
              <w:pStyle w:val="Compact"/>
              <w:jc w:val="left"/>
            </w:pPr>
            <w:r>
              <w:rPr>
                <w:rStyle w:val="VerbatimChar"/>
              </w:rPr>
              <w:t xml:space="preserve">security_projection.py</w:t>
            </w:r>
            <w:r>
              <w:t xml:space="preserve"> </w:t>
            </w:r>
            <w:r>
              <w:t xml:space="preserve">/ K3</w:t>
            </w:r>
          </w:p>
        </w:tc>
        <w:tc>
          <w:tcPr/>
          <w:p>
            <w:pPr>
              <w:pStyle w:val="Compact"/>
              <w:jc w:val="left"/>
            </w:pPr>
            <w:r>
              <w:t xml:space="preserve">zusätzlicher mathematischer Benchmark</w:t>
            </w:r>
          </w:p>
        </w:tc>
      </w:tr>
      <w:tr>
        <w:tc>
          <w:tcPr/>
          <w:p>
            <w:pPr>
              <w:pStyle w:val="Compact"/>
              <w:jc w:val="left"/>
            </w:pPr>
            <w:r>
              <w:t xml:space="preserve">Einfluss HVDC-/PST-Setpoints</w:t>
            </w:r>
          </w:p>
        </w:tc>
        <w:tc>
          <w:tcPr/>
          <w:p>
            <w:pPr>
              <w:pStyle w:val="Compact"/>
              <w:jc w:val="left"/>
            </w:pPr>
            <w:r>
              <w:t xml:space="preserve">Sonderadapter und Szenariogate</w:t>
            </w:r>
          </w:p>
        </w:tc>
        <w:tc>
          <w:tcPr/>
          <w:p>
            <w:pPr>
              <w:pStyle w:val="Compact"/>
              <w:jc w:val="left"/>
            </w:pPr>
            <w:r>
              <w:t xml:space="preserve">offen</w:t>
            </w:r>
          </w:p>
        </w:tc>
      </w:tr>
      <w:tr>
        <w:tc>
          <w:tcPr/>
          <w:p>
            <w:pPr>
              <w:pStyle w:val="Compact"/>
              <w:jc w:val="left"/>
            </w:pPr>
            <w:r>
              <w:t xml:space="preserve">Zonale Last-/RES-/Thermal-Daten</w:t>
            </w:r>
          </w:p>
        </w:tc>
        <w:tc>
          <w:tcPr/>
          <w:p>
            <w:pPr>
              <w:pStyle w:val="Compact"/>
              <w:jc w:val="left"/>
            </w:pPr>
            <w:r>
              <w:rPr>
                <w:rStyle w:val="VerbatimChar"/>
              </w:rPr>
              <w:t xml:space="preserve">distribution.py</w:t>
            </w:r>
            <w:r>
              <w:t xml:space="preserve">, Busmap</w:t>
            </w:r>
          </w:p>
        </w:tc>
        <w:tc>
          <w:tcPr/>
          <w:p>
            <w:pPr>
              <w:pStyle w:val="Compact"/>
              <w:jc w:val="left"/>
            </w:pPr>
            <w:r>
              <w:t xml:space="preserve">teilweise, realer Herkunftscheck offen</w:t>
            </w:r>
          </w:p>
        </w:tc>
      </w:tr>
      <w:tr>
        <w:tc>
          <w:tcPr/>
          <w:p>
            <w:pPr>
              <w:pStyle w:val="Compact"/>
              <w:jc w:val="left"/>
            </w:pPr>
            <w:r>
              <w:t xml:space="preserve">LF-/OPF-Modus für Ausbau</w:t>
            </w:r>
          </w:p>
        </w:tc>
        <w:tc>
          <w:tcPr/>
          <w:p>
            <w:pPr>
              <w:pStyle w:val="Compact"/>
              <w:jc w:val="left"/>
            </w:pPr>
            <w:r>
              <w:t xml:space="preserve">getrennte Linopy-Modellkonfiguration</w:t>
            </w:r>
          </w:p>
        </w:tc>
        <w:tc>
          <w:tcPr/>
          <w:p>
            <w:pPr>
              <w:pStyle w:val="Compact"/>
              <w:jc w:val="left"/>
            </w:pPr>
            <w:r>
              <w:t xml:space="preserve">nicht realnetzvalidiert</w:t>
            </w:r>
          </w:p>
        </w:tc>
      </w:tr>
      <w:tr>
        <w:tc>
          <w:tcPr/>
          <w:p>
            <w:pPr>
              <w:pStyle w:val="Compact"/>
              <w:jc w:val="left"/>
            </w:pPr>
            <w:r>
              <w:t xml:space="preserve">FBMC-Sensitivitätskontrolle</w:t>
            </w:r>
          </w:p>
        </w:tc>
        <w:tc>
          <w:tcPr/>
          <w:p>
            <w:pPr>
              <w:pStyle w:val="Compact"/>
              <w:jc w:val="left"/>
            </w:pPr>
            <w:r>
              <w:rPr>
                <w:rStyle w:val="VerbatimChar"/>
              </w:rPr>
              <w:t xml:space="preserve">fbmc_bridge.py</w:t>
            </w:r>
          </w:p>
        </w:tc>
        <w:tc>
          <w:tcPr/>
          <w:p>
            <w:pPr>
              <w:pStyle w:val="Compact"/>
              <w:jc w:val="left"/>
            </w:pPr>
            <w:r>
              <w:t xml:space="preserve">synthetisch, keine operative Core-CCM</w:t>
            </w:r>
          </w:p>
        </w:tc>
      </w:tr>
    </w:tbl>
    <w:p>
      <w:pPr>
        <w:pStyle w:val="BodyText"/>
      </w:pPr>
      <w:r>
        <w:rPr>
          <w:b/>
          <w:bCs/>
        </w:rPr>
        <w:t xml:space="preserve">Abnahmepolitik:</w:t>
      </w:r>
      <w:r>
        <w:t xml:space="preserve"> </w:t>
      </w:r>
      <w:r>
        <w:t xml:space="preserve">Ein Erfolg im mathematischen P0-Test darf</w:t>
      </w:r>
      <w:r>
        <w:t xml:space="preserve"> </w:t>
      </w:r>
      <w:r>
        <w:rPr>
          <w:b/>
          <w:bCs/>
        </w:rPr>
        <w:t xml:space="preserve">nicht</w:t>
      </w:r>
      <w:r>
        <w:t xml:space="preserve"> </w:t>
      </w:r>
      <w:r>
        <w:t xml:space="preserve">als Abschluss der wissenschaftlichen IoSN-Replikation ausgewiesen werden.</w:t>
      </w:r>
      <w:r>
        <w:t xml:space="preserve"> </w:t>
      </w:r>
      <w:r>
        <w:rPr>
          <w:rStyle w:val="VerbatimChar"/>
        </w:rPr>
        <w:t xml:space="preserve">IOSN_REDUCTION_ACCEPTED</w:t>
      </w:r>
      <w:r>
        <w:t xml:space="preserve"> </w:t>
      </w:r>
      <w:r>
        <w:t xml:space="preserve">erfordert mindestens P2 mit realen Referenzdaten und unabhängiger Validierung, samt begründeter Qualifikation der vier Grenzwerte und korrekter Einsatzsemantik in der Planung.</w:t>
      </w:r>
    </w:p>
    <w:bookmarkEnd w:id="60"/>
    <w:bookmarkStart w:id="61" w:name="schlussfolgerung"/>
    <w:p>
      <w:pPr>
        <w:pStyle w:val="Heading1"/>
      </w:pPr>
      <w:r>
        <w:t xml:space="preserve">13. Schlussfolgerung</w:t>
      </w:r>
    </w:p>
    <w:p>
      <w:pPr>
        <w:pStyle w:val="FirstParagraph"/>
      </w:pPr>
      <w:r>
        <w:t xml:space="preserve">Die kürzeste wissenschaftlich tragfähige Implementierung bleibt zweistufig:</w:t>
      </w:r>
      <w:r>
        <w:t xml:space="preserve"> </w:t>
      </w:r>
      <w:r>
        <w:rPr>
          <w:b/>
          <w:bCs/>
        </w:rPr>
        <w:t xml:space="preserve">(i) zwei voneinander unabhängige Busmap-Kandidaten aus derselben physikalischen Referenz; (ii) gemeinsame, validierbare Ersatznetz- und Sicherheitskalibrierung</w:t>
      </w:r>
      <w:r>
        <w:t xml:space="preserve">. Die neuen analytischen N-1-Werkzeuge verändern diese Prozessstruktur nicht; sie dienen als stärkere</w:t>
      </w:r>
      <w:r>
        <w:t xml:space="preserve"> </w:t>
      </w:r>
      <w:r>
        <w:rPr>
          <w:b/>
          <w:bCs/>
        </w:rPr>
        <w:t xml:space="preserve">Qualitätsreferenz</w:t>
      </w:r>
      <w:r>
        <w:t xml:space="preserve"> </w:t>
      </w:r>
      <w:r>
        <w:t xml:space="preserve">für die aus stündlichen Daten geschätzten IoSN-Ersatzkapazitäten. Kosten-/Merit-Order-Verteilungen und technologiespezifische PTDFs sollen als bewertbare Referenzvarianten dienen, nicht als vorab festgesetzte Sieger.</w:t>
      </w:r>
    </w:p>
    <w:p>
      <w:pPr>
        <w:pStyle w:val="BodyText"/>
      </w:pPr>
      <w:r>
        <w:t xml:space="preserve">Die nächste wissenschaftlich belastbare Arbeit ist ein</w:t>
      </w:r>
      <w:r>
        <w:t xml:space="preserve"> </w:t>
      </w:r>
      <w:r>
        <w:rPr>
          <w:b/>
          <w:bCs/>
        </w:rPr>
        <w:t xml:space="preserve">realer PyPSA-Integrations- und Datenpreflight</w:t>
      </w:r>
      <w:r>
        <w:t xml:space="preserve">. Erst danach sind robuste Zahlen zur Eignung der Methoden A/B, zur Qualität der Referenz-PTDF und zur N-1-Konservativität aussagekräftig.</w:t>
      </w:r>
    </w:p>
    <w:bookmarkEnd w:id="61"/>
    <w:bookmarkStart w:id="68" w:name="quellen"/>
    <w:p>
      <w:pPr>
        <w:pStyle w:val="Heading1"/>
      </w:pPr>
      <w:r>
        <w:t xml:space="preserve">Quellen</w:t>
      </w:r>
    </w:p>
    <w:p>
      <w:pPr>
        <w:pStyle w:val="FirstParagraph"/>
      </w:pPr>
      <w:r>
        <w:rPr>
          <w:b/>
          <w:bCs/>
        </w:rPr>
        <w:t xml:space="preserve">[E1]</w:t>
      </w:r>
      <w:r>
        <w:t xml:space="preserve"> </w:t>
      </w:r>
      <w:r>
        <w:t xml:space="preserve">ENTSO-E,</w:t>
      </w:r>
      <w:r>
        <w:t xml:space="preserve"> </w:t>
      </w:r>
      <w:r>
        <w:rPr>
          <w:i/>
          <w:iCs/>
        </w:rPr>
        <w:t xml:space="preserve">TYNDP 2026 Identification of System Needs Methodology</w:t>
      </w:r>
      <w:r>
        <w:t xml:space="preserve">, Konsultationsfassung 25.02.2026, insbesondere §§3.8–3.9, Annex 6.1.</w:t>
      </w:r>
      <w:r>
        <w:t xml:space="preserve"> </w:t>
      </w:r>
      <w:hyperlink r:id="rId62">
        <w:r>
          <w:rPr>
            <w:rStyle w:val="Hyperlink"/>
          </w:rPr>
          <w:t xml:space="preserve">https://eepublicdownloads.blob.core.windows.net/public-cdn-container/clean-documents/tyndp-documents/TYNDP2026/TYNDP_2026_identification_of_system_needs_methodology_for_consultation.pdf</w:t>
        </w:r>
      </w:hyperlink>
      <w:r>
        <w:t xml:space="preserve">.</w:t>
      </w:r>
    </w:p>
    <w:p>
      <w:pPr>
        <w:pStyle w:val="BodyText"/>
      </w:pPr>
      <w:r>
        <w:rPr>
          <w:b/>
          <w:bCs/>
        </w:rPr>
        <w:t xml:space="preserve">[N1]</w:t>
      </w:r>
      <w:r>
        <w:t xml:space="preserve"> </w:t>
      </w:r>
      <w:r>
        <w:t xml:space="preserve">Ronellenfitsch et al.,</w:t>
      </w:r>
      <w:r>
        <w:t xml:space="preserve"> </w:t>
      </w:r>
      <w:r>
        <w:rPr>
          <w:i/>
          <w:iCs/>
        </w:rPr>
        <w:t xml:space="preserve">Dual Theory of Transmission Line Outages</w:t>
      </w:r>
      <w:r>
        <w:t xml:space="preserve">,</w:t>
      </w:r>
      <w:r>
        <w:t xml:space="preserve"> </w:t>
      </w:r>
      <w:hyperlink r:id="rId63">
        <w:r>
          <w:rPr>
            <w:rStyle w:val="Hyperlink"/>
          </w:rPr>
          <w:t xml:space="preserve">https://arxiv.org/abs/1606.07276</w:t>
        </w:r>
      </w:hyperlink>
      <w:r>
        <w:t xml:space="preserve">.</w:t>
      </w:r>
    </w:p>
    <w:p>
      <w:pPr>
        <w:pStyle w:val="BodyText"/>
      </w:pPr>
      <w:r>
        <w:rPr>
          <w:b/>
          <w:bCs/>
        </w:rPr>
        <w:t xml:space="preserve">[N2]</w:t>
      </w:r>
      <w:r>
        <w:t xml:space="preserve"> </w:t>
      </w:r>
      <w:r>
        <w:t xml:space="preserve">Gazafroudi, Neumann, Brown,</w:t>
      </w:r>
      <w:r>
        <w:t xml:space="preserve"> </w:t>
      </w:r>
      <w:r>
        <w:rPr>
          <w:i/>
          <w:iCs/>
        </w:rPr>
        <w:t xml:space="preserve">Topology-based Approximations for N-1 Contingency Constraints in Power Transmission Networks</w:t>
      </w:r>
      <w:r>
        <w:t xml:space="preserve">,</w:t>
      </w:r>
      <w:r>
        <w:t xml:space="preserve"> </w:t>
      </w:r>
      <w:hyperlink r:id="rId64">
        <w:r>
          <w:rPr>
            <w:rStyle w:val="Hyperlink"/>
          </w:rPr>
          <w:t xml:space="preserve">https://arxiv.org/abs/2211.00970</w:t>
        </w:r>
      </w:hyperlink>
      <w:r>
        <w:t xml:space="preserve">.</w:t>
      </w:r>
    </w:p>
    <w:p>
      <w:pPr>
        <w:pStyle w:val="BodyText"/>
      </w:pPr>
      <w:r>
        <w:rPr>
          <w:b/>
          <w:bCs/>
        </w:rPr>
        <w:t xml:space="preserve">[P1]</w:t>
      </w:r>
      <w:r>
        <w:t xml:space="preserve"> </w:t>
      </w:r>
      <w:r>
        <w:t xml:space="preserve">PyPSA,</w:t>
      </w:r>
      <w:r>
        <w:t xml:space="preserve"> </w:t>
      </w:r>
      <w:r>
        <w:rPr>
          <w:i/>
          <w:iCs/>
        </w:rPr>
        <w:t xml:space="preserve">Network Clustering</w:t>
      </w:r>
      <w:r>
        <w:t xml:space="preserve">,</w:t>
      </w:r>
      <w:r>
        <w:t xml:space="preserve"> </w:t>
      </w:r>
      <w:hyperlink r:id="rId65">
        <w:r>
          <w:rPr>
            <w:rStyle w:val="Hyperlink"/>
          </w:rPr>
          <w:t xml:space="preserve">https://docs.pypsa.org/stable/user-guide/clustering/</w:t>
        </w:r>
      </w:hyperlink>
      <w:r>
        <w:t xml:space="preserve">.</w:t>
      </w:r>
    </w:p>
    <w:p>
      <w:pPr>
        <w:pStyle w:val="BodyText"/>
      </w:pPr>
      <w:r>
        <w:rPr>
          <w:b/>
          <w:bCs/>
        </w:rPr>
        <w:t xml:space="preserve">[P2]</w:t>
      </w:r>
      <w:r>
        <w:t xml:space="preserve"> </w:t>
      </w:r>
      <w:r>
        <w:t xml:space="preserve">PyPSA,</w:t>
      </w:r>
      <w:r>
        <w:t xml:space="preserve"> </w:t>
      </w:r>
      <w:r>
        <w:rPr>
          <w:i/>
          <w:iCs/>
        </w:rPr>
        <w:t xml:space="preserve">SubNetwork API</w:t>
      </w:r>
      <w:r>
        <w:t xml:space="preserve">,</w:t>
      </w:r>
      <w:r>
        <w:t xml:space="preserve"> </w:t>
      </w:r>
      <w:hyperlink r:id="rId66">
        <w:r>
          <w:rPr>
            <w:rStyle w:val="Hyperlink"/>
          </w:rPr>
          <w:t xml:space="preserve">https://docs.pypsa.org/latest/api/networks/subnetwork/</w:t>
        </w:r>
      </w:hyperlink>
      <w:r>
        <w:t xml:space="preserve">.</w:t>
      </w:r>
    </w:p>
    <w:p>
      <w:pPr>
        <w:pStyle w:val="BodyText"/>
      </w:pPr>
      <w:r>
        <w:rPr>
          <w:b/>
          <w:bCs/>
        </w:rPr>
        <w:t xml:space="preserve">[P3]</w:t>
      </w:r>
      <w:r>
        <w:t xml:space="preserve"> </w:t>
      </w:r>
      <w:r>
        <w:t xml:space="preserve">PyPSA,</w:t>
      </w:r>
      <w:r>
        <w:t xml:space="preserve"> </w:t>
      </w:r>
      <w:r>
        <w:rPr>
          <w:i/>
          <w:iCs/>
        </w:rPr>
        <w:t xml:space="preserve">Flow-Based Market Coupling</w:t>
      </w:r>
      <w:r>
        <w:t xml:space="preserve">,</w:t>
      </w:r>
      <w:r>
        <w:t xml:space="preserve"> </w:t>
      </w:r>
      <w:hyperlink r:id="rId67">
        <w:r>
          <w:rPr>
            <w:rStyle w:val="Hyperlink"/>
          </w:rPr>
          <w:t xml:space="preserve">https://docs.pypsa.org/stable/examples/fbmc-simple-example/</w:t>
        </w:r>
      </w:hyperlink>
      <w:r>
        <w:t xml:space="preserve">.</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rxiv.org/abs/1606.07276" TargetMode="External" /><Relationship Type="http://schemas.openxmlformats.org/officeDocument/2006/relationships/hyperlink" Id="rId64" Target="https://arxiv.org/abs/2211.00970" TargetMode="External" /><Relationship Type="http://schemas.openxmlformats.org/officeDocument/2006/relationships/hyperlink" Id="rId66" Target="https://docs.pypsa.org/latest/api/networks/subnetwork/" TargetMode="External" /><Relationship Type="http://schemas.openxmlformats.org/officeDocument/2006/relationships/hyperlink" Id="rId67" Target="https://docs.pypsa.org/stable/examples/fbmc-simple-example/" TargetMode="External" /><Relationship Type="http://schemas.openxmlformats.org/officeDocument/2006/relationships/hyperlink" Id="rId65" Target="https://docs.pypsa.org/stable/user-guide/clustering/" TargetMode="External" /><Relationship Type="http://schemas.openxmlformats.org/officeDocument/2006/relationships/hyperlink" Id="rId62" Target="https://eepublicdownloads.blob.core.windows.net/public-cdn-container/clean-documents/tyndp-documents/TYNDP2026/TYNDP_2026_identification_of_system_needs_methodology_for_consultation.pdf" TargetMode="External" /></Relationships>
</file>

<file path=word/_rels/footnotes.xml.rels><?xml version="1.0" encoding="UTF-8"?><Relationships xmlns="http://schemas.openxmlformats.org/package/2006/relationships"><Relationship Type="http://schemas.openxmlformats.org/officeDocument/2006/relationships/hyperlink" Id="rId63" Target="https://arxiv.org/abs/1606.07276" TargetMode="External" /><Relationship Type="http://schemas.openxmlformats.org/officeDocument/2006/relationships/hyperlink" Id="rId64" Target="https://arxiv.org/abs/2211.00970" TargetMode="External" /><Relationship Type="http://schemas.openxmlformats.org/officeDocument/2006/relationships/hyperlink" Id="rId66" Target="https://docs.pypsa.org/latest/api/networks/subnetwork/" TargetMode="External" /><Relationship Type="http://schemas.openxmlformats.org/officeDocument/2006/relationships/hyperlink" Id="rId67" Target="https://docs.pypsa.org/stable/examples/fbmc-simple-example/" TargetMode="External" /><Relationship Type="http://schemas.openxmlformats.org/officeDocument/2006/relationships/hyperlink" Id="rId65" Target="https://docs.pypsa.org/stable/user-guide/clustering/" TargetMode="External" /><Relationship Type="http://schemas.openxmlformats.org/officeDocument/2006/relationships/hyperlink" Id="rId62" Target="https://eepublicdownloads.blob.core.windows.net/public-cdn-container/clean-documents/tyndp-documents/TYNDP2026/TYNDP_2026_identification_of_system_needs_methodology_for_consultatio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IoSN-nahe Netzreduktion mit PyPSA: Softwarearchitektur und Validierungsplan</dc:title>
  <dc:creator>Wissenschaftliche Implementierungsspezifikation — Revision 1</dc:creator>
  <dc:language>de-DE</dc:language>
  <cp:keywords/>
  <dcterms:created xsi:type="dcterms:W3CDTF">2026-10-16T21:23:43Z</dcterms:created>
  <dcterms:modified xsi:type="dcterms:W3CDTF">2026-10-16T21:23:43Z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16. Oktober 2026</vt:lpwstr>
  </property>
  <property fmtid="{D5CDD505-2E9C-101B-9397-08002B2CF9AE}" pid="4" name="fontsize">
    <vt:lpwstr>10pt</vt:lpwstr>
  </property>
  <property fmtid="{D5CDD505-2E9C-101B-9397-08002B2CF9AE}" pid="5" name="geometry">
    <vt:lpwstr>top=22mm,bottom=23mm,left=23mm,right=22mm</vt:lpwstr>
  </property>
  <property fmtid="{D5CDD505-2E9C-101B-9397-08002B2CF9AE}" pid="6" name="header-includes">
    <vt:lpwstr/>
  </property>
  <property fmtid="{D5CDD505-2E9C-101B-9397-08002B2CF9AE}" pid="7" name="numbersections">
    <vt:lpwstr>False</vt:lpwstr>
  </property>
  <property fmtid="{D5CDD505-2E9C-101B-9397-08002B2CF9AE}" pid="8" name="subtitle">
    <vt:lpwstr>Zweistufige Clustering- und Äquivalenzpipeline mit technologiespezifischen PTDFs, N-1-Sicherheitsoperator und FBMC-Brücke</vt:lpwstr>
  </property>
  <property fmtid="{D5CDD505-2E9C-101B-9397-08002B2CF9AE}" pid="9" name="toc">
    <vt:lpwstr>True</vt:lpwstr>
  </property>
  <property fmtid="{D5CDD505-2E9C-101B-9397-08002B2CF9AE}" pid="10" name="toc-depth">
    <vt:lpwstr>2</vt:lpwstr>
  </property>
  <property fmtid="{D5CDD505-2E9C-101B-9397-08002B2CF9AE}" pid="11" name="toc-title">
    <vt:lpwstr>Inhaltsverzeichnis</vt:lpwstr>
  </property>
  <property fmtid="{D5CDD505-2E9C-101B-9397-08002B2CF9AE}" pid="12" name="urlcolor">
    <vt:lpwstr>blue</vt:lpwstr>
  </property>
</Properties>
</file>