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Netzreduktion</w:t>
      </w:r>
      <w:r>
        <w:t xml:space="preserve"> </w:t>
      </w:r>
      <w:r>
        <w:t xml:space="preserve">im</w:t>
      </w:r>
      <w:r>
        <w:t xml:space="preserve"> </w:t>
      </w:r>
      <w:r>
        <w:t xml:space="preserve">ENTSO-E</w:t>
      </w:r>
      <w:r>
        <w:t xml:space="preserve"> </w:t>
      </w:r>
      <w:r>
        <w:t xml:space="preserve">TYNDP</w:t>
      </w:r>
      <w:r>
        <w:t xml:space="preserve"> </w:t>
      </w:r>
      <w:r>
        <w:t xml:space="preserve">2026</w:t>
      </w:r>
    </w:p>
    <w:p>
      <w:pPr>
        <w:pStyle w:val="Subtitle"/>
      </w:pPr>
      <w:r>
        <w:t xml:space="preserve">Wissenschaftlicher</w:t>
      </w:r>
      <w:r>
        <w:t xml:space="preserve"> </w:t>
      </w:r>
      <w:r>
        <w:t xml:space="preserve">Methodikbericht</w:t>
      </w:r>
      <w:r>
        <w:t xml:space="preserve"> </w:t>
      </w:r>
      <w:r>
        <w:t xml:space="preserve">mit</w:t>
      </w:r>
      <w:r>
        <w:t xml:space="preserve"> </w:t>
      </w:r>
      <w:r>
        <w:t xml:space="preserve">mathematischer</w:t>
      </w:r>
      <w:r>
        <w:t xml:space="preserve"> </w:t>
      </w:r>
      <w:r>
        <w:t xml:space="preserve">Rekonstruktion,</w:t>
      </w:r>
      <w:r>
        <w:t xml:space="preserve"> </w:t>
      </w:r>
      <w:r>
        <w:t xml:space="preserve">Spezifikationsprüfung</w:t>
      </w:r>
      <w:r>
        <w:t xml:space="preserve"> </w:t>
      </w:r>
      <w:r>
        <w:t xml:space="preserve">und</w:t>
      </w:r>
      <w:r>
        <w:t xml:space="preserve"> </w:t>
      </w:r>
      <w:r>
        <w:t xml:space="preserve">Anforderungen</w:t>
      </w:r>
      <w:r>
        <w:t xml:space="preserve"> </w:t>
      </w:r>
      <w:r>
        <w:t xml:space="preserve">an</w:t>
      </w:r>
      <w:r>
        <w:t xml:space="preserve"> </w:t>
      </w:r>
      <w:r>
        <w:t xml:space="preserve">Reproduzierbarkeit</w:t>
      </w:r>
    </w:p>
    <w:p>
      <w:pPr>
        <w:pStyle w:val="Date"/>
      </w:pPr>
      <w:r>
        <w:t xml:space="preserve">16.</w:t>
      </w:r>
      <w:r>
        <w:t xml:space="preserve"> </w:t>
      </w:r>
      <w:r>
        <w:t xml:space="preserve">Oktober</w:t>
      </w:r>
      <w:r>
        <w:t xml:space="preserve"> </w:t>
      </w:r>
      <w:r>
        <w:t xml:space="preserve">2026</w:t>
      </w:r>
    </w:p>
    <w:p>
      <w:pPr>
        <w:pStyle w:val="AbstractTitle"/>
      </w:pPr>
      <w:r>
        <w:t xml:space="preserve">Zusammenfassung</w:t>
      </w:r>
    </w:p>
    <w:p>
      <w:pPr>
        <w:pStyle w:val="Abstract"/>
      </w:pPr>
      <w:r>
        <w:t xml:space="preserve">Dieser</w:t>
      </w:r>
      <w:r>
        <w:t xml:space="preserve"> </w:t>
      </w:r>
      <w:r>
        <w:t xml:space="preserve">Bericht</w:t>
      </w:r>
      <w:r>
        <w:t xml:space="preserve"> </w:t>
      </w:r>
      <w:r>
        <w:t xml:space="preserve">analysiert</w:t>
      </w:r>
      <w:r>
        <w:t xml:space="preserve"> </w:t>
      </w:r>
      <w:r>
        <w:t xml:space="preserve">die</w:t>
      </w:r>
      <w:r>
        <w:t xml:space="preserve"> </w:t>
      </w:r>
      <w:r>
        <w:t xml:space="preserve">im</w:t>
      </w:r>
      <w:r>
        <w:t xml:space="preserve"> </w:t>
      </w:r>
      <w:r>
        <w:t xml:space="preserve">Entwurf</w:t>
      </w:r>
      <w:r>
        <w:t xml:space="preserve"> </w:t>
      </w:r>
      <w:r>
        <w:t xml:space="preserve">der</w:t>
      </w:r>
      <w:r>
        <w:t xml:space="preserve"> </w:t>
      </w:r>
      <w:r>
        <w:t xml:space="preserve">ENTSO-E-Methodik</w:t>
      </w:r>
      <w:r>
        <w:t xml:space="preserve"> </w:t>
      </w:r>
      <w:r>
        <w:t xml:space="preserve">zur</w:t>
      </w:r>
      <w:r>
        <w:t xml:space="preserve"> </w:t>
      </w:r>
      <w:r>
        <w:t xml:space="preserve">Identification</w:t>
      </w:r>
      <w:r>
        <w:t xml:space="preserve"> </w:t>
      </w:r>
      <w:r>
        <w:t xml:space="preserve">of</w:t>
      </w:r>
      <w:r>
        <w:t xml:space="preserve"> </w:t>
      </w:r>
      <w:r>
        <w:t xml:space="preserve">System</w:t>
      </w:r>
      <w:r>
        <w:t xml:space="preserve"> </w:t>
      </w:r>
      <w:r>
        <w:t xml:space="preserve">Needs</w:t>
      </w:r>
      <w:r>
        <w:t xml:space="preserve"> </w:t>
      </w:r>
      <w:r>
        <w:t xml:space="preserve">(IoSN)</w:t>
      </w:r>
      <w:r>
        <w:t xml:space="preserve"> </w:t>
      </w:r>
      <w:r>
        <w:t xml:space="preserve">für</w:t>
      </w:r>
      <w:r>
        <w:t xml:space="preserve"> </w:t>
      </w:r>
      <w:r>
        <w:t xml:space="preserve">den</w:t>
      </w:r>
      <w:r>
        <w:t xml:space="preserve"> </w:t>
      </w:r>
      <w:r>
        <w:t xml:space="preserve">TYNDP</w:t>
      </w:r>
      <w:r>
        <w:t xml:space="preserve"> </w:t>
      </w:r>
      <w:r>
        <w:t xml:space="preserve">2026</w:t>
      </w:r>
      <w:r>
        <w:t xml:space="preserve"> </w:t>
      </w:r>
      <w:r>
        <w:t xml:space="preserve">veröffentlichte</w:t>
      </w:r>
      <w:r>
        <w:t xml:space="preserve"> </w:t>
      </w:r>
      <w:r>
        <w:t xml:space="preserve">zonale</w:t>
      </w:r>
      <w:r>
        <w:t xml:space="preserve"> </w:t>
      </w:r>
      <w:r>
        <w:t xml:space="preserve">Netzreduktion.</w:t>
      </w:r>
      <w:r>
        <w:t xml:space="preserve"> </w:t>
      </w:r>
      <w:r>
        <w:t xml:space="preserve">Ausschließliche</w:t>
      </w:r>
      <w:r>
        <w:t xml:space="preserve"> </w:t>
      </w:r>
      <w:r>
        <w:t xml:space="preserve">Primärquelle</w:t>
      </w:r>
      <w:r>
        <w:t xml:space="preserve"> </w:t>
      </w:r>
      <w:r>
        <w:t xml:space="preserve">ist</w:t>
      </w:r>
      <w:r>
        <w:t xml:space="preserve"> </w:t>
      </w:r>
      <w:r>
        <w:t xml:space="preserve">die</w:t>
      </w:r>
      <w:r>
        <w:t xml:space="preserve"> </w:t>
      </w:r>
      <w:r>
        <w:t xml:space="preserve">Konsultationsfassung</w:t>
      </w:r>
      <w:r>
        <w:t xml:space="preserve"> </w:t>
      </w:r>
      <w:r>
        <w:t xml:space="preserve">vom</w:t>
      </w:r>
      <w:r>
        <w:t xml:space="preserve"> </w:t>
      </w:r>
      <w:r>
        <w:t xml:space="preserve">25.</w:t>
      </w:r>
      <w:r>
        <w:t xml:space="preserve"> </w:t>
      </w:r>
      <w:r>
        <w:t xml:space="preserve">Februar</w:t>
      </w:r>
      <w:r>
        <w:t xml:space="preserve"> </w:t>
      </w:r>
      <w:r>
        <w:t xml:space="preserve">2026.</w:t>
      </w:r>
      <w:r>
        <w:t xml:space="preserve"> </w:t>
      </w:r>
      <w:r>
        <w:t xml:space="preserve">Die</w:t>
      </w:r>
      <w:r>
        <w:t xml:space="preserve"> </w:t>
      </w:r>
      <w:r>
        <w:t xml:space="preserve">drei</w:t>
      </w:r>
      <w:r>
        <w:t xml:space="preserve"> </w:t>
      </w:r>
      <w:r>
        <w:t xml:space="preserve">methodisch</w:t>
      </w:r>
      <w:r>
        <w:t xml:space="preserve"> </w:t>
      </w:r>
      <w:r>
        <w:t xml:space="preserve">verschiedenen</w:t>
      </w:r>
      <w:r>
        <w:t xml:space="preserve"> </w:t>
      </w:r>
      <w:r>
        <w:t xml:space="preserve">Schritte</w:t>
      </w:r>
      <w:r>
        <w:t xml:space="preserve"> </w:t>
      </w:r>
      <w:r>
        <w:t xml:space="preserve">der</w:t>
      </w:r>
      <w:r>
        <w:t xml:space="preserve"> </w:t>
      </w:r>
      <w:r>
        <w:t xml:space="preserve">Knotenzonierung,</w:t>
      </w:r>
      <w:r>
        <w:t xml:space="preserve"> </w:t>
      </w:r>
      <w:r>
        <w:t xml:space="preserve">elektrischen</w:t>
      </w:r>
      <w:r>
        <w:t xml:space="preserve"> </w:t>
      </w:r>
      <w:r>
        <w:t xml:space="preserve">Ersatznetzkalibrierung</w:t>
      </w:r>
      <w:r>
        <w:t xml:space="preserve"> </w:t>
      </w:r>
      <w:r>
        <w:t xml:space="preserve">und</w:t>
      </w:r>
      <w:r>
        <w:t xml:space="preserve"> </w:t>
      </w:r>
      <w:r>
        <w:t xml:space="preserve">N-1-orientierten</w:t>
      </w:r>
      <w:r>
        <w:t xml:space="preserve"> </w:t>
      </w:r>
      <w:r>
        <w:t xml:space="preserve">Kapazitätsäquivalenz</w:t>
      </w:r>
      <w:r>
        <w:t xml:space="preserve"> </w:t>
      </w:r>
      <w:r>
        <w:t xml:space="preserve">werden</w:t>
      </w:r>
      <w:r>
        <w:t xml:space="preserve"> </w:t>
      </w:r>
      <w:r>
        <w:t xml:space="preserve">systematisch</w:t>
      </w:r>
      <w:r>
        <w:t xml:space="preserve"> </w:t>
      </w:r>
      <w:r>
        <w:t xml:space="preserve">rekonstruiert.</w:t>
      </w:r>
      <w:r>
        <w:t xml:space="preserve"> </w:t>
      </w:r>
      <w:r>
        <w:t xml:space="preserve">Eine</w:t>
      </w:r>
      <w:r>
        <w:t xml:space="preserve"> </w:t>
      </w:r>
      <w:r>
        <w:t xml:space="preserve">Graphen-</w:t>
      </w:r>
      <w:r>
        <w:t xml:space="preserve"> </w:t>
      </w:r>
      <w:r>
        <w:t xml:space="preserve">und</w:t>
      </w:r>
      <w:r>
        <w:t xml:space="preserve"> </w:t>
      </w:r>
      <w:r>
        <w:t xml:space="preserve">Matrizenformulierung</w:t>
      </w:r>
      <w:r>
        <w:t xml:space="preserve"> </w:t>
      </w:r>
      <w:r>
        <w:t xml:space="preserve">macht</w:t>
      </w:r>
      <w:r>
        <w:t xml:space="preserve"> </w:t>
      </w:r>
      <w:r>
        <w:t xml:space="preserve">die</w:t>
      </w:r>
      <w:r>
        <w:t xml:space="preserve"> </w:t>
      </w:r>
      <w:r>
        <w:t xml:space="preserve">Bilanz-</w:t>
      </w:r>
      <w:r>
        <w:t xml:space="preserve"> </w:t>
      </w:r>
      <w:r>
        <w:t xml:space="preserve">und</w:t>
      </w:r>
      <w:r>
        <w:t xml:space="preserve"> </w:t>
      </w:r>
      <w:r>
        <w:t xml:space="preserve">Maschengleichungen,</w:t>
      </w:r>
      <w:r>
        <w:t xml:space="preserve"> </w:t>
      </w:r>
      <w:r>
        <w:t xml:space="preserve">die</w:t>
      </w:r>
      <w:r>
        <w:t xml:space="preserve"> </w:t>
      </w:r>
      <w:r>
        <w:t xml:space="preserve">Verwendung</w:t>
      </w:r>
      <w:r>
        <w:t xml:space="preserve"> </w:t>
      </w:r>
      <w:r>
        <w:t xml:space="preserve">stündlicher</w:t>
      </w:r>
      <w:r>
        <w:t xml:space="preserve"> </w:t>
      </w:r>
      <w:r>
        <w:t xml:space="preserve">Leistungsflüsse,</w:t>
      </w:r>
      <w:r>
        <w:t xml:space="preserve"> </w:t>
      </w:r>
      <w:r>
        <w:t xml:space="preserve">die</w:t>
      </w:r>
      <w:r>
        <w:t xml:space="preserve"> </w:t>
      </w:r>
      <w:r>
        <w:t xml:space="preserve">strukturellen</w:t>
      </w:r>
      <w:r>
        <w:t xml:space="preserve"> </w:t>
      </w:r>
      <w:r>
        <w:t xml:space="preserve">Nullbilanzflüsse</w:t>
      </w:r>
      <w:r>
        <w:t xml:space="preserve"> </w:t>
      </w:r>
      <w:r>
        <w:t xml:space="preserve">und</w:t>
      </w:r>
      <w:r>
        <w:t xml:space="preserve"> </w:t>
      </w:r>
      <w:r>
        <w:t xml:space="preserve">die</w:t>
      </w:r>
      <w:r>
        <w:t xml:space="preserve"> </w:t>
      </w:r>
      <w:r>
        <w:t xml:space="preserve">Grenzen</w:t>
      </w:r>
      <w:r>
        <w:t xml:space="preserve"> </w:t>
      </w:r>
      <w:r>
        <w:t xml:space="preserve">der</w:t>
      </w:r>
      <w:r>
        <w:t xml:space="preserve"> </w:t>
      </w:r>
      <w:r>
        <w:t xml:space="preserve">Parameteridentifikation</w:t>
      </w:r>
      <w:r>
        <w:t xml:space="preserve"> </w:t>
      </w:r>
      <w:r>
        <w:t xml:space="preserve">präzise</w:t>
      </w:r>
      <w:r>
        <w:t xml:space="preserve"> </w:t>
      </w:r>
      <w:r>
        <w:t xml:space="preserve">nachvollziehbar.</w:t>
      </w:r>
      <w:r>
        <w:t xml:space="preserve"> </w:t>
      </w:r>
      <w:r>
        <w:t xml:space="preserve">Die</w:t>
      </w:r>
      <w:r>
        <w:t xml:space="preserve"> </w:t>
      </w:r>
      <w:r>
        <w:t xml:space="preserve">mathematischen</w:t>
      </w:r>
      <w:r>
        <w:t xml:space="preserve"> </w:t>
      </w:r>
      <w:r>
        <w:t xml:space="preserve">Ergänzungen</w:t>
      </w:r>
      <w:r>
        <w:t xml:space="preserve"> </w:t>
      </w:r>
      <w:r>
        <w:t xml:space="preserve">sind</w:t>
      </w:r>
      <w:r>
        <w:t xml:space="preserve"> </w:t>
      </w:r>
      <w:r>
        <w:t xml:space="preserve">ausdrücklich</w:t>
      </w:r>
      <w:r>
        <w:t xml:space="preserve"> </w:t>
      </w:r>
      <w:r>
        <w:rPr>
          <w:b/>
          <w:bCs/>
        </w:rPr>
        <w:t xml:space="preserve">keine</w:t>
      </w:r>
      <w:r>
        <w:t xml:space="preserve"> </w:t>
      </w:r>
      <w:r>
        <w:t xml:space="preserve">von</w:t>
      </w:r>
      <w:r>
        <w:t xml:space="preserve"> </w:t>
      </w:r>
      <w:r>
        <w:t xml:space="preserve">ENTSO-E</w:t>
      </w:r>
      <w:r>
        <w:t xml:space="preserve"> </w:t>
      </w:r>
      <w:r>
        <w:t xml:space="preserve">veröffentlichten</w:t>
      </w:r>
      <w:r>
        <w:t xml:space="preserve"> </w:t>
      </w:r>
      <w:r>
        <w:t xml:space="preserve">Implementierungsgleichungen.</w:t>
      </w:r>
      <w:r>
        <w:t xml:space="preserve"> </w:t>
      </w:r>
      <w:r>
        <w:t xml:space="preserve">Bewertet</w:t>
      </w:r>
      <w:r>
        <w:t xml:space="preserve"> </w:t>
      </w:r>
      <w:r>
        <w:t xml:space="preserve">werden</w:t>
      </w:r>
      <w:r>
        <w:t xml:space="preserve"> </w:t>
      </w:r>
      <w:r>
        <w:t xml:space="preserve">Reproduzierbarkeit,</w:t>
      </w:r>
      <w:r>
        <w:t xml:space="preserve"> </w:t>
      </w:r>
      <w:r>
        <w:t xml:space="preserve">zeitliche</w:t>
      </w:r>
      <w:r>
        <w:t xml:space="preserve"> </w:t>
      </w:r>
      <w:r>
        <w:t xml:space="preserve">Repräsentativität,</w:t>
      </w:r>
      <w:r>
        <w:t xml:space="preserve"> </w:t>
      </w:r>
      <w:r>
        <w:t xml:space="preserve">betriebliche</w:t>
      </w:r>
      <w:r>
        <w:t xml:space="preserve"> </w:t>
      </w:r>
      <w:r>
        <w:t xml:space="preserve">Sicherheitsäquivalenz</w:t>
      </w:r>
      <w:r>
        <w:t xml:space="preserve"> </w:t>
      </w:r>
      <w:r>
        <w:t xml:space="preserve">und</w:t>
      </w:r>
      <w:r>
        <w:t xml:space="preserve"> </w:t>
      </w:r>
      <w:r>
        <w:t xml:space="preserve">Konsequenzen</w:t>
      </w:r>
      <w:r>
        <w:t xml:space="preserve"> </w:t>
      </w:r>
      <w:r>
        <w:t xml:space="preserve">für</w:t>
      </w:r>
      <w:r>
        <w:t xml:space="preserve"> </w:t>
      </w:r>
      <w:r>
        <w:t xml:space="preserve">die</w:t>
      </w:r>
      <w:r>
        <w:t xml:space="preserve"> </w:t>
      </w:r>
      <w:r>
        <w:t xml:space="preserve">europäische</w:t>
      </w:r>
      <w:r>
        <w:t xml:space="preserve"> </w:t>
      </w:r>
      <w:r>
        <w:t xml:space="preserve">Ausbauoptimierung.</w:t>
      </w:r>
    </w:p>
    <w:p>
      <w:pPr>
        <w:pStyle w:val="TOCHeading"/>
        <w:spacing w:before="220" w:after="100"/>
      </w:pPr>
      <w:r>
        <w:t>Inhaltsübersicht</w:t>
      </w:r>
    </w:p>
    <w:p>
      <w:pPr>
        <w:pStyle w:val="Normal"/>
        <w:spacing w:before="0" w:after="26"/>
        <w:ind w:left="230"/>
      </w:pPr>
      <w:hyperlink w:anchor="zusammenfassung-und-zentrale-ergebnisse">
        <w:r>
          <w:rPr>
            <w:color w:val="326586"/>
            <w:sz w:val="19"/>
          </w:rPr>
          <w:t>Zusammenfassung und zentrale Ergebnisse</w:t>
        </w:r>
      </w:hyperlink>
    </w:p>
    <w:p>
      <w:pPr>
        <w:pStyle w:val="Normal"/>
        <w:spacing w:before="0" w:after="26"/>
        <w:ind w:left="230"/>
      </w:pPr>
      <w:hyperlink w:anchor="X220de0ffdfdacb3f8f47567864fdd0e147d8096">
        <w:r>
          <w:rPr>
            <w:color w:val="326586"/>
            <w:sz w:val="19"/>
          </w:rPr>
          <w:t>1. Untersuchungsgegenstand und Quellenbindung</w:t>
        </w:r>
      </w:hyperlink>
    </w:p>
    <w:p>
      <w:pPr>
        <w:pStyle w:val="Normal"/>
        <w:spacing w:before="0" w:after="26"/>
        <w:ind w:left="230"/>
      </w:pPr>
      <w:hyperlink w:anchor="daten-graphen-indizes-und-modellannahmen">
        <w:r>
          <w:rPr>
            <w:color w:val="326586"/>
            <w:sz w:val="19"/>
          </w:rPr>
          <w:t>2. Daten, Graphen, Indizes und Modellannahmen</w:t>
        </w:r>
      </w:hyperlink>
    </w:p>
    <w:p>
      <w:pPr>
        <w:pStyle w:val="Normal"/>
        <w:spacing w:before="0" w:after="26"/>
        <w:ind w:left="230"/>
      </w:pPr>
      <w:hyperlink w:anchor="X1401d47855f6bdb77e0edf100d64e77ee443b16">
        <w:r>
          <w:rPr>
            <w:color w:val="326586"/>
            <w:sz w:val="19"/>
          </w:rPr>
          <w:t>3. Rekonstruierte Prozesskette und Schnittstellen</w:t>
        </w:r>
      </w:hyperlink>
    </w:p>
    <w:p>
      <w:pPr>
        <w:pStyle w:val="Normal"/>
        <w:spacing w:before="0" w:after="26"/>
        <w:ind w:left="230"/>
      </w:pPr>
      <w:hyperlink w:anchor="engpassbewertung-und-knotenzonierung">
        <w:r>
          <w:rPr>
            <w:color w:val="326586"/>
            <w:sz w:val="19"/>
          </w:rPr>
          <w:t>4. Engpassbewertung und Knotenzonierung</w:t>
        </w:r>
      </w:hyperlink>
    </w:p>
    <w:p>
      <w:pPr>
        <w:pStyle w:val="Normal"/>
        <w:spacing w:before="0" w:after="26"/>
        <w:ind w:left="230"/>
      </w:pPr>
      <w:hyperlink w:anchor="X22e80dad51a17dbd22422cd0db5197555b95e5a">
        <w:r>
          <w:rPr>
            <w:color w:val="326586"/>
            <w:sz w:val="19"/>
          </w:rPr>
          <w:t>5. Exakte Bilanzaggregation und Verlust elektrischer Detailinformation</w:t>
        </w:r>
      </w:hyperlink>
    </w:p>
    <w:p>
      <w:pPr>
        <w:pStyle w:val="Normal"/>
        <w:spacing w:before="0" w:after="26"/>
        <w:ind w:left="230"/>
      </w:pPr>
      <w:hyperlink w:anchor="Xc113c32f826f0fd21a0bb9aef6694fd6e8a148c">
        <w:r>
          <w:rPr>
            <w:color w:val="326586"/>
            <w:sz w:val="19"/>
          </w:rPr>
          <w:t>6. PTDF-Verfahren und Verwendung stündlicher Zeitreihen</w:t>
        </w:r>
      </w:hyperlink>
    </w:p>
    <w:p>
      <w:pPr>
        <w:pStyle w:val="Normal"/>
        <w:spacing w:before="0" w:after="26"/>
        <w:ind w:left="230"/>
      </w:pPr>
      <w:hyperlink w:anchor="Xfdc10177f9e750a71cc9e7c5ad9fd5efedb1c56">
        <w:r>
          <w:rPr>
            <w:color w:val="326586"/>
            <w:sz w:val="19"/>
          </w:rPr>
          <w:t>7. Elektrische Reduktion: Ersatzreaktanzen und strukturelle Flusskorrekturen</w:t>
        </w:r>
      </w:hyperlink>
    </w:p>
    <w:p>
      <w:pPr>
        <w:pStyle w:val="Normal"/>
        <w:spacing w:before="0" w:after="26"/>
        <w:ind w:left="230"/>
      </w:pPr>
      <w:hyperlink w:anchor="X9d0bb8f20a09542af57d226d1c190e4e2f3b457">
        <w:r>
          <w:rPr>
            <w:color w:val="326586"/>
            <w:sz w:val="19"/>
          </w:rPr>
          <w:t>8. Äquivalente Übertragungskapazitäten unter N-1</w:t>
        </w:r>
      </w:hyperlink>
    </w:p>
    <w:p>
      <w:pPr>
        <w:pStyle w:val="Normal"/>
        <w:spacing w:before="0" w:after="26"/>
        <w:ind w:left="230"/>
      </w:pPr>
      <w:hyperlink w:anchor="Xa5e95e6e25e08dad81c5a61b8d4a5b0d44d3b5d">
        <w:r>
          <w:rPr>
            <w:color w:val="326586"/>
            <w:sz w:val="19"/>
          </w:rPr>
          <w:t>9. Daten-Disaggregation und Erhaltung zeitlicher Bilanzen</w:t>
        </w:r>
      </w:hyperlink>
    </w:p>
    <w:p>
      <w:pPr>
        <w:pStyle w:val="Normal"/>
        <w:spacing w:before="0" w:after="26"/>
        <w:ind w:left="230"/>
      </w:pPr>
      <w:hyperlink w:anchor="X2bd9b7d9d7aceee4664f66958232875f09fc1aa">
        <w:r>
          <w:rPr>
            <w:color w:val="326586"/>
            <w:sz w:val="19"/>
          </w:rPr>
          <w:t>10. Einbindung in die TYNDP-Ausbauoptimierung</w:t>
        </w:r>
      </w:hyperlink>
    </w:p>
    <w:p>
      <w:pPr>
        <w:pStyle w:val="Normal"/>
        <w:spacing w:before="0" w:after="26"/>
        <w:ind w:left="230"/>
      </w:pPr>
      <w:hyperlink w:anchor="numerische-illustrationen-und-grenzfälle">
        <w:r>
          <w:rPr>
            <w:color w:val="326586"/>
            <w:sz w:val="19"/>
          </w:rPr>
          <w:t>11. Numerische Illustrationen und Grenzfälle</w:t>
        </w:r>
      </w:hyperlink>
    </w:p>
    <w:p>
      <w:pPr>
        <w:pStyle w:val="Normal"/>
        <w:spacing w:before="0" w:after="26"/>
        <w:ind w:left="230"/>
      </w:pPr>
      <w:hyperlink w:anchor="X7809cc95972cce62d10e0a9d52df3061d525bef">
        <w:r>
          <w:rPr>
            <w:color w:val="326586"/>
            <w:sz w:val="19"/>
          </w:rPr>
          <w:t>12. Qualitätsmaße, Validierung und Unsicherheitsbewertung</w:t>
        </w:r>
      </w:hyperlink>
    </w:p>
    <w:p>
      <w:pPr>
        <w:pStyle w:val="Normal"/>
        <w:spacing w:before="0" w:after="26"/>
        <w:ind w:left="230"/>
      </w:pPr>
      <w:hyperlink w:anchor="X6982df3f38a6fa6539e4b2bbcb23b86803992d2">
        <w:r>
          <w:rPr>
            <w:color w:val="326586"/>
            <w:sz w:val="19"/>
          </w:rPr>
          <w:t>13. Spezifikationsaudit und priorisierte Anforderungen</w:t>
        </w:r>
      </w:hyperlink>
    </w:p>
    <w:p>
      <w:pPr>
        <w:pStyle w:val="Normal"/>
        <w:spacing w:before="0" w:after="26"/>
        <w:ind w:left="230"/>
      </w:pPr>
      <w:hyperlink w:anchor="Xfee5209300a1e9f8e7d2a4c928b2cdd17a0b6b3">
        <w:r>
          <w:rPr>
            <w:color w:val="326586"/>
            <w:sz w:val="19"/>
          </w:rPr>
          <w:t>14. Konsistente Referenzarchitektur für eine wissenschaftliche Reimplementation</w:t>
        </w:r>
      </w:hyperlink>
    </w:p>
    <w:p>
      <w:pPr>
        <w:pStyle w:val="Normal"/>
        <w:spacing w:before="0" w:after="26"/>
        <w:ind w:left="230"/>
      </w:pPr>
      <w:hyperlink w:anchor="schlussfolgerungen">
        <w:r>
          <w:rPr>
            <w:color w:val="326586"/>
            <w:sz w:val="19"/>
          </w:rPr>
          <w:t>15. Schlussfolgerungen</w:t>
        </w:r>
      </w:hyperlink>
    </w:p>
    <w:p>
      <w:pPr>
        <w:pStyle w:val="Normal"/>
        <w:spacing w:before="0" w:after="26"/>
        <w:ind w:left="230"/>
      </w:pPr>
      <w:hyperlink w:anchor="Xc2744d2415a6874a17d6bb2019a0fe18d5b0c2e">
        <w:r>
          <w:rPr>
            <w:color w:val="326586"/>
            <w:sz w:val="19"/>
          </w:rPr>
          <w:t>Anhang A. Mathematische Beweise und Prüfinvarianten</w:t>
        </w:r>
      </w:hyperlink>
    </w:p>
    <w:p>
      <w:pPr>
        <w:pStyle w:val="Normal"/>
        <w:spacing w:before="0" w:after="26"/>
        <w:ind w:left="230"/>
      </w:pPr>
      <w:hyperlink w:anchor="Xe819f744c60d1af3e6ddac80e7b171d6b7201bb">
        <w:r>
          <w:rPr>
            <w:color w:val="326586"/>
            <w:sz w:val="19"/>
          </w:rPr>
          <w:t>Anhang B. Auflösung der wichtigsten offenen Spezifikationsfragen</w:t>
        </w:r>
      </w:hyperlink>
    </w:p>
    <w:p>
      <w:pPr>
        <w:pStyle w:val="Normal"/>
        <w:spacing w:before="0" w:after="26"/>
        <w:ind w:left="230"/>
      </w:pPr>
      <w:hyperlink w:anchor="quellenverzeichnis">
        <w:r>
          <w:rPr>
            <w:color w:val="326586"/>
            <w:sz w:val="19"/>
          </w:rPr>
          <w:t>Quellenverzeichnis</w:t>
        </w:r>
      </w:hyperlink>
    </w:p>
    <w:bookmarkStart w:id="20" w:name="zusammenfassung-und-zentrale-ergebnisse"/>
    <w:p>
      <w:pPr>
        <w:pStyle w:val="Heading1"/>
      </w:pPr>
      <w:r>
        <w:t xml:space="preserve">Zusammenfassung und zentrale Ergebnisse</w:t>
      </w:r>
    </w:p>
    <w:p>
      <w:pPr>
        <w:pStyle w:val="FirstParagraph"/>
      </w:pPr>
      <w:r>
        <w:t xml:space="preserve">Die ENTSO-E definiert für die TYNDP-2026-</w:t>
      </w:r>
      <w:r>
        <w:rPr>
          <w:i/>
          <w:iCs/>
        </w:rPr>
        <w:t xml:space="preserve">Identification of System Needs</w:t>
      </w:r>
      <w:r>
        <w:t xml:space="preserve"> </w:t>
      </w:r>
      <w:r>
        <w:t xml:space="preserve">(IoSN) ein mehrstufiges zonales Verfahren, in dem das detaillierte europäische Übertragungsnetz zu</w:t>
      </w:r>
      <w:r>
        <w:t xml:space="preserve"> </w:t>
      </w:r>
      <w:r>
        <w:rPr>
          <w:b/>
          <w:bCs/>
        </w:rPr>
        <w:t xml:space="preserve">102 aggregierten Zonen</w:t>
      </w:r>
      <w:r>
        <w:t xml:space="preserve"> </w:t>
      </w:r>
      <w:r>
        <w:t xml:space="preserve">verdichtet wird. Netzengpässe und die räumliche Verteilung der Wirkflüsse beeinflussen die Zonengrenzen; die Verbindungen zwischen den Zonen werden anschließend mit optimierten Ersatzimpedanzen, strukturellen Flusskorrekturen und richtungs- sowie jahreszeitspezifischen N-1-Transferkapazitäten ausgestattet. Das resultierende Modell nutzt elektrische Maschengleichungen, nicht bloß voneinander unabhängige Net Transfer Capacities (NTC). [Q1, S. 21–29, 45–51]</w:t>
      </w:r>
    </w:p>
    <w:p>
      <w:pPr>
        <w:pStyle w:val="BodyText"/>
      </w:pPr>
      <w:r>
        <w:rPr>
          <w:b/>
          <w:bCs/>
        </w:rPr>
        <w:t xml:space="preserve">Zentrale Befunde:</w:t>
      </w:r>
    </w:p>
    <w:p>
      <w:pPr>
        <w:pStyle w:val="Compact"/>
        <w:numPr>
          <w:ilvl w:val="0"/>
          <w:numId w:val="1001"/>
        </w:numPr>
      </w:pPr>
      <w:r>
        <w:rPr>
          <w:b/>
          <w:bCs/>
        </w:rPr>
        <w:t xml:space="preserve">Das Verfahren ist topologisch und zeitlich informiert.</w:t>
      </w:r>
      <w:r>
        <w:t xml:space="preserve"> </w:t>
      </w:r>
      <w:r>
        <w:t xml:space="preserve">Stundenbasierte detaillierte Leitungsflüsse werden für die Priorisierung überlasteter Betriebsmittel, für eine Stichprobe synchroner Zielflüsse zur Impedanzkalibrierung und für die Schätzung äquivalenter Transferkapazitäten verwendet. Welche Stunden mit welchem Gewicht in die Impedanzoptimierung eingehen, bleibt im Text unbestimmt. [Q1, S. 45, 49–51]</w:t>
      </w:r>
    </w:p>
    <w:p>
      <w:pPr>
        <w:pStyle w:val="Compact"/>
        <w:numPr>
          <w:ilvl w:val="0"/>
          <w:numId w:val="1001"/>
        </w:numPr>
      </w:pPr>
      <w:r>
        <w:rPr>
          <w:b/>
          <w:bCs/>
        </w:rPr>
        <w:t xml:space="preserve">Das reduzierte Netz bildet vor allem Wirkleistungsflüsse in DC-Näherung ab.</w:t>
      </w:r>
      <w:r>
        <w:t xml:space="preserve"> </w:t>
      </w:r>
      <w:r>
        <w:t xml:space="preserve">Die Quelle bezeichnet das Ergebnis zwar als vereinfachtes AC-Netz, beschreibt die Netzgleichungen aber ausdrücklich in DC-Approximation. Daraus folgt</w:t>
      </w:r>
      <w:r>
        <w:t xml:space="preserve"> </w:t>
      </w:r>
      <w:r>
        <w:rPr>
          <w:b/>
          <w:bCs/>
        </w:rPr>
        <w:t xml:space="preserve">keine</w:t>
      </w:r>
      <w:r>
        <w:t xml:space="preserve"> </w:t>
      </w:r>
      <w:r>
        <w:t xml:space="preserve">verifizierte Erhaltung der AC-Spannungs-, Blindleistungs-, Verlust- oder dynamischen Eigenschaften. [Q1, S. 27, 49]</w:t>
      </w:r>
    </w:p>
    <w:p>
      <w:pPr>
        <w:pStyle w:val="Compact"/>
        <w:numPr>
          <w:ilvl w:val="0"/>
          <w:numId w:val="1001"/>
        </w:numPr>
      </w:pPr>
      <w:r>
        <w:rPr>
          <w:b/>
          <w:bCs/>
        </w:rPr>
        <w:t xml:space="preserve">Knotenbilanz und Aggregationsflüsse lassen sich mathematisch exakt erhalten</w:t>
      </w:r>
      <w:r>
        <w:t xml:space="preserve">, wenn die Zuordnung der Originalknoten zu Zonen und die Summation physikalischer Grenzleitungen konsistent gewählt sind. Die Maschengleichungen können dagegen nach räumlicher Aggregation nur angenähert erfüllt werden; dafür werden Ersatzreaktanzen und Nullbilanz-Flusskorrekturen kalibriert. Abschnitt 5 gibt die entsprechende Herleitung.</w:t>
      </w:r>
    </w:p>
    <w:p>
      <w:pPr>
        <w:pStyle w:val="Compact"/>
        <w:numPr>
          <w:ilvl w:val="0"/>
          <w:numId w:val="1001"/>
        </w:numPr>
      </w:pPr>
      <w:r>
        <w:rPr>
          <w:b/>
          <w:bCs/>
        </w:rPr>
        <w:t xml:space="preserve">Die Impedanzidentifikation ist nicht eindeutig.</w:t>
      </w:r>
      <w:r>
        <w:t xml:space="preserve"> </w:t>
      </w:r>
      <w:r>
        <w:t xml:space="preserve">Selbst in einem reinen linearen DC-Netz lässt sich aus Wirkleistungsflüssen allein der gemeinsame Skalierungsfaktor aller Ersatzreaktanzen nicht bestimmen. Dieser formale Nachweis ergänzt die von ENTSO-E ausdrücklich festgestellte Nicht-Eindeutigkeit infolge interner räumlicher Informationen. Eine Parameternormierung oder zusätzliche Referenz ist nicht veröffentlicht. [Q1, S. 48–49]</w:t>
      </w:r>
    </w:p>
    <w:p>
      <w:pPr>
        <w:pStyle w:val="Compact"/>
        <w:numPr>
          <w:ilvl w:val="0"/>
          <w:numId w:val="1001"/>
        </w:numPr>
      </w:pPr>
      <w:r>
        <w:rPr>
          <w:b/>
          <w:bCs/>
        </w:rPr>
        <w:t xml:space="preserve">Die vier äquivalenten Kapazitäten je Interzonenverbindung sind statistisch aus Betriebszuständen erschlossene N-1-Surrogate</w:t>
      </w:r>
      <w:r>
        <w:t xml:space="preserve">, keine allgemeine Garantie, dass jede beliebige gleichzeitige Zoneneinspeisung und jeder relevante Ausfall sicher bleibt. Ausfallauswahl, Flusskorrelation, verwendete Zeitstichprobe und die Behandlung operativer Gegenmaßnahmen bestimmen die Güte. [Q1, S. 27–28, 47, 50–51]</w:t>
      </w:r>
    </w:p>
    <w:p>
      <w:pPr>
        <w:pStyle w:val="Compact"/>
        <w:numPr>
          <w:ilvl w:val="0"/>
          <w:numId w:val="1001"/>
        </w:numPr>
      </w:pPr>
      <w:r>
        <w:rPr>
          <w:b/>
          <w:bCs/>
        </w:rPr>
        <w:t xml:space="preserve">Die Veröffentlichung ist konzeptionell substanziell, aber kein ausführbares Referenzmodell.</w:t>
      </w:r>
      <w:r>
        <w:t xml:space="preserve"> </w:t>
      </w:r>
      <w:r>
        <w:t xml:space="preserve">Nicht offengelegt sind unter anderem die vollständige Knoten-Zonen-Matrix, der Kalibrierungsstundenindex, die Zielfunktion und Nebenbedingungen der Impedanzoptimierung, die allgemeine Kapazitäts-Fitfunktion, die Auswahl aller CBCOs und ein unabhängiges Validierungsprotokoll.</w:t>
      </w:r>
    </w:p>
    <w:p>
      <w:pPr>
        <w:pStyle w:val="FirstParagraph"/>
      </w:pPr>
      <w:r>
        <w:rPr>
          <w:b/>
          <w:bCs/>
        </w:rPr>
        <w:t xml:space="preserve">Gesamturteil.</w:t>
      </w:r>
      <w:r>
        <w:t xml:space="preserve"> </w:t>
      </w:r>
      <w:r>
        <w:t xml:space="preserve">Die Methodik ist als fachliches Rahmenkonzept einer langfristigen zonalen Netzausbauanalyse nachvollziehbar. Ihre Beschreibung reicht jedoch nicht aus, um ein</w:t>
      </w:r>
      <w:r>
        <w:t xml:space="preserve"> </w:t>
      </w:r>
      <w:r>
        <w:rPr>
          <w:b/>
          <w:bCs/>
        </w:rPr>
        <w:t xml:space="preserve">eindeutig reproduzierbares</w:t>
      </w:r>
      <w:r>
        <w:t xml:space="preserve"> </w:t>
      </w:r>
      <w:r>
        <w:t xml:space="preserve">mathematisches Netzreduktionsverfahren herzuleiten. Die Gleichungen dieses Berichts liefern eine</w:t>
      </w:r>
      <w:r>
        <w:t xml:space="preserve"> </w:t>
      </w:r>
      <w:r>
        <w:rPr>
          <w:b/>
          <w:bCs/>
        </w:rPr>
        <w:t xml:space="preserve">konsistente wissenschaftliche Rekonstruktion</w:t>
      </w:r>
      <w:r>
        <w:t xml:space="preserve">, aber keine behauptete Offenlegung des ENTSO-E-internen Algorithmus.</w:t>
      </w:r>
    </w:p>
    <w:bookmarkEnd w:id="20"/>
    <w:bookmarkStart w:id="25" w:name="X220de0ffdfdacb3f8f47567864fdd0e147d8096"/>
    <w:p>
      <w:pPr>
        <w:pStyle w:val="Heading1"/>
      </w:pPr>
      <w:r>
        <w:t xml:space="preserve">1. Untersuchungsgegenstand und Quellenbindung</w:t>
      </w:r>
    </w:p>
    <w:bookmarkStart w:id="22" w:name="einzige-primärquelle"/>
    <w:p>
      <w:pPr>
        <w:pStyle w:val="Heading2"/>
      </w:pPr>
      <w:r>
        <w:t xml:space="preserve">1.1 Einzige Primärquelle</w:t>
      </w:r>
    </w:p>
    <w:p>
      <w:pPr>
        <w:pStyle w:val="FirstParagraph"/>
      </w:pPr>
      <w:r>
        <w:t xml:space="preserve">Analysiert wird ausschließlich:</w:t>
      </w:r>
    </w:p>
    <w:p>
      <w:pPr>
        <w:pStyle w:val="BodyText"/>
      </w:pPr>
      <w:r>
        <w:rPr>
          <w:b/>
          <w:bCs/>
        </w:rPr>
        <w:t xml:space="preserve">[Q1]</w:t>
      </w:r>
      <w:r>
        <w:t xml:space="preserve"> </w:t>
      </w:r>
      <w:r>
        <w:t xml:space="preserve">ENTSO-E,</w:t>
      </w:r>
      <w:r>
        <w:t xml:space="preserve"> </w:t>
      </w:r>
      <w:r>
        <w:rPr>
          <w:i/>
          <w:iCs/>
        </w:rPr>
        <w:t xml:space="preserve">TYNDP 2026 Identification of System Needs Methodology</w:t>
      </w:r>
      <w:r>
        <w:t xml:space="preserve">, Version for Public Consultation,</w:t>
      </w:r>
      <w:r>
        <w:t xml:space="preserve"> </w:t>
      </w:r>
      <w:r>
        <w:rPr>
          <w:b/>
          <w:bCs/>
        </w:rPr>
        <w:t xml:space="preserve">25 February 2026</w:t>
      </w:r>
      <w:r>
        <w:t xml:space="preserve">, 65 Seiten, insbesondere</w:t>
      </w:r>
      <w:r>
        <w:t xml:space="preserve"> </w:t>
      </w:r>
      <w:r>
        <w:rPr>
          <w:b/>
          <w:bCs/>
        </w:rPr>
        <w:t xml:space="preserve">§ 3.7 (S. 18–21), § 3.8 (S. 21–29), § 3.9 (S. 29), Anhang 6.1 (S. 45–51), Anhang 6.3 (S. 57–62)</w:t>
      </w:r>
      <w:r>
        <w:t xml:space="preserve">. Offizielles Dokument:</w:t>
      </w:r>
      <w:r>
        <w:t xml:space="preserve"> </w:t>
      </w:r>
      <w:hyperlink r:id="rId21">
        <w:r>
          <w:rPr>
            <w:rStyle w:val="Hyperlink"/>
          </w:rPr>
          <w:t xml:space="preserve">https://eepublicdownloads.blob.core.windows.net/public-cdn-container/clean-documents/tyndp-documents/TYNDP2026/TYNDP_2026_identification_of_system_needs_methodology_for_consultation.pdf</w:t>
        </w:r>
      </w:hyperlink>
      <w:r>
        <w:t xml:space="preserve">.</w:t>
      </w:r>
    </w:p>
    <w:p>
      <w:pPr>
        <w:pStyle w:val="BodyText"/>
      </w:pPr>
      <w:r>
        <w:t xml:space="preserve">Die Fassung ist als</w:t>
      </w:r>
      <w:r>
        <w:t xml:space="preserve"> </w:t>
      </w:r>
      <w:r>
        <w:rPr>
          <w:b/>
          <w:bCs/>
        </w:rPr>
        <w:t xml:space="preserve">öffentlicher Konsultationsentwurf</w:t>
      </w:r>
      <w:r>
        <w:t xml:space="preserve"> </w:t>
      </w:r>
      <w:r>
        <w:t xml:space="preserve">gekennzeichnet. Dieser Bericht trifft deshalb keine Aussagen über spätere verbindliche Fassungen, interne Quellcodes, reale Kalibrierungsdateien oder nicht im Dokument beschriebene operative Verfahren. Der Anwenderbegriff „AUSN“ wird im Folgenden durch die im Dokument verwendete Bezeichnung</w:t>
      </w:r>
      <w:r>
        <w:t xml:space="preserve"> </w:t>
      </w:r>
      <w:r>
        <w:rPr>
          <w:b/>
          <w:bCs/>
        </w:rPr>
        <w:t xml:space="preserve">IoSN</w:t>
      </w:r>
      <w:r>
        <w:t xml:space="preserve"> </w:t>
      </w:r>
      <w:r>
        <w:t xml:space="preserve">präzisiert. Literatur anderer Autoren oder Implementierungsdetails fremder Software werden nicht zur Begründung herangezogen.</w:t>
      </w:r>
    </w:p>
    <w:bookmarkEnd w:id="22"/>
    <w:bookmarkStart w:id="23" w:name="kennzeichnung-des-epistemischen-status"/>
    <w:p>
      <w:pPr>
        <w:pStyle w:val="Heading2"/>
      </w:pPr>
      <w:r>
        <w:t xml:space="preserve">1.2 Kennzeichnung des epistemischen Status</w:t>
      </w:r>
    </w:p>
    <w:p>
      <w:pPr>
        <w:pStyle w:val="FirstParagraph"/>
      </w:pPr>
      <w:r>
        <w:t xml:space="preserve">Die folgende Kennzeichnung verhindert, dass eine plausible mathematische Ergänzung als veröffentlichte ENTSO-E-Regel missverstanden wird: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Kennzeichnung</w:t>
            </w:r>
          </w:p>
        </w:tc>
        <w:tc>
          <w:tcPr/>
          <w:p>
            <w:pPr>
              <w:pStyle w:val="Compact"/>
              <w:jc w:val="left"/>
            </w:pPr>
            <w:r>
              <w:t xml:space="preserve">Bedeutung</w:t>
            </w:r>
          </w:p>
        </w:tc>
      </w:tr>
      <w:tr>
        <w:tc>
          <w:tcPr/>
          <w:p>
            <w:pPr>
              <w:pStyle w:val="Compact"/>
              <w:jc w:val="left"/>
            </w:pPr>
            <w:r>
              <w:rPr>
                <w:b/>
                <w:bCs/>
              </w:rPr>
              <w:t xml:space="preserve">[D] Dokumentiert</w:t>
            </w:r>
          </w:p>
        </w:tc>
        <w:tc>
          <w:tcPr/>
          <w:p>
            <w:pPr>
              <w:pStyle w:val="Compact"/>
              <w:jc w:val="left"/>
            </w:pPr>
            <w:r>
              <w:t xml:space="preserve">Aussage oder Rechenschritt wird in [Q1] ausdrücklich angegeben.</w:t>
            </w:r>
          </w:p>
        </w:tc>
      </w:tr>
      <w:tr>
        <w:tc>
          <w:tcPr/>
          <w:p>
            <w:pPr>
              <w:pStyle w:val="Compact"/>
              <w:jc w:val="left"/>
            </w:pPr>
            <w:r>
              <w:rPr>
                <w:b/>
                <w:bCs/>
              </w:rPr>
              <w:t xml:space="preserve">[R] Rekonstruktion</w:t>
            </w:r>
          </w:p>
        </w:tc>
        <w:tc>
          <w:tcPr/>
          <w:p>
            <w:pPr>
              <w:pStyle w:val="Compact"/>
              <w:jc w:val="left"/>
            </w:pPr>
            <w:r>
              <w:t xml:space="preserve">Mathematisch konsistente Formalisierung eines dokumentierten Prinzips; nicht notwendigerweise die intern verwendete Form.</w:t>
            </w:r>
          </w:p>
        </w:tc>
      </w:tr>
      <w:tr>
        <w:tc>
          <w:tcPr/>
          <w:p>
            <w:pPr>
              <w:pStyle w:val="Compact"/>
              <w:jc w:val="left"/>
            </w:pPr>
            <w:r>
              <w:rPr>
                <w:b/>
                <w:bCs/>
              </w:rPr>
              <w:t xml:space="preserve">[A] Analytische Folgerung</w:t>
            </w:r>
          </w:p>
        </w:tc>
        <w:tc>
          <w:tcPr/>
          <w:p>
            <w:pPr>
              <w:pStyle w:val="Compact"/>
              <w:jc w:val="left"/>
            </w:pPr>
            <w:r>
              <w:t xml:space="preserve">Aus [D]/[R] logisch oder mathematisch hergeleitete Eigenschaft bzw. Grenze.</w:t>
            </w:r>
          </w:p>
        </w:tc>
      </w:tr>
      <w:tr>
        <w:tc>
          <w:tcPr/>
          <w:p>
            <w:pPr>
              <w:pStyle w:val="Compact"/>
              <w:jc w:val="left"/>
            </w:pPr>
            <w:r>
              <w:rPr>
                <w:b/>
                <w:bCs/>
              </w:rPr>
              <w:t xml:space="preserve">[E] Ergänzung</w:t>
            </w:r>
          </w:p>
        </w:tc>
        <w:tc>
          <w:tcPr/>
          <w:p>
            <w:pPr>
              <w:pStyle w:val="Compact"/>
              <w:jc w:val="left"/>
            </w:pPr>
            <w:r>
              <w:t xml:space="preserve">Für eine reproduzierbare oder belastbar validierte Implementierung vorgeschlagene Festlegung; keine ENTSO-E-Vorgabe.</w:t>
            </w:r>
          </w:p>
        </w:tc>
      </w:tr>
      <w:tr>
        <w:tc>
          <w:tcPr/>
          <w:p>
            <w:pPr>
              <w:pStyle w:val="Compact"/>
              <w:jc w:val="left"/>
            </w:pPr>
            <w:r>
              <w:rPr>
                <w:b/>
                <w:bCs/>
              </w:rPr>
              <w:t xml:space="preserve">[U] Unbestimmt</w:t>
            </w:r>
          </w:p>
        </w:tc>
        <w:tc>
          <w:tcPr/>
          <w:p>
            <w:pPr>
              <w:pStyle w:val="Compact"/>
              <w:jc w:val="left"/>
            </w:pPr>
            <w:r>
              <w:t xml:space="preserve">Nicht eindeutig oder nicht vollständig aus [Q1] ableitbar.</w:t>
            </w:r>
          </w:p>
        </w:tc>
      </w:tr>
    </w:tbl>
    <w:p>
      <w:pPr>
        <w:pStyle w:val="BodyText"/>
      </w:pPr>
      <w:r>
        <w:t xml:space="preserve">Diese Statusangaben gelten auch für Formeln.</w:t>
      </w:r>
      <w:r>
        <w:t xml:space="preserve"> </w:t>
      </w:r>
      <w:r>
        <w:rPr>
          <w:b/>
          <w:bCs/>
        </w:rPr>
        <w:t xml:space="preserve">[R] und [E] dürfen nicht als zitierfähige Originalgleichungen der ENTSO-E bezeichnet werden.</w:t>
      </w:r>
    </w:p>
    <w:bookmarkEnd w:id="23"/>
    <w:bookmarkStart w:id="24" w:name="abgrenzung"/>
    <w:p>
      <w:pPr>
        <w:pStyle w:val="Heading2"/>
      </w:pPr>
      <w:r>
        <w:t xml:space="preserve">1.3 Abgrenzung</w:t>
      </w:r>
    </w:p>
    <w:p>
      <w:pPr>
        <w:pStyle w:val="FirstParagraph"/>
      </w:pPr>
      <w:r>
        <w:t xml:space="preserve">Gegenstand sind: (i) Auswahl und Abgrenzung der Zonen, (ii) Ableitung der physikalischen Leistungsflüsse aus Markt- und Netzsimulation, (iii) Reduktion der AC-Übertragungsnetztopologie auf äquivalente Wirkleistungs-Verbindungen, (iv) Parameteridentifikation für Ersatzimpedanzen und Nullbilanzflüsse, (v) Berechnung der äquivalenten N-1-Kapazitäten, (vi) zonale Zuordnung der Erzeugungs-, Last- und Speicherzeitreihen sowie (vii) Verwendung des reduzierten Modells bei der Ausbauplanung. Nicht untersucht werden andere TYNDP-Verfahren außer ihrer unmittelbaren Schnittstelle zur Netzreduktion.</w:t>
      </w:r>
    </w:p>
    <w:bookmarkEnd w:id="24"/>
    <w:bookmarkEnd w:id="25"/>
    <w:bookmarkStart w:id="29" w:name="daten-graphen-indizes-und-modellannahmen"/>
    <w:p>
      <w:pPr>
        <w:pStyle w:val="Heading1"/>
      </w:pPr>
      <w:r>
        <w:t xml:space="preserve">2. Daten, Graphen, Indizes und Modellannahmen</w:t>
      </w:r>
    </w:p>
    <w:bookmarkStart w:id="26" w:name="notation"/>
    <w:p>
      <w:pPr>
        <w:pStyle w:val="Heading2"/>
      </w:pPr>
      <w:r>
        <w:t xml:space="preserve">2.1 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Bedeutung und Dimension</w:t>
            </w:r>
          </w:p>
        </w:tc>
      </w:tr>
      <w:tr>
        <w:tc>
          <w:tcPr/>
          <w:p>
            <w:pPr>
              <w:pStyle w:val="Compact"/>
              <w:jc w:val="left"/>
            </w:pPr>
            <m:oMath>
              <m:sSup>
                <m:e>
                  <m:r>
                    <m:t>G</m:t>
                  </m:r>
                </m:e>
                <m:sup>
                  <m:r>
                    <m:rPr>
                      <m:sty m:val="p"/>
                    </m:rPr>
                    <m:t>d</m:t>
                  </m:r>
                </m:sup>
              </m:sSup>
              <m:r>
                <m:rPr>
                  <m:sty m:val="p"/>
                </m:rPr>
                <m:t>=</m:t>
              </m:r>
              <m:d>
                <m:dPr>
                  <m:begChr m:val="("/>
                  <m:endChr m:val=")"/>
                  <m:sepChr m:val=""/>
                  <m:grow/>
                </m:dPr>
                <m:e>
                  <m:sSup>
                    <m:e>
                      <m:r>
                        <m:t>V</m:t>
                      </m:r>
                    </m:e>
                    <m:sup>
                      <m:r>
                        <m:rPr>
                          <m:sty m:val="p"/>
                        </m:rPr>
                        <m:t>d</m:t>
                      </m:r>
                    </m:sup>
                  </m:sSup>
                  <m:r>
                    <m:rPr>
                      <m:sty m:val="p"/>
                    </m:rPr>
                    <m:t>,</m:t>
                  </m:r>
                  <m:sSup>
                    <m:e>
                      <m:r>
                        <m:t>E</m:t>
                      </m:r>
                    </m:e>
                    <m:sup>
                      <m:r>
                        <m:rPr>
                          <m:sty m:val="p"/>
                        </m:rPr>
                        <m:t>d</m:t>
                      </m:r>
                    </m:sup>
                  </m:sSup>
                </m:e>
              </m:d>
            </m:oMath>
          </w:p>
        </w:tc>
        <w:tc>
          <w:tcPr/>
          <w:p>
            <w:pPr>
              <w:pStyle w:val="Compact"/>
              <w:jc w:val="left"/>
            </w:pPr>
            <w:r>
              <w:t xml:space="preserve">Detaillierter AC-Netzgraph,</w:t>
            </w:r>
            <w:r>
              <w:t xml:space="preserve"> </w:t>
            </w:r>
            <m:oMath>
              <m:r>
                <m:t>n</m:t>
              </m:r>
            </m:oMath>
            <w:r>
              <w:t xml:space="preserve"> </w:t>
            </w:r>
            <w:r>
              <w:t xml:space="preserve">Knoten,</w:t>
            </w:r>
            <w:r>
              <w:t xml:space="preserve"> </w:t>
            </w:r>
            <m:oMath>
              <m:r>
                <m:t>m</m:t>
              </m:r>
            </m:oMath>
            <w:r>
              <w:t xml:space="preserve"> </w:t>
            </w:r>
            <w:r>
              <w:t xml:space="preserve">Zweige</w:t>
            </w:r>
          </w:p>
        </w:tc>
      </w:tr>
      <w:tr>
        <w:tc>
          <w:tcPr/>
          <w:p>
            <w:pPr>
              <w:pStyle w:val="Compact"/>
              <w:jc w:val="left"/>
            </w:pPr>
            <m:oMath>
              <m:sSub>
                <m:e>
                  <m:r>
                    <m:t>A</m:t>
                  </m:r>
                </m:e>
                <m:sub>
                  <m:r>
                    <m:rPr>
                      <m:sty m:val="p"/>
                    </m:rPr>
                    <m:t>d</m:t>
                  </m:r>
                </m:sub>
              </m:sSub>
              <m:r>
                <m:rPr>
                  <m:sty m:val="p"/>
                </m:rPr>
                <m:t>∈</m:t>
              </m:r>
              <m:r>
                <m:rPr>
                  <m:sty m:val="p"/>
                </m:rPr>
                <m:t>{</m:t>
              </m:r>
              <m:r>
                <m:rPr>
                  <m:sty m:val="p"/>
                </m:rPr>
                <m:t>−</m:t>
              </m:r>
              <m:r>
                <m:t>1</m:t>
              </m:r>
              <m:r>
                <m:rPr>
                  <m:sty m:val="p"/>
                </m:rPr>
                <m:t>,</m:t>
              </m:r>
              <m:r>
                <m:t>0</m:t>
              </m:r>
              <m:r>
                <m:rPr>
                  <m:sty m:val="p"/>
                </m:rPr>
                <m:t>,</m:t>
              </m:r>
              <m:r>
                <m:t>1</m:t>
              </m:r>
              <m:sSup>
                <m:e>
                  <m:r>
                    <m:rPr>
                      <m:sty m:val="p"/>
                    </m:rPr>
                    <m:t>}</m:t>
                  </m:r>
                </m:e>
                <m:sup>
                  <m:r>
                    <m:t>n</m:t>
                  </m:r>
                  <m:r>
                    <m:rPr>
                      <m:sty m:val="p"/>
                    </m:rPr>
                    <m:t>×</m:t>
                  </m:r>
                  <m:r>
                    <m:t>m</m:t>
                  </m:r>
                </m:sup>
              </m:sSup>
            </m:oMath>
          </w:p>
        </w:tc>
        <w:tc>
          <w:tcPr/>
          <w:p>
            <w:pPr>
              <w:pStyle w:val="Compact"/>
              <w:jc w:val="left"/>
            </w:pPr>
            <w:r>
              <w:t xml:space="preserve">Orientierte Knoten-Zweig-Inzidenzmatrix</w:t>
            </w:r>
          </w:p>
        </w:tc>
      </w:tr>
      <w:tr>
        <w:tc>
          <w:tcPr/>
          <w:p>
            <w:pPr>
              <w:pStyle w:val="Compact"/>
              <w:jc w:val="left"/>
            </w:pPr>
            <m:oMath>
              <m:sSub>
                <m:e>
                  <m:r>
                    <m:t>x</m:t>
                  </m:r>
                </m:e>
                <m:sub>
                  <m:r>
                    <m:rPr>
                      <m:sty m:val="p"/>
                    </m:rPr>
                    <m:t>ℓ</m:t>
                  </m:r>
                </m:sub>
              </m:sSub>
            </m:oMath>
            <w:r>
              <w:t xml:space="preserve">,</w:t>
            </w:r>
            <w:r>
              <w:t xml:space="preserve"> </w:t>
            </w:r>
            <m:oMath>
              <m:sSub>
                <m:e>
                  <m:r>
                    <m:t>b</m:t>
                  </m:r>
                </m:e>
                <m:sub>
                  <m:r>
                    <m:rPr>
                      <m:sty m:val="p"/>
                    </m:rPr>
                    <m:t>ℓ</m:t>
                  </m:r>
                </m:sub>
              </m:sSub>
              <m:r>
                <m:rPr>
                  <m:sty m:val="p"/>
                </m:rPr>
                <m:t>=</m:t>
              </m:r>
              <m:r>
                <m:t>1</m:t>
              </m:r>
              <m:r>
                <m:rPr>
                  <m:sty m:val="p"/>
                </m:rPr>
                <m:t>/</m:t>
              </m:r>
              <m:sSub>
                <m:e>
                  <m:r>
                    <m:t>x</m:t>
                  </m:r>
                </m:e>
                <m:sub>
                  <m:r>
                    <m:rPr>
                      <m:sty m:val="p"/>
                    </m:rPr>
                    <m:t>ℓ</m:t>
                  </m:r>
                </m:sub>
              </m:sSub>
            </m:oMath>
          </w:p>
        </w:tc>
        <w:tc>
          <w:tcPr/>
          <w:p>
            <w:pPr>
              <w:pStyle w:val="Compact"/>
              <w:jc w:val="left"/>
            </w:pPr>
            <w:r>
              <w:t xml:space="preserve">Zweigreaktanz und DC-Suszeptanzparameter in konsistentem p.u.-System</w:t>
            </w:r>
          </w:p>
        </w:tc>
      </w:tr>
      <w:tr>
        <w:tc>
          <w:tcPr/>
          <w:p>
            <w:pPr>
              <w:pStyle w:val="Compact"/>
              <w:jc w:val="left"/>
            </w:pPr>
            <m:oMath>
              <m:sSubSup>
                <m:e>
                  <m:r>
                    <m:t>p</m:t>
                  </m:r>
                </m:e>
                <m:sub>
                  <m:r>
                    <m:t>t</m:t>
                  </m:r>
                </m:sub>
                <m:sup>
                  <m:r>
                    <m:rPr>
                      <m:sty m:val="p"/>
                    </m:rPr>
                    <m:t>d</m:t>
                  </m:r>
                </m:sup>
              </m:sSubSup>
              <m:r>
                <m:rPr>
                  <m:sty m:val="p"/>
                </m:rPr>
                <m:t>∈</m:t>
              </m:r>
              <m:sSup>
                <m:e>
                  <m:r>
                    <m:rPr>
                      <m:sty m:val="p"/>
                      <m:scr m:val="double-struck"/>
                    </m:rPr>
                    <m:t>R</m:t>
                  </m:r>
                </m:e>
                <m:sup>
                  <m:r>
                    <m:t>n</m:t>
                  </m:r>
                </m:sup>
              </m:sSup>
            </m:oMath>
          </w:p>
        </w:tc>
        <w:tc>
          <w:tcPr/>
          <w:p>
            <w:pPr>
              <w:pStyle w:val="Compact"/>
              <w:jc w:val="left"/>
            </w:pPr>
            <w:r>
              <w:t xml:space="preserve">Nettoeinspeisung der detaillierten AC-Knoten in Stunde</w:t>
            </w:r>
            <w:r>
              <w:t xml:space="preserve"> </w:t>
            </w:r>
            <m:oMath>
              <m:r>
                <m:t>t</m:t>
              </m:r>
            </m:oMath>
          </w:p>
        </w:tc>
      </w:tr>
      <w:tr>
        <w:tc>
          <w:tcPr/>
          <w:p>
            <w:pPr>
              <w:pStyle w:val="Compact"/>
              <w:jc w:val="left"/>
            </w:pPr>
            <m:oMath>
              <m:sSubSup>
                <m:e>
                  <m:r>
                    <m:t>f</m:t>
                  </m:r>
                </m:e>
                <m:sub>
                  <m:r>
                    <m:t>t</m:t>
                  </m:r>
                </m:sub>
                <m:sup>
                  <m:r>
                    <m:rPr>
                      <m:sty m:val="p"/>
                    </m:rPr>
                    <m:t>d</m:t>
                  </m:r>
                </m:sup>
              </m:sSubSup>
              <m:r>
                <m:rPr>
                  <m:sty m:val="p"/>
                </m:rPr>
                <m:t>∈</m:t>
              </m:r>
              <m:sSup>
                <m:e>
                  <m:r>
                    <m:rPr>
                      <m:sty m:val="p"/>
                      <m:scr m:val="double-struck"/>
                    </m:rPr>
                    <m:t>R</m:t>
                  </m:r>
                </m:e>
                <m:sup>
                  <m:r>
                    <m:t>m</m:t>
                  </m:r>
                </m:sup>
              </m:sSup>
            </m:oMath>
          </w:p>
        </w:tc>
        <w:tc>
          <w:tcPr/>
          <w:p>
            <w:pPr>
              <w:pStyle w:val="Compact"/>
              <w:jc w:val="left"/>
            </w:pPr>
            <w:r>
              <w:t xml:space="preserve">Physikalischer Wirkleistungsfluss der detaillierten AC-Zweige</w:t>
            </w:r>
          </w:p>
        </w:tc>
      </w:tr>
      <w:tr>
        <w:tc>
          <w:tcPr/>
          <w:p>
            <w:pPr>
              <w:pStyle w:val="Compact"/>
              <w:jc w:val="left"/>
            </w:pPr>
            <m:oMath>
              <m:sSup>
                <m:e>
                  <m:r>
                    <m:t>V</m:t>
                  </m:r>
                </m:e>
                <m:sup>
                  <m:r>
                    <m:rPr>
                      <m:sty m:val="p"/>
                    </m:rPr>
                    <m:t>z</m:t>
                  </m:r>
                </m:sup>
              </m:sSup>
            </m:oMath>
            <w:r>
              <w:t xml:space="preserve">,</w:t>
            </w:r>
            <w:r>
              <w:t xml:space="preserve"> </w:t>
            </w:r>
            <m:oMath>
              <m:sSup>
                <m:e>
                  <m:r>
                    <m:t>E</m:t>
                  </m:r>
                </m:e>
                <m:sup>
                  <m:r>
                    <m:rPr>
                      <m:sty m:val="p"/>
                    </m:rPr>
                    <m:t>z</m:t>
                  </m:r>
                </m:sup>
              </m:sSup>
            </m:oMath>
          </w:p>
        </w:tc>
        <w:tc>
          <w:tcPr/>
          <w:p>
            <w:pPr>
              <w:pStyle w:val="Compact"/>
              <w:jc w:val="left"/>
            </w:pPr>
            <w:r>
              <w:t xml:space="preserve">Menge der reduzierten Zonen und äquivalenten AC-Verbindungen,</w:t>
            </w:r>
            <w:r>
              <w:t xml:space="preserve"> </w:t>
            </w:r>
            <m:oMath>
              <m:r>
                <m:t>k</m:t>
              </m:r>
            </m:oMath>
            <w:r>
              <w:t xml:space="preserve"> </w:t>
            </w:r>
            <w:r>
              <w:t xml:space="preserve">bzw.</w:t>
            </w:r>
            <w:r>
              <w:t xml:space="preserve"> </w:t>
            </w:r>
            <m:oMath>
              <m:r>
                <m:t>r</m:t>
              </m:r>
            </m:oMath>
            <w:r>
              <w:t xml:space="preserve"> </w:t>
            </w:r>
            <w:r>
              <w:t xml:space="preserve">Elemente</w:t>
            </w:r>
          </w:p>
        </w:tc>
      </w:tr>
      <w:tr>
        <w:tc>
          <w:tcPr/>
          <w:p>
            <w:pPr>
              <w:pStyle w:val="Compact"/>
              <w:jc w:val="left"/>
            </w:pPr>
            <m:oMath>
              <m:r>
                <m:t>g</m:t>
              </m:r>
              <m:r>
                <m:rPr>
                  <m:sty m:val="p"/>
                </m:rPr>
                <m:t>:</m:t>
              </m:r>
              <m:sSup>
                <m:e>
                  <m:r>
                    <m:t>V</m:t>
                  </m:r>
                </m:e>
                <m:sup>
                  <m:r>
                    <m:rPr>
                      <m:sty m:val="p"/>
                    </m:rPr>
                    <m:t>d</m:t>
                  </m:r>
                </m:sup>
              </m:sSup>
              <m:r>
                <m:rPr>
                  <m:sty m:val="p"/>
                </m:rPr>
                <m:t>→</m:t>
              </m:r>
              <m:sSup>
                <m:e>
                  <m:r>
                    <m:t>V</m:t>
                  </m:r>
                </m:e>
                <m:sup>
                  <m:r>
                    <m:rPr>
                      <m:sty m:val="p"/>
                    </m:rPr>
                    <m:t>z</m:t>
                  </m:r>
                </m:sup>
              </m:sSup>
            </m:oMath>
          </w:p>
        </w:tc>
        <w:tc>
          <w:tcPr/>
          <w:p>
            <w:pPr>
              <w:pStyle w:val="Compact"/>
              <w:jc w:val="left"/>
            </w:pPr>
            <w:r>
              <w:t xml:space="preserve">Abbildung jedes ursprünglichen Knotens auf genau eine Zone</w:t>
            </w:r>
          </w:p>
        </w:tc>
      </w:tr>
      <w:tr>
        <w:tc>
          <w:tcPr/>
          <w:p>
            <w:pPr>
              <w:pStyle w:val="Compact"/>
              <w:jc w:val="left"/>
            </w:pPr>
            <m:oMath>
              <m:r>
                <m:t>P</m:t>
              </m:r>
              <m:r>
                <m:rPr>
                  <m:sty m:val="p"/>
                </m:rPr>
                <m:t>∈</m:t>
              </m:r>
              <m:r>
                <m:rPr>
                  <m:sty m:val="p"/>
                </m:rPr>
                <m:t>{</m:t>
              </m:r>
              <m:r>
                <m:t>0</m:t>
              </m:r>
              <m:r>
                <m:rPr>
                  <m:sty m:val="p"/>
                </m:rPr>
                <m:t>,</m:t>
              </m:r>
              <m:r>
                <m:t>1</m:t>
              </m:r>
              <m:sSup>
                <m:e>
                  <m:r>
                    <m:rPr>
                      <m:sty m:val="p"/>
                    </m:rPr>
                    <m:t>}</m:t>
                  </m:r>
                </m:e>
                <m:sup>
                  <m:r>
                    <m:t>k</m:t>
                  </m:r>
                  <m:r>
                    <m:rPr>
                      <m:sty m:val="p"/>
                    </m:rPr>
                    <m:t>×</m:t>
                  </m:r>
                  <m:r>
                    <m:t>n</m:t>
                  </m:r>
                </m:sup>
              </m:sSup>
            </m:oMath>
          </w:p>
        </w:tc>
        <w:tc>
          <w:tcPr/>
          <w:p>
            <w:pPr>
              <w:pStyle w:val="Compact"/>
              <w:jc w:val="left"/>
            </w:pPr>
            <w:r>
              <w:t xml:space="preserve">Knotenzonen-Zuordnung,</w:t>
            </w:r>
            <w:r>
              <w:t xml:space="preserve"> </w:t>
            </w:r>
            <m:oMath>
              <m:sSub>
                <m:e>
                  <m:r>
                    <m:t>P</m:t>
                  </m:r>
                </m:e>
                <m:sub>
                  <m:r>
                    <m:t>z</m:t>
                  </m:r>
                  <m:r>
                    <m:t>i</m:t>
                  </m:r>
                </m:sub>
              </m:sSub>
              <m:r>
                <m:rPr>
                  <m:sty m:val="p"/>
                </m:rPr>
                <m:t>=</m:t>
              </m:r>
              <m:r>
                <m:t>1</m:t>
              </m:r>
              <m:r>
                <m:rPr>
                  <m:sty m:val="p"/>
                </m:rPr>
                <m:t>⇔</m:t>
              </m:r>
              <m:r>
                <m:t>g</m:t>
              </m:r>
              <m:d>
                <m:dPr>
                  <m:begChr m:val="("/>
                  <m:endChr m:val=")"/>
                  <m:sepChr m:val=""/>
                  <m:grow/>
                </m:dPr>
                <m:e>
                  <m:r>
                    <m:t>i</m:t>
                  </m:r>
                </m:e>
              </m:d>
              <m:r>
                <m:rPr>
                  <m:sty m:val="p"/>
                </m:rPr>
                <m:t>=</m:t>
              </m:r>
              <m:r>
                <m:t>z</m:t>
              </m:r>
            </m:oMath>
          </w:p>
        </w:tc>
      </w:tr>
      <w:tr>
        <w:tc>
          <w:tcPr/>
          <w:p>
            <w:pPr>
              <w:pStyle w:val="Compact"/>
              <w:jc w:val="left"/>
            </w:pPr>
            <m:oMath>
              <m:r>
                <m:t>Γ</m:t>
              </m:r>
              <m:r>
                <m:rPr>
                  <m:sty m:val="p"/>
                </m:rPr>
                <m:t>∈</m:t>
              </m:r>
              <m:r>
                <m:rPr>
                  <m:sty m:val="p"/>
                </m:rPr>
                <m:t>{</m:t>
              </m:r>
              <m:r>
                <m:rPr>
                  <m:sty m:val="p"/>
                </m:rPr>
                <m:t>−</m:t>
              </m:r>
              <m:r>
                <m:t>1</m:t>
              </m:r>
              <m:r>
                <m:rPr>
                  <m:sty m:val="p"/>
                </m:rPr>
                <m:t>,</m:t>
              </m:r>
              <m:r>
                <m:t>0</m:t>
              </m:r>
              <m:r>
                <m:rPr>
                  <m:sty m:val="p"/>
                </m:rPr>
                <m:t>,</m:t>
              </m:r>
              <m:r>
                <m:t>1</m:t>
              </m:r>
              <m:sSup>
                <m:e>
                  <m:r>
                    <m:rPr>
                      <m:sty m:val="p"/>
                    </m:rPr>
                    <m:t>}</m:t>
                  </m:r>
                </m:e>
                <m:sup>
                  <m:r>
                    <m:t>r</m:t>
                  </m:r>
                  <m:r>
                    <m:rPr>
                      <m:sty m:val="p"/>
                    </m:rPr>
                    <m:t>×</m:t>
                  </m:r>
                  <m:r>
                    <m:t>m</m:t>
                  </m:r>
                </m:sup>
              </m:sSup>
            </m:oMath>
          </w:p>
        </w:tc>
        <w:tc>
          <w:tcPr/>
          <w:p>
            <w:pPr>
              <w:pStyle w:val="Compact"/>
              <w:jc w:val="left"/>
            </w:pPr>
            <w:r>
              <w:t xml:space="preserve">Aggregation der physikalischen Grenzleitungsflüsse auf Interzonenverbindungen</w:t>
            </w:r>
          </w:p>
        </w:tc>
      </w:tr>
      <w:tr>
        <w:tc>
          <w:tcPr/>
          <w:p>
            <w:pPr>
              <w:pStyle w:val="Compact"/>
              <w:jc w:val="left"/>
            </w:pPr>
            <m:oMath>
              <m:sSub>
                <m:e>
                  <m:r>
                    <m:t>A</m:t>
                  </m:r>
                </m:e>
                <m:sub>
                  <m:r>
                    <m:rPr>
                      <m:sty m:val="p"/>
                    </m:rPr>
                    <m:t>z</m:t>
                  </m:r>
                </m:sub>
              </m:sSub>
              <m:r>
                <m:rPr>
                  <m:sty m:val="p"/>
                </m:rPr>
                <m:t>∈</m:t>
              </m:r>
              <m:r>
                <m:rPr>
                  <m:sty m:val="p"/>
                </m:rPr>
                <m:t>{</m:t>
              </m:r>
              <m:r>
                <m:rPr>
                  <m:sty m:val="p"/>
                </m:rPr>
                <m:t>−</m:t>
              </m:r>
              <m:r>
                <m:t>1</m:t>
              </m:r>
              <m:r>
                <m:rPr>
                  <m:sty m:val="p"/>
                </m:rPr>
                <m:t>,</m:t>
              </m:r>
              <m:r>
                <m:t>0</m:t>
              </m:r>
              <m:r>
                <m:rPr>
                  <m:sty m:val="p"/>
                </m:rPr>
                <m:t>,</m:t>
              </m:r>
              <m:r>
                <m:t>1</m:t>
              </m:r>
              <m:sSup>
                <m:e>
                  <m:r>
                    <m:rPr>
                      <m:sty m:val="p"/>
                    </m:rPr>
                    <m:t>}</m:t>
                  </m:r>
                </m:e>
                <m:sup>
                  <m:r>
                    <m:t>k</m:t>
                  </m:r>
                  <m:r>
                    <m:rPr>
                      <m:sty m:val="p"/>
                    </m:rPr>
                    <m:t>×</m:t>
                  </m:r>
                  <m:r>
                    <m:t>r</m:t>
                  </m:r>
                </m:sup>
              </m:sSup>
            </m:oMath>
          </w:p>
        </w:tc>
        <w:tc>
          <w:tcPr/>
          <w:p>
            <w:pPr>
              <w:pStyle w:val="Compact"/>
              <w:jc w:val="left"/>
            </w:pPr>
            <w:r>
              <w:t xml:space="preserve">Inzidenzmatrix des reduzierten Graphen</w:t>
            </w:r>
          </w:p>
        </w:tc>
      </w:tr>
      <w:tr>
        <w:tc>
          <w:tcPr/>
          <w:p>
            <w:pPr>
              <w:pStyle w:val="Compact"/>
              <w:jc w:val="left"/>
            </w:pPr>
            <m:oMath>
              <m:r>
                <m:t>X</m:t>
              </m:r>
              <m:r>
                <m:rPr>
                  <m:sty m:val="p"/>
                </m:rPr>
                <m:t>=</m:t>
              </m:r>
              <m:r>
                <m:rPr>
                  <m:sty m:val="p"/>
                </m:rPr>
                <m:t>d</m:t>
              </m:r>
              <m:r>
                <m:rPr>
                  <m:sty m:val="p"/>
                </m:rPr>
                <m:t>i</m:t>
              </m:r>
              <m:r>
                <m:rPr>
                  <m:sty m:val="p"/>
                </m:rPr>
                <m:t>a</m:t>
              </m:r>
              <m:r>
                <m:rPr>
                  <m:sty m:val="p"/>
                </m:rPr>
                <m:t>g</m:t>
              </m:r>
              <m:d>
                <m:dPr>
                  <m:begChr m:val="("/>
                  <m:endChr m:val=")"/>
                  <m:sepChr m:val=""/>
                  <m:grow/>
                </m:dPr>
                <m:e>
                  <m:sSubSup>
                    <m:e>
                      <m:r>
                        <m:t>x</m:t>
                      </m:r>
                    </m:e>
                    <m:sub>
                      <m:r>
                        <m:t>1</m:t>
                      </m:r>
                    </m:sub>
                    <m:sup>
                      <m:r>
                        <m:rPr>
                          <m:sty m:val="p"/>
                        </m:rPr>
                        <m:t>e</m:t>
                      </m:r>
                      <m:r>
                        <m:rPr>
                          <m:sty m:val="p"/>
                        </m:rPr>
                        <m:t>q</m:t>
                      </m:r>
                    </m:sup>
                  </m:sSubSup>
                  <m:r>
                    <m:rPr>
                      <m:sty m:val="p"/>
                    </m:rPr>
                    <m:t>,</m:t>
                  </m:r>
                  <m:r>
                    <m:rPr>
                      <m:sty m:val="p"/>
                    </m:rPr>
                    <m:t>…</m:t>
                  </m:r>
                  <m:r>
                    <m:rPr>
                      <m:sty m:val="p"/>
                    </m:rPr>
                    <m:t>,</m:t>
                  </m:r>
                  <m:sSubSup>
                    <m:e>
                      <m:r>
                        <m:t>x</m:t>
                      </m:r>
                    </m:e>
                    <m:sub>
                      <m:r>
                        <m:t>r</m:t>
                      </m:r>
                    </m:sub>
                    <m:sup>
                      <m:r>
                        <m:rPr>
                          <m:sty m:val="p"/>
                        </m:rPr>
                        <m:t>e</m:t>
                      </m:r>
                      <m:r>
                        <m:rPr>
                          <m:sty m:val="p"/>
                        </m:rPr>
                        <m:t>q</m:t>
                      </m:r>
                    </m:sup>
                  </m:sSubSup>
                </m:e>
              </m:d>
            </m:oMath>
          </w:p>
        </w:tc>
        <w:tc>
          <w:tcPr/>
          <w:p>
            <w:pPr>
              <w:pStyle w:val="Compact"/>
              <w:jc w:val="left"/>
            </w:pPr>
            <w:r>
              <w:t xml:space="preserve">Diagonalmatrix positiver Ersatzreaktanzen</w:t>
            </w:r>
          </w:p>
        </w:tc>
      </w:tr>
      <w:tr>
        <w:tc>
          <w:tcPr/>
          <w:p>
            <w:pPr>
              <w:pStyle w:val="Compact"/>
              <w:jc w:val="left"/>
            </w:pPr>
            <m:oMath>
              <m:r>
                <m:t>C</m:t>
              </m:r>
              <m:r>
                <m:rPr>
                  <m:sty m:val="p"/>
                </m:rPr>
                <m:t>∈</m:t>
              </m:r>
              <m:sSup>
                <m:e>
                  <m:r>
                    <m:rPr>
                      <m:sty m:val="p"/>
                      <m:scr m:val="double-struck"/>
                    </m:rPr>
                    <m:t>R</m:t>
                  </m:r>
                </m:e>
                <m:sup>
                  <m:r>
                    <m:t>r</m:t>
                  </m:r>
                  <m:r>
                    <m:rPr>
                      <m:sty m:val="p"/>
                    </m:rPr>
                    <m:t>×</m:t>
                  </m:r>
                  <m:d>
                    <m:dPr>
                      <m:begChr m:val="("/>
                      <m:endChr m:val=")"/>
                      <m:sepChr m:val=""/>
                      <m:grow/>
                    </m:dPr>
                    <m:e>
                      <m:r>
                        <m:t>r</m:t>
                      </m:r>
                      <m:r>
                        <m:rPr>
                          <m:sty m:val="p"/>
                        </m:rPr>
                        <m:t>−</m:t>
                      </m:r>
                      <m:r>
                        <m:t>k</m:t>
                      </m:r>
                      <m:r>
                        <m:rPr>
                          <m:sty m:val="p"/>
                        </m:rPr>
                        <m:t>+</m:t>
                      </m:r>
                      <m:r>
                        <m:t>c</m:t>
                      </m:r>
                    </m:e>
                  </m:d>
                </m:sup>
              </m:sSup>
            </m:oMath>
          </w:p>
        </w:tc>
        <w:tc>
          <w:tcPr/>
          <w:p>
            <w:pPr>
              <w:pStyle w:val="Compact"/>
              <w:jc w:val="left"/>
            </w:pPr>
            <w:r>
              <w:t xml:space="preserve">Zyklenmatrix des reduzierten Graphen mit</w:t>
            </w:r>
            <w:r>
              <w:t xml:space="preserve"> </w:t>
            </w:r>
            <m:oMath>
              <m:r>
                <m:t>c</m:t>
              </m:r>
            </m:oMath>
            <w:r>
              <w:t xml:space="preserve"> </w:t>
            </w:r>
            <w:r>
              <w:t xml:space="preserve">Zusammenhangskomponenten</w:t>
            </w:r>
          </w:p>
        </w:tc>
      </w:tr>
      <w:tr>
        <w:tc>
          <w:tcPr/>
          <w:p>
            <w:pPr>
              <w:pStyle w:val="Compact"/>
              <w:jc w:val="left"/>
            </w:pPr>
            <m:oMath>
              <m:sSubSup>
                <m:e>
                  <m:r>
                    <m:t>f</m:t>
                  </m:r>
                </m:e>
                <m:sub>
                  <m:r>
                    <m:t>t</m:t>
                  </m:r>
                </m:sub>
                <m:sup>
                  <m:r>
                    <m:rPr>
                      <m:sty m:val="p"/>
                    </m:rPr>
                    <m:t>⋆</m:t>
                  </m:r>
                </m:sup>
              </m:sSubSup>
              <m:r>
                <m:rPr>
                  <m:sty m:val="p"/>
                </m:rPr>
                <m:t>=</m:t>
              </m:r>
              <m:r>
                <m:t>Γ</m:t>
              </m:r>
              <m:sSubSup>
                <m:e>
                  <m:r>
                    <m:t>f</m:t>
                  </m:r>
                </m:e>
                <m:sub>
                  <m:r>
                    <m:t>t</m:t>
                  </m:r>
                </m:sub>
                <m:sup>
                  <m:r>
                    <m:rPr>
                      <m:sty m:val="p"/>
                    </m:rPr>
                    <m:t>d</m:t>
                  </m:r>
                </m:sup>
              </m:sSubSup>
            </m:oMath>
          </w:p>
        </w:tc>
        <w:tc>
          <w:tcPr/>
          <w:p>
            <w:pPr>
              <w:pStyle w:val="Compact"/>
              <w:jc w:val="left"/>
            </w:pPr>
            <w:r>
              <w:t xml:space="preserve">Aus dem Originalnetz aggregierter Zielfluss der Interzonenverbindungen</w:t>
            </w:r>
          </w:p>
        </w:tc>
      </w:tr>
      <w:tr>
        <w:tc>
          <w:tcPr/>
          <w:p>
            <w:pPr>
              <w:pStyle w:val="Compact"/>
              <w:jc w:val="left"/>
            </w:pPr>
            <m:oMath>
              <m:sSub>
                <m:e>
                  <m:acc>
                    <m:accPr>
                      <m:chr m:val="̂"/>
                    </m:accPr>
                    <m:e>
                      <m:r>
                        <m:t>f</m:t>
                      </m:r>
                    </m:e>
                  </m:acc>
                </m:e>
                <m:sub>
                  <m:r>
                    <m:t>t</m:t>
                  </m:r>
                </m:sub>
              </m:sSub>
            </m:oMath>
          </w:p>
        </w:tc>
        <w:tc>
          <w:tcPr/>
          <w:p>
            <w:pPr>
              <w:pStyle w:val="Compact"/>
              <w:jc w:val="left"/>
            </w:pPr>
            <w:r>
              <w:t xml:space="preserve">Im Ersatznetz berechneter Interzonenfluss</w:t>
            </w:r>
          </w:p>
        </w:tc>
      </w:tr>
      <w:tr>
        <w:tc>
          <w:tcPr/>
          <w:p>
            <w:pPr>
              <w:pStyle w:val="Compact"/>
              <w:jc w:val="left"/>
            </w:pPr>
            <m:oMath>
              <m:sSup>
                <m:e>
                  <m:r>
                    <m:t>c</m:t>
                  </m:r>
                </m:e>
                <m:sup>
                  <m:r>
                    <m:t>0</m:t>
                  </m:r>
                </m:sup>
              </m:sSup>
              <m:r>
                <m:rPr>
                  <m:sty m:val="p"/>
                </m:rPr>
                <m:t>∈</m:t>
              </m:r>
              <m:sSup>
                <m:e>
                  <m:r>
                    <m:rPr>
                      <m:sty m:val="p"/>
                      <m:scr m:val="double-struck"/>
                    </m:rPr>
                    <m:t>R</m:t>
                  </m:r>
                </m:e>
                <m:sup>
                  <m:r>
                    <m:t>r</m:t>
                  </m:r>
                </m:sup>
              </m:sSup>
            </m:oMath>
          </w:p>
        </w:tc>
        <w:tc>
          <w:tcPr/>
          <w:p>
            <w:pPr>
              <w:pStyle w:val="Compact"/>
              <w:jc w:val="left"/>
            </w:pPr>
            <w:r>
              <w:t xml:space="preserve">Struktureller Nullbilanz-Flusskorrekturvektor (Rekonstruktion)</w:t>
            </w:r>
          </w:p>
        </w:tc>
      </w:tr>
      <w:tr>
        <w:tc>
          <w:tcPr/>
          <w:p>
            <w:pPr>
              <w:pStyle w:val="Compact"/>
              <w:jc w:val="left"/>
            </w:pPr>
            <m:oMath>
              <m:sSub>
                <m:e>
                  <m:r>
                    <m:rPr>
                      <m:sty m:val="p"/>
                      <m:scr m:val="script"/>
                    </m:rPr>
                    <m:t>S</m:t>
                  </m:r>
                </m:e>
                <m:sub>
                  <m:r>
                    <m:t>y</m:t>
                  </m:r>
                </m:sub>
              </m:sSub>
            </m:oMath>
          </w:p>
        </w:tc>
        <w:tc>
          <w:tcPr/>
          <w:p>
            <w:pPr>
              <w:pStyle w:val="Compact"/>
              <w:jc w:val="left"/>
            </w:pPr>
            <w:r>
              <w:t xml:space="preserve">Menge der betrachteten Wetter-/Betriebsszenarien für Zieljahr</w:t>
            </w:r>
            <w:r>
              <w:t xml:space="preserve"> </w:t>
            </w:r>
            <m:oMath>
              <m:r>
                <m:t>y</m:t>
              </m:r>
            </m:oMath>
          </w:p>
        </w:tc>
      </w:tr>
      <w:tr>
        <w:tc>
          <w:tcPr/>
          <w:p>
            <w:pPr>
              <w:pStyle w:val="Compact"/>
              <w:jc w:val="left"/>
            </w:pPr>
            <m:oMath>
              <m:sSub>
                <m:e>
                  <m:r>
                    <m:rPr>
                      <m:sty m:val="p"/>
                      <m:scr m:val="script"/>
                    </m:rPr>
                    <m:t>T</m:t>
                  </m:r>
                </m:e>
                <m:sub>
                  <m:r>
                    <m:t>s</m:t>
                  </m:r>
                </m:sub>
              </m:sSub>
            </m:oMath>
            <w:r>
              <w:t xml:space="preserve">,</w:t>
            </w:r>
            <w:r>
              <w:t xml:space="preserve"> </w:t>
            </w:r>
            <m:oMath>
              <m:sSubSup>
                <m:e>
                  <m:r>
                    <m:rPr>
                      <m:sty m:val="p"/>
                      <m:scr m:val="script"/>
                    </m:rPr>
                    <m:t>T</m:t>
                  </m:r>
                </m:e>
                <m:sub>
                  <m:r>
                    <m:t>s</m:t>
                  </m:r>
                </m:sub>
                <m:sup>
                  <m:r>
                    <m:rPr>
                      <m:sty m:val="p"/>
                    </m:rPr>
                    <m:t>c</m:t>
                  </m:r>
                  <m:r>
                    <m:rPr>
                      <m:sty m:val="p"/>
                    </m:rPr>
                    <m:t>a</m:t>
                  </m:r>
                  <m:r>
                    <m:rPr>
                      <m:sty m:val="p"/>
                    </m:rPr>
                    <m:t>l</m:t>
                  </m:r>
                </m:sup>
              </m:sSubSup>
            </m:oMath>
          </w:p>
        </w:tc>
        <w:tc>
          <w:tcPr/>
          <w:p>
            <w:pPr>
              <w:pStyle w:val="Compact"/>
              <w:jc w:val="left"/>
            </w:pPr>
            <w:r>
              <w:t xml:space="preserve">Verfügbare bzw. zur Kalibrierung verwendete Zeitpunkte im Szenario</w:t>
            </w:r>
            <w:r>
              <w:t xml:space="preserve"> </w:t>
            </w:r>
            <m:oMath>
              <m:r>
                <m:t>s</m:t>
              </m:r>
            </m:oMath>
          </w:p>
        </w:tc>
      </w:tr>
      <w:tr>
        <w:tc>
          <w:tcPr/>
          <w:p>
            <w:pPr>
              <w:pStyle w:val="Compact"/>
              <w:jc w:val="left"/>
            </w:pPr>
            <m:oMath>
              <m:r>
                <m:rPr>
                  <m:sty m:val="p"/>
                  <m:scr m:val="script"/>
                </m:rPr>
                <m:t>O</m:t>
              </m:r>
            </m:oMath>
            <w:r>
              <w:t xml:space="preserve">,</w:t>
            </w:r>
            <w:r>
              <w:t xml:space="preserve"> </w:t>
            </w:r>
            <m:oMath>
              <m:sSub>
                <m:e>
                  <m:r>
                    <m:rPr>
                      <m:sty m:val="p"/>
                    </m:rPr>
                    <m:t>LODF</m:t>
                  </m:r>
                </m:e>
                <m:sub>
                  <m:r>
                    <m:rPr>
                      <m:sty m:val="p"/>
                    </m:rPr>
                    <m:t>ℓ</m:t>
                  </m:r>
                  <m:r>
                    <m:t>o</m:t>
                  </m:r>
                </m:sub>
              </m:sSub>
            </m:oMath>
          </w:p>
        </w:tc>
        <w:tc>
          <w:tcPr/>
          <w:p>
            <w:pPr>
              <w:pStyle w:val="Compact"/>
              <w:jc w:val="left"/>
            </w:pPr>
            <w:r>
              <w:t xml:space="preserve">Betrachtete Ausfälle und Lastflussverteilungsfaktoren infolge Ausfall</w:t>
            </w:r>
            <w:r>
              <w:t xml:space="preserve"> </w:t>
            </w:r>
            <m:oMath>
              <m:r>
                <m:t>o</m:t>
              </m:r>
            </m:oMath>
          </w:p>
        </w:tc>
      </w:tr>
      <w:tr>
        <w:tc>
          <w:tcPr/>
          <w:p>
            <w:pPr>
              <w:pStyle w:val="Compact"/>
              <w:jc w:val="left"/>
            </w:pPr>
            <m:oMath>
              <m:sSub>
                <m:e>
                  <m:bar>
                    <m:barPr>
                      <m:pos m:val="top"/>
                    </m:barPr>
                    <m:e>
                      <m:r>
                        <m:t>F</m:t>
                      </m:r>
                    </m:e>
                  </m:bar>
                </m:e>
                <m:sub>
                  <m:r>
                    <m:rPr>
                      <m:sty m:val="p"/>
                    </m:rPr>
                    <m:t>ℓ</m:t>
                  </m:r>
                </m:sub>
              </m:sSub>
            </m:oMath>
          </w:p>
        </w:tc>
        <w:tc>
          <w:tcPr/>
          <w:p>
            <w:pPr>
              <w:pStyle w:val="Compact"/>
              <w:jc w:val="left"/>
            </w:pPr>
            <w:r>
              <w:t xml:space="preserve">Thermische oder anderweitig vorgegebene Belastungsgrenze der physikalischen Leitung</w:t>
            </w:r>
          </w:p>
        </w:tc>
      </w:tr>
      <w:tr>
        <w:tc>
          <w:tcPr/>
          <w:p>
            <w:pPr>
              <w:pStyle w:val="Compact"/>
              <w:jc w:val="left"/>
            </w:pPr>
            <m:oMath>
              <m:sSub>
                <m:e>
                  <m:r>
                    <m:t>K</m:t>
                  </m:r>
                </m:e>
                <m:sub>
                  <m:r>
                    <m:t>e</m:t>
                  </m:r>
                  <m:r>
                    <m:rPr>
                      <m:sty m:val="p"/>
                    </m:rPr>
                    <m:t>,</m:t>
                  </m:r>
                  <m:r>
                    <m:t>σ</m:t>
                  </m:r>
                  <m:r>
                    <m:rPr>
                      <m:sty m:val="p"/>
                    </m:rPr>
                    <m:t>,</m:t>
                  </m:r>
                  <m:r>
                    <m:t>d</m:t>
                  </m:r>
                </m:sub>
              </m:sSub>
            </m:oMath>
          </w:p>
        </w:tc>
        <w:tc>
          <w:tcPr/>
          <w:p>
            <w:pPr>
              <w:pStyle w:val="Compact"/>
              <w:jc w:val="left"/>
            </w:pPr>
            <w:r>
              <w:t xml:space="preserve">Ersatzkapazität der Interzonenverbindung</w:t>
            </w:r>
            <w:r>
              <w:t xml:space="preserve"> </w:t>
            </w:r>
            <m:oMath>
              <m:r>
                <m:t>e</m:t>
              </m:r>
            </m:oMath>
            <w:r>
              <w:t xml:space="preserve"> </w:t>
            </w:r>
            <w:r>
              <w:t xml:space="preserve">für Jahreszeit</w:t>
            </w:r>
            <w:r>
              <w:t xml:space="preserve"> </w:t>
            </w:r>
            <m:oMath>
              <m:r>
                <m:t>σ</m:t>
              </m:r>
            </m:oMath>
            <w:r>
              <w:t xml:space="preserve"> </w:t>
            </w:r>
            <w:r>
              <w:t xml:space="preserve">und Richtung</w:t>
            </w:r>
            <w:r>
              <w:t xml:space="preserve"> </w:t>
            </w:r>
            <m:oMath>
              <m:r>
                <m:t>d</m:t>
              </m:r>
            </m:oMath>
          </w:p>
        </w:tc>
      </w:tr>
    </w:tbl>
    <w:p>
      <w:pPr>
        <w:pStyle w:val="BodyText"/>
      </w:pPr>
      <w:r>
        <w:t xml:space="preserve">Zur Vermeidung von Einheitenfehlern sind Winkeldifferenzen in Radiant, Flüsse und Einspeisungen in einheitlichen p.u.-Leistungsgrößen oder nach einheitlicher Skalierung in MW zu verwenden. Falls</w:t>
      </w:r>
      <w:r>
        <w:t xml:space="preserve"> </w:t>
      </w:r>
      <m:oMath>
        <m:r>
          <m:t>x</m:t>
        </m:r>
      </m:oMath>
      <w:r>
        <w:t xml:space="preserve"> </w:t>
      </w:r>
      <w:r>
        <w:t xml:space="preserve">als Reaktanz in Ohm gegeben ist, müssen Spannungsebene und Leistungsbasis vor der Verwendung in DC-Flussgleichungen festgelegt werden. [E]</w:t>
      </w:r>
    </w:p>
    <w:bookmarkEnd w:id="26"/>
    <w:bookmarkStart w:id="27" w:name="datenherkunft-und-zeitskalen-d"/>
    <w:p>
      <w:pPr>
        <w:pStyle w:val="Heading2"/>
      </w:pPr>
      <w:r>
        <w:t xml:space="preserve">2.2 Datenherkunft und Zeitskalen [D]</w:t>
      </w:r>
    </w:p>
    <w:p>
      <w:pPr>
        <w:pStyle w:val="FirstParagraph"/>
      </w:pPr>
      <w:r>
        <w:t xml:space="preserve">Das Ablaufdiagramm in [Q1, Abb. 4, S. 23] verbindet ein zusammengeführtes physikalisches Netzmodell (</w:t>
      </w:r>
      <w:r>
        <w:rPr>
          <w:i/>
          <w:iCs/>
        </w:rPr>
        <w:t xml:space="preserve">merged grid model</w:t>
      </w:r>
      <w:r>
        <w:t xml:space="preserve">), eine klassische NTC-Marktsimulation, die darauf gestützte PTDF-/Lastflussberechnung, das Clustering, die zwei Parameterverfahren sowie anschließend die zonale Marktsimulation. Die Pan-European Market Modelling Database (PEMMDB) stellt insbesondere Anlagen- und Marktdaten bereit, während die Pan-European Climate Database (PECD) wetterabhängige Profile liefert. Die Datensätze der Wetterauswahl enthalten stündliche Nachfrageschwankungen, Wind- und PV-Kapazitätsfaktoren; Zuflüsse der Wasserkraft liegen laut § 3.7 auf Wochenbasis vor. [Q1, S. 19, 23, 28–29, 33–35]</w:t>
      </w:r>
    </w:p>
    <w:p>
      <w:pPr>
        <w:pStyle w:val="BodyText"/>
      </w:pPr>
      <w:r>
        <w:rPr>
          <w:b/>
          <w:bCs/>
        </w:rPr>
        <w:t xml:space="preserve">Wichtig:</w:t>
      </w:r>
      <w:r>
        <w:t xml:space="preserve"> </w:t>
      </w:r>
      <w:r>
        <w:t xml:space="preserve">Die Datenebene des Wetter-Szenario-Clusterings (PCA/K-Means im Anhang 6.3) und das</w:t>
      </w:r>
      <w:r>
        <w:t xml:space="preserve"> </w:t>
      </w:r>
      <w:r>
        <w:rPr>
          <w:b/>
          <w:bCs/>
        </w:rPr>
        <w:t xml:space="preserve">elektrische Knoten-Clustering</w:t>
      </w:r>
      <w:r>
        <w:t xml:space="preserve"> </w:t>
      </w:r>
      <w:r>
        <w:t xml:space="preserve">nach § 3.8 sind zwei verschiedene Operationen mit anderen Grundgesamtheiten und anderen Zielgrößen.</w:t>
      </w:r>
    </w:p>
    <w:bookmarkEnd w:id="27"/>
    <w:bookmarkStart w:id="28" w:name="detaillierte-leistungsflussgleichungen-r"/>
    <w:p>
      <w:pPr>
        <w:pStyle w:val="Heading2"/>
      </w:pPr>
      <w:r>
        <w:t xml:space="preserve">2.3 Detaillierte Leistungsflussgleichungen [R]</w:t>
      </w:r>
    </w:p>
    <w:p>
      <w:pPr>
        <w:pStyle w:val="FirstParagraph"/>
      </w:pPr>
      <w:r>
        <w:t xml:space="preserve">Unter einer verlustlosen DC-Lastflussannahme mit konstanten Spannungbeträgen, kleinen Phasenwinkeldifferenzen und nicht verschwindenden Reaktanzen gilt, sofern nicht gesondert modellierte HVDC-/PST-Beiträge als Einspeisungen bzw. Offsets behandelt werden:</w:t>
      </w:r>
    </w:p>
    <w:p>
      <w:pPr>
        <w:pStyle w:val="BodyText"/>
        <w:tabs>
          <w:tab w:pos="8856" w:val="right"/>
        </w:tabs>
      </w:pPr>
      <m:oMathPara>
        <m:oMathParaPr>
          <m:jc m:val="center"/>
        </m:oMathParaPr>
        <m:oMath>
          <m:sSub>
            <m:e>
              <m:r>
                <m:t>A</m:t>
              </m:r>
            </m:e>
            <m:sub>
              <m:r>
                <m:rPr>
                  <m:sty m:val="p"/>
                </m:rPr>
                <m:t>d</m:t>
              </m:r>
            </m:sub>
          </m:sSub>
          <m:sSubSup>
            <m:e>
              <m:r>
                <m:t>f</m:t>
              </m:r>
            </m:e>
            <m:sub>
              <m:r>
                <m:t>t</m:t>
              </m:r>
            </m:sub>
            <m:sup>
              <m:r>
                <m:rPr>
                  <m:sty m:val="p"/>
                </m:rPr>
                <m:t>d</m:t>
              </m:r>
            </m:sup>
          </m:sSubSup>
          <m:r>
            <m:rPr>
              <m:sty m:val="p"/>
            </m:rPr>
            <m:t>=</m:t>
          </m:r>
          <m:sSubSup>
            <m:e>
              <m:r>
                <m:t>p</m:t>
              </m:r>
            </m:e>
            <m:sub>
              <m:r>
                <m:t>t</m:t>
              </m:r>
            </m:sub>
            <m:sup>
              <m:r>
                <m:rPr>
                  <m:sty m:val="p"/>
                </m:rPr>
                <m:t>d</m:t>
              </m:r>
            </m:sup>
          </m:sSubSup>
          <m:r>
            <m:rPr>
              <m:sty m:val="p"/>
            </m:rPr>
            <m:t>,</m:t>
          </m:r>
          <m:r>
            <m:t>  </m:t>
          </m:r>
          <m:sSubSup>
            <m:e>
              <m:r>
                <m:t>f</m:t>
              </m:r>
            </m:e>
            <m:sub>
              <m:r>
                <m:t>t</m:t>
              </m:r>
            </m:sub>
            <m:sup>
              <m:r>
                <m:rPr>
                  <m:sty m:val="p"/>
                </m:rPr>
                <m:t>d</m:t>
              </m:r>
            </m:sup>
          </m:sSubSup>
          <m:r>
            <m:rPr>
              <m:sty m:val="p"/>
            </m:rPr>
            <m:t>=</m:t>
          </m:r>
          <m:sSub>
            <m:e>
              <m:r>
                <m:t>D</m:t>
              </m:r>
            </m:e>
            <m:sub>
              <m:r>
                <m:rPr>
                  <m:sty m:val="p"/>
                </m:rPr>
                <m:t>d</m:t>
              </m:r>
            </m:sub>
          </m:sSub>
          <m:sSubSup>
            <m:e>
              <m:r>
                <m:t>A</m:t>
              </m:r>
            </m:e>
            <m:sub>
              <m:r>
                <m:rPr>
                  <m:sty m:val="p"/>
                </m:rPr>
                <m:t>d</m:t>
              </m:r>
            </m:sub>
            <m:sup>
              <m:r>
                <m:rPr>
                  <m:sty m:val="p"/>
                  <m:scr m:val="sans-serif"/>
                </m:rPr>
                <m:t>T</m:t>
              </m:r>
            </m:sup>
          </m:sSubSup>
          <m:sSubSup>
            <m:e>
              <m:r>
                <m:t>θ</m:t>
              </m:r>
            </m:e>
            <m:sub>
              <m:r>
                <m:t>t</m:t>
              </m:r>
            </m:sub>
            <m:sup>
              <m:r>
                <m:rPr>
                  <m:sty m:val="p"/>
                </m:rPr>
                <m:t>d</m:t>
              </m:r>
            </m:sup>
          </m:sSubSup>
          <m:r>
            <m:rPr>
              <m:sty m:val="p"/>
            </m:rPr>
            <m:t>,</m:t>
          </m:r>
          <m:r>
            <m:t>  </m:t>
          </m:r>
          <m:sSub>
            <m:e>
              <m:r>
                <m:t>D</m:t>
              </m:r>
            </m:e>
            <m:sub>
              <m:r>
                <m:rPr>
                  <m:sty m:val="p"/>
                </m:rPr>
                <m:t>d</m:t>
              </m:r>
            </m:sub>
          </m:sSub>
          <m:r>
            <m:rPr>
              <m:sty m:val="p"/>
            </m:rPr>
            <m:t>=</m:t>
          </m:r>
          <m:r>
            <m:rPr>
              <m:sty m:val="p"/>
            </m:rPr>
            <m:t>diag</m:t>
          </m:r>
          <m:d>
            <m:dPr>
              <m:begChr m:val="("/>
              <m:endChr m:val=")"/>
              <m:sepChr m:val=""/>
              <m:grow/>
            </m:dPr>
            <m:e>
              <m:r>
                <m:t>1</m:t>
              </m:r>
              <m:r>
                <m:rPr>
                  <m:sty m:val="p"/>
                </m:rPr>
                <m:t>/</m:t>
              </m:r>
              <m:sSub>
                <m:e>
                  <m:r>
                    <m:t>x</m:t>
                  </m:r>
                </m:e>
                <m:sub>
                  <m:r>
                    <m:rPr>
                      <m:sty m:val="p"/>
                    </m:rPr>
                    <m:t>ℓ</m:t>
                  </m:r>
                </m:sub>
              </m:sSub>
            </m:e>
          </m:d>
          <m:r>
            <m:rPr>
              <m:sty m:val="p"/>
            </m:rPr>
            <m:t>.</m:t>
          </m:r>
        </m:oMath>
      </m:oMathPara>
      <w:r>
        <w:rPr>
          <w:color w:val="374151"/>
          <w:sz w:val="18"/>
        </w:rPr>
        <w:tab/>
        <w:t>(1)</w:t>
      </w:r>
    </w:p>
    <w:p>
      <w:pPr>
        <w:pStyle w:val="FirstParagraph"/>
      </w:pPr>
      <w:r>
        <w:t xml:space="preserve">Daraus folgt die Laplace- bzw. Suszeptanzmatrix</w:t>
      </w:r>
    </w:p>
    <w:p>
      <w:pPr>
        <w:pStyle w:val="BodyText"/>
        <w:tabs>
          <w:tab w:pos="8856" w:val="right"/>
        </w:tabs>
      </w:pPr>
      <m:oMathPara>
        <m:oMathParaPr>
          <m:jc m:val="center"/>
        </m:oMathParaPr>
        <m:oMath>
          <m:sSub>
            <m:e>
              <m:r>
                <m:t>L</m:t>
              </m:r>
            </m:e>
            <m:sub>
              <m:r>
                <m:rPr>
                  <m:sty m:val="p"/>
                </m:rPr>
                <m:t>d</m:t>
              </m:r>
            </m:sub>
          </m:sSub>
          <m:r>
            <m:rPr>
              <m:sty m:val="p"/>
            </m:rPr>
            <m:t>=</m:t>
          </m:r>
          <m:sSub>
            <m:e>
              <m:r>
                <m:t>A</m:t>
              </m:r>
            </m:e>
            <m:sub>
              <m:r>
                <m:rPr>
                  <m:sty m:val="p"/>
                </m:rPr>
                <m:t>d</m:t>
              </m:r>
            </m:sub>
          </m:sSub>
          <m:sSub>
            <m:e>
              <m:r>
                <m:t>D</m:t>
              </m:r>
            </m:e>
            <m:sub>
              <m:r>
                <m:rPr>
                  <m:sty m:val="p"/>
                </m:rPr>
                <m:t>d</m:t>
              </m:r>
            </m:sub>
          </m:sSub>
          <m:sSubSup>
            <m:e>
              <m:r>
                <m:t>A</m:t>
              </m:r>
            </m:e>
            <m:sub>
              <m:r>
                <m:rPr>
                  <m:sty m:val="p"/>
                </m:rPr>
                <m:t>d</m:t>
              </m:r>
            </m:sub>
            <m:sup>
              <m:r>
                <m:rPr>
                  <m:sty m:val="p"/>
                  <m:scr m:val="sans-serif"/>
                </m:rPr>
                <m:t>T</m:t>
              </m:r>
            </m:sup>
          </m:sSubSup>
          <m:r>
            <m:rPr>
              <m:sty m:val="p"/>
            </m:rPr>
            <m:t>,</m:t>
          </m:r>
          <m:r>
            <m:t>  </m:t>
          </m:r>
          <m:sSub>
            <m:e>
              <m:r>
                <m:t>L</m:t>
              </m:r>
            </m:e>
            <m:sub>
              <m:r>
                <m:rPr>
                  <m:sty m:val="p"/>
                </m:rPr>
                <m:t>d</m:t>
              </m:r>
            </m:sub>
          </m:sSub>
          <m:sSubSup>
            <m:e>
              <m:r>
                <m:t>θ</m:t>
              </m:r>
            </m:e>
            <m:sub>
              <m:r>
                <m:t>t</m:t>
              </m:r>
            </m:sub>
            <m:sup>
              <m:r>
                <m:rPr>
                  <m:sty m:val="p"/>
                </m:rPr>
                <m:t>d</m:t>
              </m:r>
            </m:sup>
          </m:sSubSup>
          <m:r>
            <m:rPr>
              <m:sty m:val="p"/>
            </m:rPr>
            <m:t>=</m:t>
          </m:r>
          <m:sSubSup>
            <m:e>
              <m:r>
                <m:t>p</m:t>
              </m:r>
            </m:e>
            <m:sub>
              <m:r>
                <m:t>t</m:t>
              </m:r>
            </m:sub>
            <m:sup>
              <m:r>
                <m:rPr>
                  <m:sty m:val="p"/>
                </m:rPr>
                <m:t>d</m:t>
              </m:r>
            </m:sup>
          </m:sSubSup>
          <m:r>
            <m:rPr>
              <m:sty m:val="p"/>
            </m:rPr>
            <m:t>.</m:t>
          </m:r>
        </m:oMath>
      </m:oMathPara>
      <w:r>
        <w:rPr>
          <w:color w:val="374151"/>
          <w:sz w:val="18"/>
        </w:rPr>
        <w:tab/>
        <w:t>(2)</w:t>
      </w:r>
    </w:p>
    <w:p>
      <w:pPr>
        <w:pStyle w:val="FirstParagraph"/>
      </w:pPr>
      <w:r>
        <w:t xml:space="preserve">Die Referenzwinkelwahl und die Behandlung mehrerer Zusammenhangskomponenten sind bei einer tatsächlichen Implementation festzulegen. Das Dokument stellt für den Reduktionsschritt explizit die</w:t>
      </w:r>
      <w:r>
        <w:t xml:space="preserve"> </w:t>
      </w:r>
      <w:r>
        <w:rPr>
          <w:b/>
          <w:bCs/>
        </w:rPr>
        <w:t xml:space="preserve">DC-Approximation</w:t>
      </w:r>
      <w:r>
        <w:t xml:space="preserve"> </w:t>
      </w:r>
      <w:r>
        <w:t xml:space="preserve">und später die Maschenbedingung dar, schreibt aber keine vollständige nodale Matrixform wie (1)–(2) aus. Deshalb sind (1)–(2) Standardrekonstruktionen der beschriebenen physikalischen Modellklasse, keine wörtlichen ENTSO-E-Gleichungen. [Q1, S. 49]</w:t>
      </w:r>
    </w:p>
    <w:bookmarkEnd w:id="28"/>
    <w:bookmarkEnd w:id="29"/>
    <w:bookmarkStart w:id="32" w:name="X1401d47855f6bdb77e0edf100d64e77ee443b16"/>
    <w:p>
      <w:pPr>
        <w:pStyle w:val="Heading1"/>
      </w:pPr>
      <w:r>
        <w:t xml:space="preserve">3. Rekonstruierte Prozesskette und Schnittstellen</w:t>
      </w:r>
    </w:p>
    <w:bookmarkStart w:id="30" w:name="methodische-reihenfolge-d"/>
    <w:p>
      <w:pPr>
        <w:pStyle w:val="Heading2"/>
      </w:pPr>
      <w:r>
        <w:t xml:space="preserve">3.1 Methodische Reihenfolge [D]</w:t>
      </w:r>
    </w:p>
    <w:p>
      <w:pPr>
        <w:pStyle w:val="FirstParagraph"/>
      </w:pPr>
      <w:r>
        <w:t xml:space="preserve">Abbildung 4 von [Q1] ergibt folgende, teilweise rückgekoppelte Verarbeitung:</w:t>
      </w:r>
    </w:p>
    <w:p>
      <w:pPr>
        <w:pStyle w:val="Compact"/>
        <w:numPr>
          <w:ilvl w:val="0"/>
          <w:numId w:val="1002"/>
        </w:numPr>
      </w:pPr>
      <w:r>
        <w:t xml:space="preserve">Ausgangsszenario, PEMMDB, klassisches NTC-Marktmodell und detaillierter zusammengeführter Netzgraph.</w:t>
      </w:r>
    </w:p>
    <w:p>
      <w:pPr>
        <w:pStyle w:val="Compact"/>
        <w:numPr>
          <w:ilvl w:val="0"/>
          <w:numId w:val="1002"/>
        </w:numPr>
      </w:pPr>
      <w:r>
        <w:t xml:space="preserve">Marktsimulations-Dispatch und Umrechnung in synchronisierte physikalische Flüsse über PTDF oder ein anderes Lastflusswerkzeug.</w:t>
      </w:r>
    </w:p>
    <w:p>
      <w:pPr>
        <w:pStyle w:val="Compact"/>
        <w:numPr>
          <w:ilvl w:val="0"/>
          <w:numId w:val="1002"/>
        </w:numPr>
      </w:pPr>
      <w:r>
        <w:t xml:space="preserve">Kandidaten einer Knoten-Zonen-Partition unter Berücksichtigung der kritischen Leitungen, Flusssynchronität und Zonenanzahl.</w:t>
      </w:r>
    </w:p>
    <w:p>
      <w:pPr>
        <w:pStyle w:val="Compact"/>
        <w:numPr>
          <w:ilvl w:val="0"/>
          <w:numId w:val="1002"/>
        </w:numPr>
      </w:pPr>
      <w:r>
        <w:t xml:space="preserve">Kalibrierung der Ersatzimpedanzen und strukturellen Nullbilanzflüsse anhand der Zielflüsse.</w:t>
      </w:r>
    </w:p>
    <w:p>
      <w:pPr>
        <w:pStyle w:val="Compact"/>
        <w:numPr>
          <w:ilvl w:val="0"/>
          <w:numId w:val="1002"/>
        </w:numPr>
      </w:pPr>
      <w:r>
        <w:t xml:space="preserve">Bestimmung der äquivalenten Übertragungskapazitäten anhand der physikalischen Leitungen und ihrer N-1-Belastung.</w:t>
      </w:r>
    </w:p>
    <w:p>
      <w:pPr>
        <w:pStyle w:val="Compact"/>
        <w:numPr>
          <w:ilvl w:val="0"/>
          <w:numId w:val="1002"/>
        </w:numPr>
      </w:pPr>
      <w:r>
        <w:t xml:space="preserve">Qualitätskontrolle und gegebenenfalls erneute Änderung der Zonengrenzen.</w:t>
      </w:r>
    </w:p>
    <w:p>
      <w:pPr>
        <w:pStyle w:val="Compact"/>
        <w:numPr>
          <w:ilvl w:val="0"/>
          <w:numId w:val="1002"/>
        </w:numPr>
      </w:pPr>
      <w:r>
        <w:t xml:space="preserve">Bildung der zonalen Marktdaten, Ergänzung steuerbarer Betriebsmittel und Integration in das physikalisch gekoppelte zonale Markt-/Ausbaumodell.</w:t>
      </w:r>
    </w:p>
    <w:p>
      <w:pPr>
        <w:pStyle w:val="FirstParagraph"/>
      </w:pPr>
      <w:r>
        <w:t xml:space="preserve">Die Parameterberechnung wird in Abb. 4</w:t>
      </w:r>
      <w:r>
        <w:t xml:space="preserve"> </w:t>
      </w:r>
      <w:r>
        <w:rPr>
          <w:b/>
          <w:bCs/>
        </w:rPr>
        <w:t xml:space="preserve">„für jedes Szenario“</w:t>
      </w:r>
      <w:r>
        <w:t xml:space="preserve"> </w:t>
      </w:r>
      <w:r>
        <w:t xml:space="preserve">dargestellt. Offen bleibt, welcher Szenariobegriff für alle Teilprozesse verbindlich gilt und ob die</w:t>
      </w:r>
      <w:r>
        <w:t xml:space="preserve"> </w:t>
      </w:r>
      <w:r>
        <w:rPr>
          <w:b/>
          <w:bCs/>
        </w:rPr>
        <w:t xml:space="preserve">Topologie</w:t>
      </w:r>
      <w:r>
        <w:t xml:space="preserve"> </w:t>
      </w:r>
      <w:r>
        <w:t xml:space="preserve">ebenfalls neu erzeugt oder nur die</w:t>
      </w:r>
      <w:r>
        <w:t xml:space="preserve"> </w:t>
      </w:r>
      <w:r>
        <w:rPr>
          <w:b/>
          <w:bCs/>
        </w:rPr>
        <w:t xml:space="preserve">Parameter</w:t>
      </w:r>
      <w:r>
        <w:t xml:space="preserve"> </w:t>
      </w:r>
      <w:r>
        <w:t xml:space="preserve">pro Szenario neu kalibriert werden. Die Grafik allein definiert keine eindeutige Versions- und Vererbungsregel. [Q1, S. 23]</w:t>
      </w:r>
    </w:p>
    <w:bookmarkEnd w:id="30"/>
    <w:bookmarkStart w:id="31" w:name="zu-unterscheidende-ergebnisse"/>
    <w:p>
      <w:pPr>
        <w:pStyle w:val="Heading2"/>
      </w:pPr>
      <w:r>
        <w:t xml:space="preserve">3.2 Zu unterscheidende Ergebnisse</w:t>
      </w:r>
    </w:p>
    <w:p>
      <w:pPr>
        <w:pStyle w:val="FirstParagraph"/>
      </w:pPr>
      <w:r>
        <w:rPr>
          <w:b/>
          <w:bCs/>
        </w:rPr>
        <w:t xml:space="preserve">Strukturelle Ergebnisse:</w:t>
      </w:r>
      <w:r>
        <w:t xml:space="preserve"> </w:t>
      </w:r>
      <w:r>
        <w:t xml:space="preserve">Zonenzahl, eindeutige Knotenzuordnung, relevante Grenzleitungsbündel und äquivalenter Zonen-Graph.</w:t>
      </w:r>
    </w:p>
    <w:p>
      <w:pPr>
        <w:pStyle w:val="BodyText"/>
      </w:pPr>
      <w:r>
        <w:rPr>
          <w:b/>
          <w:bCs/>
        </w:rPr>
        <w:t xml:space="preserve">Elektrische Parameter:</w:t>
      </w:r>
      <w:r>
        <w:t xml:space="preserve"> </w:t>
      </w:r>
      <w:r>
        <w:t xml:space="preserve">Pro Verbindung Ersatzimpedanz und struktureller Nullbilanzfluss, resultierende Maschenbeziehungen, HVDC-Einfluss und PST-Wirkbereich.</w:t>
      </w:r>
    </w:p>
    <w:p>
      <w:pPr>
        <w:pStyle w:val="BodyText"/>
      </w:pPr>
      <w:r>
        <w:rPr>
          <w:b/>
          <w:bCs/>
        </w:rPr>
        <w:t xml:space="preserve">Sicherheitsparameter:</w:t>
      </w:r>
      <w:r>
        <w:t xml:space="preserve"> </w:t>
      </w:r>
      <w:r>
        <w:t xml:space="preserve">N-1-äquivalente Kapazitäten, je Sommer/Winter und positiver/negativer Flussrichtung.</w:t>
      </w:r>
    </w:p>
    <w:p>
      <w:pPr>
        <w:pStyle w:val="BodyText"/>
      </w:pPr>
      <w:r>
        <w:rPr>
          <w:b/>
          <w:bCs/>
        </w:rPr>
        <w:t xml:space="preserve">Datenparameter:</w:t>
      </w:r>
      <w:r>
        <w:t xml:space="preserve"> </w:t>
      </w:r>
      <w:r>
        <w:t xml:space="preserve">Räumliche Zuordnung der Anlagen, Lasten und Wetterprofile zu den Zonen.</w:t>
      </w:r>
    </w:p>
    <w:p>
      <w:pPr>
        <w:pStyle w:val="BodyText"/>
      </w:pPr>
      <w:r>
        <w:t xml:space="preserve">Die sechs explizit benannten Reduktions-Outputs sind: No-Load Flows, Reduced Network Loop Flows, HVDC-Einfluss auf No-Load Flows, Reduced Link Capacities, Reduced Link Impedances und PST-Wirkung in MW. [Q1, § 3.8.3, S. 28]</w:t>
      </w:r>
    </w:p>
    <w:bookmarkEnd w:id="31"/>
    <w:bookmarkEnd w:id="32"/>
    <w:bookmarkStart w:id="37" w:name="engpassbewertung-und-knotenzonierung"/>
    <w:p>
      <w:pPr>
        <w:pStyle w:val="Heading1"/>
      </w:pPr>
      <w:r>
        <w:t xml:space="preserve">4. Engpassbewertung und Knotenzonierung</w:t>
      </w:r>
    </w:p>
    <w:bookmarkStart w:id="33" w:name="X2cec5d28222159acaea3b4c4b17cb32d0037407"/>
    <w:p>
      <w:pPr>
        <w:pStyle w:val="Heading2"/>
      </w:pPr>
      <w:r>
        <w:t xml:space="preserve">4.1 Zeitabhängige Priorisierung überlasteter Leitungen [D/R]</w:t>
      </w:r>
    </w:p>
    <w:p>
      <w:pPr>
        <w:pStyle w:val="FirstParagraph"/>
      </w:pPr>
      <w:r>
        <w:t xml:space="preserve">ENTSO-E beschreibt für die im Verfahren betrachteten Wetterfälle</w:t>
      </w:r>
      <w:r>
        <w:t xml:space="preserve"> </w:t>
      </w:r>
      <w:r>
        <w:rPr>
          <w:b/>
          <w:bCs/>
        </w:rPr>
        <w:t xml:space="preserve">stündliche</w:t>
      </w:r>
      <w:r>
        <w:t xml:space="preserve"> </w:t>
      </w:r>
      <w:r>
        <w:t xml:space="preserve">Flussberechnungen sämtlicher betrachteter 225-kV- und 400-kV-Leitungen. Kritisch ist eine überlastete Leitung. Als Prioritätskriterium dient die</w:t>
      </w:r>
      <w:r>
        <w:t xml:space="preserve"> </w:t>
      </w:r>
      <w:r>
        <w:rPr>
          <w:i/>
          <w:iCs/>
        </w:rPr>
        <w:t xml:space="preserve">jährliche Überlastungsenergie</w:t>
      </w:r>
      <w:r>
        <w:t xml:space="preserve">: Sie verknüpft Häufigkeit und Überlastungsstärke, statt nur die stärkste Einzelüberlastung oder deren Häufigkeit zu verwenden. [Q1, Anhang 6.1, S. 45]</w:t>
      </w:r>
    </w:p>
    <w:p>
      <w:pPr>
        <w:pStyle w:val="BodyText"/>
      </w:pPr>
      <w:r>
        <w:t xml:space="preserve">Eine mathematisch naheliegende Formalisierung [R] lautet für eine Leitung</w:t>
      </w:r>
      <w:r>
        <w:t xml:space="preserve"> </w:t>
      </w:r>
      <m:oMath>
        <m:r>
          <m:rPr>
            <m:sty m:val="p"/>
          </m:rPr>
          <m:t>ℓ</m:t>
        </m:r>
      </m:oMath>
      <w:r>
        <w:t xml:space="preserve"> </w:t>
      </w:r>
      <w:r>
        <w:t xml:space="preserve">und ein Wetterjahr</w:t>
      </w:r>
      <w:r>
        <w:t xml:space="preserve"> </w:t>
      </w:r>
      <m:oMath>
        <m:r>
          <m:t>s</m:t>
        </m:r>
      </m:oMath>
      <w:r>
        <w:t xml:space="preserve">:</w:t>
      </w:r>
    </w:p>
    <w:p>
      <w:pPr>
        <w:pStyle w:val="BodyText"/>
        <w:tabs>
          <w:tab w:pos="8856" w:val="right"/>
        </w:tabs>
      </w:pPr>
      <m:oMathPara>
        <m:oMathParaPr>
          <m:jc m:val="center"/>
        </m:oMathParaPr>
        <m:oMath>
          <m:sSub>
            <m:e>
              <m:r>
                <m:t>ε</m:t>
              </m:r>
            </m:e>
            <m:sub>
              <m:r>
                <m:rPr>
                  <m:sty m:val="p"/>
                </m:rPr>
                <m:t>ℓ</m:t>
              </m:r>
              <m:r>
                <m:rPr>
                  <m:sty m:val="p"/>
                </m:rPr>
                <m:t>,</m:t>
              </m:r>
              <m:r>
                <m:t>t</m:t>
              </m:r>
              <m:r>
                <m:rPr>
                  <m:sty m:val="p"/>
                </m:rPr>
                <m:t>,</m:t>
              </m:r>
              <m:r>
                <m:t>s</m:t>
              </m:r>
            </m:sub>
          </m:sSub>
          <m:r>
            <m:rPr>
              <m:sty m:val="p"/>
            </m:rPr>
            <m:t>=</m:t>
          </m:r>
          <m:r>
            <m:rPr>
              <m:sty m:val="p"/>
            </m:rPr>
            <m:t>max</m:t>
          </m:r>
          <m:r>
            <m:rPr>
              <m:sty m:val="p"/>
            </m:rPr>
            <m:t>{</m:t>
          </m:r>
          <m:r>
            <m:t>0</m:t>
          </m:r>
          <m:r>
            <m:rPr>
              <m:sty m:val="p"/>
            </m:rPr>
            <m:t>,</m:t>
          </m:r>
          <m:d>
            <m:dPr>
              <m:begChr m:val="|"/>
              <m:endChr m:val="|"/>
              <m:sepChr m:val=""/>
              <m:grow/>
            </m:dPr>
            <m:e>
              <m:sSubSup>
                <m:e>
                  <m:r>
                    <m:t>f</m:t>
                  </m:r>
                </m:e>
                <m:sub>
                  <m:r>
                    <m:rPr>
                      <m:sty m:val="p"/>
                    </m:rPr>
                    <m:t>ℓ</m:t>
                  </m:r>
                  <m:r>
                    <m:rPr>
                      <m:sty m:val="p"/>
                    </m:rPr>
                    <m:t>,</m:t>
                  </m:r>
                  <m:r>
                    <m:t>t</m:t>
                  </m:r>
                  <m:r>
                    <m:rPr>
                      <m:sty m:val="p"/>
                    </m:rPr>
                    <m:t>,</m:t>
                  </m:r>
                  <m:r>
                    <m:t>s</m:t>
                  </m:r>
                </m:sub>
                <m:sup>
                  <m:r>
                    <m:rPr>
                      <m:sty m:val="p"/>
                    </m:rPr>
                    <m:t>d</m:t>
                  </m:r>
                </m:sup>
              </m:sSubSup>
            </m:e>
          </m:d>
          <m:r>
            <m:rPr>
              <m:sty m:val="p"/>
            </m:rPr>
            <m:t>−</m:t>
          </m:r>
          <m:sSub>
            <m:e>
              <m:bar>
                <m:barPr>
                  <m:pos m:val="top"/>
                </m:barPr>
                <m:e>
                  <m:r>
                    <m:t>F</m:t>
                  </m:r>
                </m:e>
              </m:bar>
            </m:e>
            <m:sub>
              <m:r>
                <m:rPr>
                  <m:sty m:val="p"/>
                </m:rPr>
                <m:t>ℓ</m:t>
              </m:r>
              <m:r>
                <m:rPr>
                  <m:sty m:val="p"/>
                </m:rPr>
                <m:t>,</m:t>
              </m:r>
              <m:r>
                <m:t>t</m:t>
              </m:r>
              <m:r>
                <m:rPr>
                  <m:sty m:val="p"/>
                </m:rPr>
                <m:t>,</m:t>
              </m:r>
              <m:r>
                <m:t>s</m:t>
              </m:r>
            </m:sub>
          </m:sSub>
          <m:r>
            <m:rPr>
              <m:sty m:val="p"/>
            </m:rPr>
            <m:t>}</m:t>
          </m:r>
          <m:r>
            <m:rPr>
              <m:sty m:val="p"/>
            </m:rPr>
            <m:t>,</m:t>
          </m:r>
          <m:r>
            <m:t>  </m:t>
          </m:r>
          <m:sSubSup>
            <m:e>
              <m:r>
                <m:t>E</m:t>
              </m:r>
            </m:e>
            <m:sub>
              <m:r>
                <m:rPr>
                  <m:sty m:val="p"/>
                </m:rPr>
                <m:t>ℓ</m:t>
              </m:r>
              <m:r>
                <m:rPr>
                  <m:sty m:val="p"/>
                </m:rPr>
                <m:t>,</m:t>
              </m:r>
              <m:r>
                <m:t>s</m:t>
              </m:r>
            </m:sub>
            <m:sup>
              <m:r>
                <m:rPr>
                  <m:sty m:val="p"/>
                </m:rPr>
                <m:t>o</m:t>
              </m:r>
              <m:r>
                <m:rPr>
                  <m:sty m:val="p"/>
                </m:rPr>
                <m:t>v</m:t>
              </m:r>
            </m:sup>
          </m:sSubSup>
          <m:r>
            <m:rPr>
              <m:sty m:val="p"/>
            </m:rPr>
            <m:t>=</m:t>
          </m:r>
          <m:nary>
            <m:naryPr>
              <m:chr m:val="∑"/>
              <m:limLoc m:val="undOvr"/>
              <m:subHide m:val="off"/>
              <m:supHide m:val="on"/>
            </m:naryPr>
            <m:sub>
              <m:r>
                <m:t>t</m:t>
              </m:r>
              <m:r>
                <m:rPr>
                  <m:sty m:val="p"/>
                </m:rPr>
                <m:t>∈</m:t>
              </m:r>
              <m:sSub>
                <m:e>
                  <m:r>
                    <m:rPr>
                      <m:sty m:val="p"/>
                      <m:scr m:val="script"/>
                    </m:rPr>
                    <m:t>T</m:t>
                  </m:r>
                </m:e>
                <m:sub>
                  <m:r>
                    <m:t>s</m:t>
                  </m:r>
                </m:sub>
              </m:sSub>
            </m:sub>
            <m:sup>
              <m:r>
                <m:t>​</m:t>
              </m:r>
            </m:sup>
            <m:e>
              <m:sSub>
                <m:e>
                  <m:r>
                    <m:t>ε</m:t>
                  </m:r>
                </m:e>
                <m:sub>
                  <m:r>
                    <m:rPr>
                      <m:sty m:val="p"/>
                    </m:rPr>
                    <m:t>ℓ</m:t>
                  </m:r>
                  <m:r>
                    <m:rPr>
                      <m:sty m:val="p"/>
                    </m:rPr>
                    <m:t>,</m:t>
                  </m:r>
                  <m:r>
                    <m:t>t</m:t>
                  </m:r>
                  <m:r>
                    <m:rPr>
                      <m:sty m:val="p"/>
                    </m:rPr>
                    <m:t>,</m:t>
                  </m:r>
                  <m:r>
                    <m:t>s</m:t>
                  </m:r>
                </m:sub>
              </m:sSub>
            </m:e>
          </m:nary>
          <m:r>
            <m:t> </m:t>
          </m:r>
          <m:r>
            <m:t>Δ</m:t>
          </m:r>
          <m:sSub>
            <m:e>
              <m:r>
                <m:t>t</m:t>
              </m:r>
            </m:e>
            <m:sub>
              <m:r>
                <m:t>t</m:t>
              </m:r>
            </m:sub>
          </m:sSub>
          <m:r>
            <m:rPr>
              <m:sty m:val="p"/>
            </m:rPr>
            <m:t>.</m:t>
          </m:r>
        </m:oMath>
      </m:oMathPara>
      <w:r>
        <w:rPr>
          <w:color w:val="374151"/>
          <w:sz w:val="18"/>
        </w:rPr>
        <w:tab/>
        <w:t>(3)</w:t>
      </w:r>
    </w:p>
    <w:p>
      <w:pPr>
        <w:pStyle w:val="FirstParagraph"/>
      </w:pPr>
      <w:r>
        <w:t xml:space="preserve">Bei</w:t>
      </w:r>
      <w:r>
        <w:t xml:space="preserve"> </w:t>
      </w:r>
      <m:oMath>
        <m:r>
          <m:t>Δ</m:t>
        </m:r>
        <m:r>
          <m:t>t</m:t>
        </m:r>
        <m:r>
          <m:rPr>
            <m:sty m:val="p"/>
          </m:rPr>
          <m:t>=</m:t>
        </m:r>
        <m:r>
          <m:t>1</m:t>
        </m:r>
        <m:r>
          <m:t> </m:t>
        </m:r>
        <m:r>
          <m:rPr>
            <m:sty m:val="p"/>
          </m:rPr>
          <m:t>h</m:t>
        </m:r>
      </m:oMath>
      <w:r>
        <w:t xml:space="preserve"> </w:t>
      </w:r>
      <w:r>
        <w:t xml:space="preserve">besitzt</w:t>
      </w:r>
      <w:r>
        <w:t xml:space="preserve"> </w:t>
      </w:r>
      <m:oMath>
        <m:sSubSup>
          <m:e>
            <m:r>
              <m:t>E</m:t>
            </m:r>
          </m:e>
          <m:sub>
            <m:r>
              <m:rPr>
                <m:sty m:val="p"/>
              </m:rPr>
              <m:t>ℓ</m:t>
            </m:r>
            <m:r>
              <m:rPr>
                <m:sty m:val="p"/>
              </m:rPr>
              <m:t>,</m:t>
            </m:r>
            <m:r>
              <m:t>s</m:t>
            </m:r>
          </m:sub>
          <m:sup>
            <m:r>
              <m:rPr>
                <m:sty m:val="p"/>
              </m:rPr>
              <m:t>o</m:t>
            </m:r>
            <m:r>
              <m:rPr>
                <m:sty m:val="p"/>
              </m:rPr>
              <m:t>v</m:t>
            </m:r>
          </m:sup>
        </m:sSubSup>
      </m:oMath>
      <w:r>
        <w:t xml:space="preserve"> </w:t>
      </w:r>
      <w:r>
        <w:t xml:space="preserve">die Einheit MWh. Für unterschiedliche Wetterjahre ist eine zusätzliche Aggregation möglich,</w:t>
      </w:r>
      <w:r>
        <w:t xml:space="preserve"> </w:t>
      </w:r>
      <w:r>
        <w:rPr>
          <w:b/>
          <w:bCs/>
        </w:rPr>
        <w:t xml:space="preserve">aber ihre Definition für die Engpassrangfolge ist nicht veröffentlicht</w:t>
      </w:r>
      <w:r>
        <w:t xml:space="preserve">; insbesondere folgt aus den statistischen Wettergewichten der Ausbauoptimierung nicht automatisch, dass dieselben Gewichte in (3) verwendet werden. [U]</w:t>
      </w:r>
    </w:p>
    <w:p>
      <w:pPr>
        <w:pStyle w:val="BodyText"/>
      </w:pPr>
      <w:r>
        <w:rPr>
          <w:b/>
          <w:bCs/>
        </w:rPr>
        <w:t xml:space="preserve">Analytischer Befund [A].</w:t>
      </w:r>
      <w:r>
        <w:t xml:space="preserve"> </w:t>
      </w:r>
      <w:r>
        <w:t xml:space="preserve">Die Rangfolge nach (3) kann sich von derjenigen nach der stündlichen Maximallast oder der Überlastungshäufigkeit unterscheiden. Tabelle 5 in [Q1, S. 45] illustriert genau diesen Unterschied. Der veröffentlichte Text enthält jedoch keinen absoluten Aufnahmeschwellenwert, kein festes Top-</w:t>
      </w:r>
      <m:oMath>
        <m:r>
          <m:t>N</m:t>
        </m:r>
      </m:oMath>
      <w:r>
        <w:t xml:space="preserve"> </w:t>
      </w:r>
      <w:r>
        <w:t xml:space="preserve">und keine mathematisch spezifizierte Mehrwetterjahr-Aggregation. [U]</w:t>
      </w:r>
    </w:p>
    <w:bookmarkEnd w:id="33"/>
    <w:bookmarkStart w:id="34" w:name="partitionierung-der-originalknoten-r"/>
    <w:p>
      <w:pPr>
        <w:pStyle w:val="Heading2"/>
      </w:pPr>
      <w:r>
        <w:t xml:space="preserve">4.2 Partitionierung der Originalknoten [R]</w:t>
      </w:r>
    </w:p>
    <w:p>
      <w:pPr>
        <w:pStyle w:val="FirstParagraph"/>
      </w:pPr>
      <w:r>
        <w:t xml:space="preserve">Eine zonale Partition lässt sich durch die binäre Matrix</w:t>
      </w:r>
      <w:r>
        <w:t xml:space="preserve"> </w:t>
      </w:r>
      <m:oMath>
        <m:r>
          <m:t>P</m:t>
        </m:r>
      </m:oMath>
      <w:r>
        <w:t xml:space="preserve"> </w:t>
      </w:r>
      <w:r>
        <w:t xml:space="preserve">beschreiben:</w:t>
      </w:r>
    </w:p>
    <w:p>
      <w:pPr>
        <w:pStyle w:val="BodyText"/>
        <w:tabs>
          <w:tab w:pos="8856" w:val="right"/>
        </w:tabs>
      </w:pPr>
      <m:oMathPara>
        <m:oMathParaPr>
          <m:jc m:val="center"/>
        </m:oMathParaPr>
        <m:oMath>
          <m:sSub>
            <m:e>
              <m:r>
                <m:t>P</m:t>
              </m:r>
            </m:e>
            <m:sub>
              <m:r>
                <m:t>z</m:t>
              </m:r>
              <m:r>
                <m:t>i</m:t>
              </m:r>
            </m:sub>
          </m:sSub>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z</m:t>
              </m:r>
              <m:r>
                <m:rPr>
                  <m:sty m:val="p"/>
                </m:rPr>
                <m:t>∈</m:t>
              </m:r>
              <m:sSup>
                <m:e>
                  <m:r>
                    <m:t>V</m:t>
                  </m:r>
                </m:e>
                <m:sup>
                  <m:r>
                    <m:rPr>
                      <m:sty m:val="p"/>
                    </m:rPr>
                    <m:t>z</m:t>
                  </m:r>
                </m:sup>
              </m:sSup>
            </m:sub>
            <m:sup>
              <m:r>
                <m:t>​</m:t>
              </m:r>
            </m:sup>
            <m:e>
              <m:sSub>
                <m:e>
                  <m:r>
                    <m:t>P</m:t>
                  </m:r>
                </m:e>
                <m:sub>
                  <m:r>
                    <m:t>z</m:t>
                  </m:r>
                  <m:r>
                    <m:t>i</m:t>
                  </m:r>
                </m:sub>
              </m:sSub>
            </m:e>
          </m:nary>
          <m:r>
            <m:rPr>
              <m:sty m:val="p"/>
            </m:rPr>
            <m:t>=</m:t>
          </m:r>
          <m:r>
            <m:t>1</m:t>
          </m:r>
          <m:r>
            <m:t> </m:t>
          </m:r>
          <m:r>
            <m:rPr>
              <m:sty m:val="p"/>
            </m:rPr>
            <m:t>∀</m:t>
          </m:r>
          <m:r>
            <m:t>i</m:t>
          </m:r>
          <m:r>
            <m:rPr>
              <m:sty m:val="p"/>
            </m:rPr>
            <m:t>∈</m:t>
          </m:r>
          <m:sSup>
            <m:e>
              <m:r>
                <m:t>V</m:t>
              </m:r>
            </m:e>
            <m:sup>
              <m:r>
                <m:rPr>
                  <m:sty m:val="p"/>
                </m:rPr>
                <m:t>d</m:t>
              </m:r>
            </m:sup>
          </m:sSup>
          <m:r>
            <m:rPr>
              <m:sty m:val="p"/>
            </m:rPr>
            <m:t>.</m:t>
          </m:r>
        </m:oMath>
      </m:oMathPara>
      <w:r>
        <w:rPr>
          <w:color w:val="374151"/>
          <w:sz w:val="18"/>
        </w:rPr>
        <w:tab/>
        <w:t>(4)</w:t>
      </w:r>
    </w:p>
    <w:p>
      <w:pPr>
        <w:pStyle w:val="FirstParagraph"/>
      </w:pPr>
      <w:r>
        <w:t xml:space="preserve">Zusätzlich fordert die dokumentierte Methodik eine innerhalb jeder Zone</w:t>
      </w:r>
      <w:r>
        <w:t xml:space="preserve"> </w:t>
      </w:r>
      <w:r>
        <w:rPr>
          <w:b/>
          <w:bCs/>
        </w:rPr>
        <w:t xml:space="preserve">zusammenhängende Netztopologie</w:t>
      </w:r>
      <w:r>
        <w:t xml:space="preserve"> </w:t>
      </w:r>
      <w:r>
        <w:t xml:space="preserve">und strebt ungefähr ausgewogene Zonengrößen an. Dies ist wichtig: Eine rein geografische Nachbarschaft oder ein gemeinsames Bietzonenetikett genügt nicht, wenn im elektrischen Graphen keine Verbindung innerhalb der Zone besteht. [Q1, S. 24]</w:t>
      </w:r>
    </w:p>
    <w:p>
      <w:pPr>
        <w:pStyle w:val="BodyText"/>
      </w:pPr>
      <w:r>
        <w:t xml:space="preserve">Die publizierten Clustering-Ziele lauten [D]:</w:t>
      </w:r>
    </w:p>
    <w:p>
      <w:pPr>
        <w:pStyle w:val="Compact"/>
        <w:numPr>
          <w:ilvl w:val="0"/>
          <w:numId w:val="1003"/>
        </w:numPr>
      </w:pPr>
      <w:r>
        <w:t xml:space="preserve">kritische oder grenzüberschreitend sensitive Betriebsmittel möglichst als Interzonenverbindungen sichtbar halten;</w:t>
      </w:r>
    </w:p>
    <w:p>
      <w:pPr>
        <w:pStyle w:val="Compact"/>
        <w:numPr>
          <w:ilvl w:val="0"/>
          <w:numId w:val="1003"/>
        </w:numPr>
      </w:pPr>
      <w:r>
        <w:t xml:space="preserve">Leitungen mit ähnlichem Verhalten bzw.</w:t>
      </w:r>
      <w:r>
        <w:t xml:space="preserve"> </w:t>
      </w:r>
      <w:r>
        <w:rPr>
          <w:b/>
          <w:bCs/>
        </w:rPr>
        <w:t xml:space="preserve">synchronen, gleichgerichteten Flüssen</w:t>
      </w:r>
      <w:r>
        <w:t xml:space="preserve"> </w:t>
      </w:r>
      <w:r>
        <w:t xml:space="preserve">gemeinsam aggregieren;</w:t>
      </w:r>
    </w:p>
    <w:p>
      <w:pPr>
        <w:pStyle w:val="Compact"/>
        <w:numPr>
          <w:ilvl w:val="0"/>
          <w:numId w:val="1003"/>
        </w:numPr>
      </w:pPr>
      <w:r>
        <w:t xml:space="preserve">Zahl der Zonen begrenzen und ein rechnerisch handhabbares Modell erhalten;</w:t>
      </w:r>
    </w:p>
    <w:p>
      <w:pPr>
        <w:pStyle w:val="Compact"/>
        <w:numPr>
          <w:ilvl w:val="0"/>
          <w:numId w:val="1003"/>
        </w:numPr>
      </w:pPr>
      <w:r>
        <w:t xml:space="preserve">elektrische Zusammenhängigkeit, angemessene Zonengröße und, soweit möglich, Übereinstimmung mit PECD-Räumen berücksichtigen.</w:t>
      </w:r>
    </w:p>
    <w:p>
      <w:pPr>
        <w:pStyle w:val="FirstParagraph"/>
      </w:pPr>
      <w:r>
        <w:t xml:space="preserve">Für den betrachteten Studienansatz nennt [Q1, Tabelle 3, S. 26–27]</w:t>
      </w:r>
      <w:r>
        <w:t xml:space="preserve"> </w:t>
      </w:r>
      <w:r>
        <w:rPr>
          <w:b/>
          <w:bCs/>
        </w:rPr>
        <w:t xml:space="preserve">102 Zonen</w:t>
      </w:r>
      <w:r>
        <w:t xml:space="preserve">, darunter</w:t>
      </w:r>
      <w:r>
        <w:t xml:space="preserve"> </w:t>
      </w:r>
      <w:r>
        <w:rPr>
          <w:b/>
          <w:bCs/>
        </w:rPr>
        <w:t xml:space="preserve">Deutschland 11</w:t>
      </w:r>
      <w:r>
        <w:t xml:space="preserve">,</w:t>
      </w:r>
      <w:r>
        <w:t xml:space="preserve"> </w:t>
      </w:r>
      <w:r>
        <w:rPr>
          <w:b/>
          <w:bCs/>
        </w:rPr>
        <w:t xml:space="preserve">Frankreich 16</w:t>
      </w:r>
      <w:r>
        <w:t xml:space="preserve">,</w:t>
      </w:r>
      <w:r>
        <w:t xml:space="preserve"> </w:t>
      </w:r>
      <w:r>
        <w:rPr>
          <w:b/>
          <w:bCs/>
        </w:rPr>
        <w:t xml:space="preserve">Spanien 10</w:t>
      </w:r>
      <w:r>
        <w:t xml:space="preserve">,</w:t>
      </w:r>
      <w:r>
        <w:t xml:space="preserve"> </w:t>
      </w:r>
      <w:r>
        <w:rPr>
          <w:b/>
          <w:bCs/>
        </w:rPr>
        <w:t xml:space="preserve">Italien 7</w:t>
      </w:r>
      <w:r>
        <w:t xml:space="preserve"> </w:t>
      </w:r>
      <w:r>
        <w:t xml:space="preserve">und</w:t>
      </w:r>
      <w:r>
        <w:t xml:space="preserve"> </w:t>
      </w:r>
      <w:r>
        <w:rPr>
          <w:b/>
          <w:bCs/>
        </w:rPr>
        <w:t xml:space="preserve">Niederlande 5</w:t>
      </w:r>
      <w:r>
        <w:t xml:space="preserve">. Diese veröffentlichte Zonenzahl ist eine Erfahrungskalibrierung beziehungsweise ein Kompromiss; es wird</w:t>
      </w:r>
      <w:r>
        <w:t xml:space="preserve"> </w:t>
      </w:r>
      <w:r>
        <w:rPr>
          <w:b/>
          <w:bCs/>
        </w:rPr>
        <w:t xml:space="preserve">kein</w:t>
      </w:r>
      <w:r>
        <w:t xml:space="preserve"> </w:t>
      </w:r>
      <w:r>
        <w:t xml:space="preserve">vollständiges kombinatorisches Optimierungsmodell veröffentlicht, das exakt diese Partition erzeugt.</w:t>
      </w:r>
    </w:p>
    <w:bookmarkEnd w:id="34"/>
    <w:bookmarkStart w:id="35" w:name="X42bd9eda1da1b2ed82118810938e633c4cf756e"/>
    <w:p>
      <w:pPr>
        <w:pStyle w:val="Heading2"/>
      </w:pPr>
      <w:r>
        <w:t xml:space="preserve">4.3 Flusssynchronität und Vorzeichenkompensation [A]</w:t>
      </w:r>
    </w:p>
    <w:p>
      <w:pPr>
        <w:pStyle w:val="FirstParagraph"/>
      </w:pPr>
      <w:r>
        <w:t xml:space="preserve">Seien zwei physikalische Grenzleitungen</w:t>
      </w:r>
      <w:r>
        <w:t xml:space="preserve"> </w:t>
      </w:r>
      <m:oMath>
        <m:sSub>
          <m:e>
            <m:r>
              <m:rPr>
                <m:sty m:val="p"/>
              </m:rPr>
              <m:t>ℓ</m:t>
            </m:r>
          </m:e>
          <m:sub>
            <m:r>
              <m:t>1</m:t>
            </m:r>
          </m:sub>
        </m:sSub>
        <m:r>
          <m:rPr>
            <m:sty m:val="p"/>
          </m:rPr>
          <m:t>,</m:t>
        </m:r>
        <m:sSub>
          <m:e>
            <m:r>
              <m:rPr>
                <m:sty m:val="p"/>
              </m:rPr>
              <m:t>ℓ</m:t>
            </m:r>
          </m:e>
          <m:sub>
            <m:r>
              <m:t>2</m:t>
            </m:r>
          </m:sub>
        </m:sSub>
      </m:oMath>
      <w:r>
        <w:t xml:space="preserve"> </w:t>
      </w:r>
      <w:r>
        <w:t xml:space="preserve">zu einer einzigen äquivalenten Verbindung zusammengefasst. Für gemeinsam gewählte Orientierung gilt</w:t>
      </w:r>
    </w:p>
    <w:p>
      <w:pPr>
        <w:pStyle w:val="BodyText"/>
        <w:tabs>
          <w:tab w:pos="8856" w:val="right"/>
        </w:tabs>
      </w:pPr>
      <m:oMathPara>
        <m:oMathParaPr>
          <m:jc m:val="center"/>
        </m:oMathParaPr>
        <m:oMath>
          <m:sSubSup>
            <m:e>
              <m:r>
                <m:t>f</m:t>
              </m:r>
            </m:e>
            <m:sub>
              <m:r>
                <m:t>e</m:t>
              </m:r>
              <m:r>
                <m:rPr>
                  <m:sty m:val="p"/>
                </m:rPr>
                <m:t>,</m:t>
              </m:r>
              <m:r>
                <m:t>t</m:t>
              </m:r>
            </m:sub>
            <m:sup>
              <m:r>
                <m:rPr>
                  <m:sty m:val="p"/>
                </m:rPr>
                <m:t>⋆</m:t>
              </m:r>
            </m:sup>
          </m:sSubSup>
          <m:r>
            <m:rPr>
              <m:sty m:val="p"/>
            </m:rPr>
            <m:t>=</m:t>
          </m:r>
          <m:sSubSup>
            <m:e>
              <m:r>
                <m:t>f</m:t>
              </m:r>
            </m:e>
            <m:sub>
              <m:sSub>
                <m:e>
                  <m:r>
                    <m:rPr>
                      <m:sty m:val="p"/>
                    </m:rPr>
                    <m:t>ℓ</m:t>
                  </m:r>
                </m:e>
                <m:sub>
                  <m:r>
                    <m:t>1</m:t>
                  </m:r>
                </m:sub>
              </m:sSub>
              <m:r>
                <m:rPr>
                  <m:sty m:val="p"/>
                </m:rPr>
                <m:t>,</m:t>
              </m:r>
              <m:r>
                <m:t>t</m:t>
              </m:r>
            </m:sub>
            <m:sup>
              <m:r>
                <m:rPr>
                  <m:sty m:val="p"/>
                </m:rPr>
                <m:t>d</m:t>
              </m:r>
            </m:sup>
          </m:sSubSup>
          <m:r>
            <m:rPr>
              <m:sty m:val="p"/>
            </m:rPr>
            <m:t>+</m:t>
          </m:r>
          <m:sSubSup>
            <m:e>
              <m:r>
                <m:t>f</m:t>
              </m:r>
            </m:e>
            <m:sub>
              <m:sSub>
                <m:e>
                  <m:r>
                    <m:rPr>
                      <m:sty m:val="p"/>
                    </m:rPr>
                    <m:t>ℓ</m:t>
                  </m:r>
                </m:e>
                <m:sub>
                  <m:r>
                    <m:t>2</m:t>
                  </m:r>
                </m:sub>
              </m:sSub>
              <m:r>
                <m:rPr>
                  <m:sty m:val="p"/>
                </m:rPr>
                <m:t>,</m:t>
              </m:r>
              <m:r>
                <m:t>t</m:t>
              </m:r>
            </m:sub>
            <m:sup>
              <m:r>
                <m:rPr>
                  <m:sty m:val="p"/>
                </m:rPr>
                <m:t>d</m:t>
              </m:r>
            </m:sup>
          </m:sSubSup>
          <m:r>
            <m:rPr>
              <m:sty m:val="p"/>
            </m:rPr>
            <m:t>.</m:t>
          </m:r>
        </m:oMath>
      </m:oMathPara>
      <w:r>
        <w:rPr>
          <w:color w:val="374151"/>
          <w:sz w:val="18"/>
        </w:rPr>
        <w:tab/>
        <w:t>(5)</w:t>
      </w:r>
    </w:p>
    <w:p>
      <w:pPr>
        <w:pStyle w:val="FirstParagraph"/>
      </w:pPr>
      <w:r>
        <w:rPr>
          <w:b/>
          <w:bCs/>
        </w:rPr>
        <w:t xml:space="preserve">Rein hypothetisches Beispiel:</w:t>
      </w:r>
      <w:r>
        <w:t xml:space="preserve"> </w:t>
      </w:r>
      <m:oMath>
        <m:sSubSup>
          <m:e>
            <m:r>
              <m:t>f</m:t>
            </m:r>
          </m:e>
          <m:sub>
            <m:sSub>
              <m:e>
                <m:r>
                  <m:rPr>
                    <m:sty m:val="p"/>
                  </m:rPr>
                  <m:t>ℓ</m:t>
                </m:r>
              </m:e>
              <m:sub>
                <m:r>
                  <m:t>1</m:t>
                </m:r>
              </m:sub>
            </m:sSub>
            <m:r>
              <m:rPr>
                <m:sty m:val="p"/>
              </m:rPr>
              <m:t>,</m:t>
            </m:r>
            <m:r>
              <m:t>t</m:t>
            </m:r>
          </m:sub>
          <m:sup>
            <m:r>
              <m:rPr>
                <m:sty m:val="p"/>
              </m:rPr>
              <m:t>d</m:t>
            </m:r>
          </m:sup>
        </m:sSubSup>
        <m:r>
          <m:rPr>
            <m:sty m:val="p"/>
          </m:rPr>
          <m:t>=</m:t>
        </m:r>
        <m:r>
          <m:t>250</m:t>
        </m:r>
        <m:r>
          <m:t> </m:t>
        </m:r>
        <m:r>
          <m:rPr>
            <m:sty m:val="p"/>
          </m:rPr>
          <m:t>M</m:t>
        </m:r>
        <m:r>
          <m:rPr>
            <m:sty m:val="p"/>
          </m:rPr>
          <m:t>W</m:t>
        </m:r>
      </m:oMath>
      <w:r>
        <w:t xml:space="preserve"> </w:t>
      </w:r>
      <w:r>
        <w:t xml:space="preserve">und</w:t>
      </w:r>
      <w:r>
        <w:t xml:space="preserve"> </w:t>
      </w:r>
      <m:oMath>
        <m:sSubSup>
          <m:e>
            <m:r>
              <m:t>f</m:t>
            </m:r>
          </m:e>
          <m:sub>
            <m:sSub>
              <m:e>
                <m:r>
                  <m:rPr>
                    <m:sty m:val="p"/>
                  </m:rPr>
                  <m:t>ℓ</m:t>
                </m:r>
              </m:e>
              <m:sub>
                <m:r>
                  <m:t>2</m:t>
                </m:r>
              </m:sub>
            </m:sSub>
            <m:r>
              <m:rPr>
                <m:sty m:val="p"/>
              </m:rPr>
              <m:t>,</m:t>
            </m:r>
            <m:r>
              <m:t>t</m:t>
            </m:r>
          </m:sub>
          <m:sup>
            <m:r>
              <m:rPr>
                <m:sty m:val="p"/>
              </m:rPr>
              <m:t>d</m:t>
            </m:r>
          </m:sup>
        </m:sSubSup>
        <m:r>
          <m:rPr>
            <m:sty m:val="p"/>
          </m:rPr>
          <m:t>=</m:t>
        </m:r>
        <m:r>
          <m:rPr>
            <m:sty m:val="p"/>
          </m:rPr>
          <m:t>−</m:t>
        </m:r>
        <m:r>
          <m:t>240</m:t>
        </m:r>
        <m:r>
          <m:t> </m:t>
        </m:r>
        <m:r>
          <m:rPr>
            <m:sty m:val="p"/>
          </m:rPr>
          <m:t>M</m:t>
        </m:r>
        <m:r>
          <m:rPr>
            <m:sty m:val="p"/>
          </m:rPr>
          <m:t>W</m:t>
        </m:r>
      </m:oMath>
      <w:r>
        <w:t xml:space="preserve"> </w:t>
      </w:r>
      <w:r>
        <w:t xml:space="preserve">führen zu nur</w:t>
      </w:r>
      <w:r>
        <w:t xml:space="preserve"> </w:t>
      </w:r>
      <m:oMath>
        <m:r>
          <m:t>10</m:t>
        </m:r>
        <m:r>
          <m:t> </m:t>
        </m:r>
        <m:r>
          <m:rPr>
            <m:sty m:val="p"/>
          </m:rPr>
          <m:t>M</m:t>
        </m:r>
        <m:r>
          <m:rPr>
            <m:sty m:val="p"/>
          </m:rPr>
          <m:t>W</m:t>
        </m:r>
      </m:oMath>
      <w:r>
        <w:t xml:space="preserve"> </w:t>
      </w:r>
      <w:r>
        <w:t xml:space="preserve">Netto-Grenzfluss, obwohl beide Leitungen sehr hoch belastet sein können. Weder eine sehr kleine äquivalente thermische Grenze noch eine robuste Ersatzimpedanz folgt daraus. Die Gefahr einer solchen künstlichen Kompensation wird in [Q1, S. 23–24] ausdrücklich genannt.</w:t>
      </w:r>
    </w:p>
    <w:p>
      <w:pPr>
        <w:pStyle w:val="BodyText"/>
      </w:pPr>
      <w:r>
        <w:rPr>
          <w:b/>
          <w:bCs/>
        </w:rPr>
        <w:t xml:space="preserve">Wissenschaftliche Folgerung:</w:t>
      </w:r>
      <w:r>
        <w:t xml:space="preserve"> </w:t>
      </w:r>
      <w:r>
        <w:t xml:space="preserve">Eine Flusskorrelation ist hier kein nebensächlicher Statistikindikator, sondern kann die strukturelle Identifizierbarkeit und die Qualität der gesamten äquivalenten Verbindung bestimmen. Ein eindeutiger Korrelationskoeffizient, Schwellenwert oder Optimierungsgewicht ist jedoch nicht angegeben. [U]</w:t>
      </w:r>
    </w:p>
    <w:bookmarkEnd w:id="35"/>
    <w:bookmarkStart w:id="36" w:name="X76ca57e2e5b009ed3416aa780b45c8ef26ffede"/>
    <w:p>
      <w:pPr>
        <w:pStyle w:val="Heading2"/>
      </w:pPr>
      <w:r>
        <w:t xml:space="preserve">4.4 Als Vorschlag formulierte Multikriterien-Spezifikation [E]</w:t>
      </w:r>
    </w:p>
    <w:p>
      <w:pPr>
        <w:pStyle w:val="FirstParagraph"/>
      </w:pPr>
      <w:r>
        <w:t xml:space="preserve">Zur systematischen Reproduktion könnte eine Partition</w:t>
      </w:r>
      <w:r>
        <w:t xml:space="preserve"> </w:t>
      </w:r>
      <m:oMath>
        <m:r>
          <m:t>P</m:t>
        </m:r>
      </m:oMath>
      <w:r>
        <w:t xml:space="preserve"> </w:t>
      </w:r>
      <w:r>
        <w:t xml:space="preserve">beispielsweise als Lösung eines Problems der Art</w:t>
      </w:r>
    </w:p>
    <w:p>
      <w:pPr>
        <w:pStyle w:val="BodyText"/>
        <w:tabs>
          <w:tab w:pos="8856" w:val="right"/>
        </w:tabs>
      </w:pPr>
      <m:oMathPara>
        <m:oMathParaPr>
          <m:jc m:val="center"/>
        </m:oMathParaPr>
        <m:oMath>
          <m:limLow>
            <m:e>
              <m:r>
                <m:rPr>
                  <m:sty m:val="p"/>
                </m:rPr>
                <m:t>min</m:t>
              </m:r>
            </m:e>
            <m:lim>
              <m:r>
                <m:t>P</m:t>
              </m:r>
              <m:r>
                <m:rPr>
                  <m:sty m:val="p"/>
                </m:rPr>
                <m:t>∈</m:t>
              </m:r>
              <m:sSub>
                <m:e>
                  <m:r>
                    <m:rPr>
                      <m:sty m:val="p"/>
                      <m:scr m:val="script"/>
                    </m:rPr>
                    <m:t>P</m:t>
                  </m:r>
                </m:e>
                <m:sub>
                  <m:r>
                    <m:rPr>
                      <m:sty m:val="p"/>
                    </m:rPr>
                    <m:t>c</m:t>
                  </m:r>
                  <m:r>
                    <m:rPr>
                      <m:sty m:val="p"/>
                    </m:rPr>
                    <m:t>o</m:t>
                  </m:r>
                  <m:r>
                    <m:rPr>
                      <m:sty m:val="p"/>
                    </m:rPr>
                    <m:t>n</m:t>
                  </m:r>
                  <m:r>
                    <m:rPr>
                      <m:sty m:val="p"/>
                    </m:rPr>
                    <m:t>n</m:t>
                  </m:r>
                </m:sub>
              </m:sSub>
            </m:lim>
          </m:limLow>
          <m:r>
            <m:t> </m:t>
          </m:r>
          <m:sSub>
            <m:e>
              <m:r>
                <m:t>λ</m:t>
              </m:r>
            </m:e>
            <m:sub>
              <m:r>
                <m:t>1</m:t>
              </m:r>
            </m:sub>
          </m:sSub>
          <m:sSub>
            <m:e>
              <m:r>
                <m:t>J</m:t>
              </m:r>
            </m:e>
            <m:sub>
              <m:r>
                <m:rPr>
                  <m:sty m:val="p"/>
                </m:rPr>
                <m:t>f</m:t>
              </m:r>
              <m:r>
                <m:rPr>
                  <m:sty m:val="p"/>
                </m:rPr>
                <m:t>l</m:t>
              </m:r>
              <m:r>
                <m:rPr>
                  <m:sty m:val="p"/>
                </m:rPr>
                <m:t>o</m:t>
              </m:r>
              <m:r>
                <m:rPr>
                  <m:sty m:val="p"/>
                </m:rPr>
                <m:t>w</m:t>
              </m:r>
            </m:sub>
          </m:sSub>
          <m:d>
            <m:dPr>
              <m:begChr m:val="("/>
              <m:endChr m:val=")"/>
              <m:sepChr m:val=""/>
              <m:grow/>
            </m:dPr>
            <m:e>
              <m:r>
                <m:t>P</m:t>
              </m:r>
            </m:e>
          </m:d>
          <m:r>
            <m:rPr>
              <m:sty m:val="p"/>
            </m:rPr>
            <m:t>+</m:t>
          </m:r>
          <m:sSub>
            <m:e>
              <m:r>
                <m:t>λ</m:t>
              </m:r>
            </m:e>
            <m:sub>
              <m:r>
                <m:t>2</m:t>
              </m:r>
            </m:sub>
          </m:sSub>
          <m:sSub>
            <m:e>
              <m:r>
                <m:t>J</m:t>
              </m:r>
            </m:e>
            <m:sub>
              <m:r>
                <m:rPr>
                  <m:sty m:val="p"/>
                </m:rPr>
                <m:t>h</m:t>
              </m:r>
              <m:r>
                <m:rPr>
                  <m:sty m:val="p"/>
                </m:rPr>
                <m:t>i</m:t>
              </m:r>
              <m:r>
                <m:rPr>
                  <m:sty m:val="p"/>
                </m:rPr>
                <m:t>d</m:t>
              </m:r>
              <m:r>
                <m:rPr>
                  <m:sty m:val="p"/>
                </m:rPr>
                <m:t>d</m:t>
              </m:r>
              <m:r>
                <m:rPr>
                  <m:sty m:val="p"/>
                </m:rPr>
                <m:t>e</m:t>
              </m:r>
              <m:r>
                <m:rPr>
                  <m:sty m:val="p"/>
                </m:rPr>
                <m:t>n</m:t>
              </m:r>
              <m:r>
                <m:rPr>
                  <m:sty m:val="p"/>
                </m:rPr>
                <m:t> </m:t>
              </m:r>
              <m:r>
                <m:rPr>
                  <m:sty m:val="p"/>
                </m:rPr>
                <m:t>b</m:t>
              </m:r>
              <m:r>
                <m:rPr>
                  <m:sty m:val="p"/>
                </m:rPr>
                <m:t>o</m:t>
              </m:r>
              <m:r>
                <m:rPr>
                  <m:sty m:val="p"/>
                </m:rPr>
                <m:t>t</m:t>
              </m:r>
              <m:r>
                <m:rPr>
                  <m:sty m:val="p"/>
                </m:rPr>
                <m:t>t</m:t>
              </m:r>
              <m:r>
                <m:rPr>
                  <m:sty m:val="p"/>
                </m:rPr>
                <m:t>l</m:t>
              </m:r>
              <m:r>
                <m:rPr>
                  <m:sty m:val="p"/>
                </m:rPr>
                <m:t>e</m:t>
              </m:r>
              <m:r>
                <m:rPr>
                  <m:sty m:val="p"/>
                </m:rPr>
                <m:t>n</m:t>
              </m:r>
              <m:r>
                <m:rPr>
                  <m:sty m:val="p"/>
                </m:rPr>
                <m:t>e</m:t>
              </m:r>
              <m:r>
                <m:rPr>
                  <m:sty m:val="p"/>
                </m:rPr>
                <m:t>c</m:t>
              </m:r>
              <m:r>
                <m:rPr>
                  <m:sty m:val="p"/>
                </m:rPr>
                <m:t>k</m:t>
              </m:r>
              <m:r>
                <m:rPr>
                  <m:sty m:val="p"/>
                </m:rPr>
                <m:t>s</m:t>
              </m:r>
            </m:sub>
          </m:sSub>
          <m:d>
            <m:dPr>
              <m:begChr m:val="("/>
              <m:endChr m:val=")"/>
              <m:sepChr m:val=""/>
              <m:grow/>
            </m:dPr>
            <m:e>
              <m:r>
                <m:t>P</m:t>
              </m:r>
            </m:e>
          </m:d>
          <m:r>
            <m:rPr>
              <m:sty m:val="p"/>
            </m:rPr>
            <m:t>+</m:t>
          </m:r>
          <m:sSub>
            <m:e>
              <m:r>
                <m:t>λ</m:t>
              </m:r>
            </m:e>
            <m:sub>
              <m:r>
                <m:t>3</m:t>
              </m:r>
            </m:sub>
          </m:sSub>
          <m:sSub>
            <m:e>
              <m:r>
                <m:t>J</m:t>
              </m:r>
            </m:e>
            <m:sub>
              <m:r>
                <m:rPr>
                  <m:sty m:val="p"/>
                </m:rPr>
                <m:t>s</m:t>
              </m:r>
              <m:r>
                <m:rPr>
                  <m:sty m:val="p"/>
                </m:rPr>
                <m:t>i</m:t>
              </m:r>
              <m:r>
                <m:rPr>
                  <m:sty m:val="p"/>
                </m:rPr>
                <m:t>z</m:t>
              </m:r>
              <m:r>
                <m:rPr>
                  <m:sty m:val="p"/>
                </m:rPr>
                <m:t>e</m:t>
              </m:r>
            </m:sub>
          </m:sSub>
          <m:d>
            <m:dPr>
              <m:begChr m:val="("/>
              <m:endChr m:val=")"/>
              <m:sepChr m:val=""/>
              <m:grow/>
            </m:dPr>
            <m:e>
              <m:r>
                <m:t>P</m:t>
              </m:r>
            </m:e>
          </m:d>
          <m:r>
            <m:rPr>
              <m:sty m:val="p"/>
            </m:rPr>
            <m:t>+</m:t>
          </m:r>
          <m:sSub>
            <m:e>
              <m:r>
                <m:t>λ</m:t>
              </m:r>
            </m:e>
            <m:sub>
              <m:r>
                <m:t>4</m:t>
              </m:r>
            </m:sub>
          </m:sSub>
          <m:d>
            <m:dPr>
              <m:begChr m:val="|"/>
              <m:endChr m:val="|"/>
              <m:sepChr m:val=""/>
              <m:grow/>
            </m:dPr>
            <m:e>
              <m:sSup>
                <m:e>
                  <m:r>
                    <m:t>V</m:t>
                  </m:r>
                </m:e>
                <m:sup>
                  <m:r>
                    <m:rPr>
                      <m:sty m:val="p"/>
                    </m:rPr>
                    <m:t>z</m:t>
                  </m:r>
                </m:sup>
              </m:sSup>
            </m:e>
          </m:d>
          <m:r>
            <m:rPr>
              <m:sty m:val="p"/>
            </m:rPr>
            <m:t>,</m:t>
          </m:r>
        </m:oMath>
      </m:oMathPara>
      <w:r>
        <w:rPr>
          <w:color w:val="374151"/>
          <w:sz w:val="18"/>
        </w:rPr>
        <w:tab/>
        <w:t>(6)</w:t>
      </w:r>
    </w:p>
    <w:p>
      <w:pPr>
        <w:pStyle w:val="FirstParagraph"/>
      </w:pPr>
      <w:r>
        <w:t xml:space="preserve">mit zulässigen elektrisch zusammenhängenden Partitionen</w:t>
      </w:r>
      <w:r>
        <w:t xml:space="preserve"> </w:t>
      </w:r>
      <m:oMath>
        <m:sSub>
          <m:e>
            <m:r>
              <m:rPr>
                <m:sty m:val="p"/>
                <m:scr m:val="script"/>
              </m:rPr>
              <m:t>P</m:t>
            </m:r>
          </m:e>
          <m:sub>
            <m:r>
              <m:rPr>
                <m:sty m:val="p"/>
              </m:rPr>
              <m:t>c</m:t>
            </m:r>
            <m:r>
              <m:rPr>
                <m:sty m:val="p"/>
              </m:rPr>
              <m:t>o</m:t>
            </m:r>
            <m:r>
              <m:rPr>
                <m:sty m:val="p"/>
              </m:rPr>
              <m:t>n</m:t>
            </m:r>
            <m:r>
              <m:rPr>
                <m:sty m:val="p"/>
              </m:rPr>
              <m:t>n</m:t>
            </m:r>
          </m:sub>
        </m:sSub>
      </m:oMath>
      <w:r>
        <w:t xml:space="preserve"> </w:t>
      </w:r>
      <w:r>
        <w:t xml:space="preserve">beschrieben werden. Dies ist</w:t>
      </w:r>
      <w:r>
        <w:t xml:space="preserve"> </w:t>
      </w:r>
      <w:r>
        <w:rPr>
          <w:b/>
          <w:bCs/>
        </w:rPr>
        <w:t xml:space="preserve">ausdrücklich nicht</w:t>
      </w:r>
      <w:r>
        <w:t xml:space="preserve"> </w:t>
      </w:r>
      <w:r>
        <w:t xml:space="preserve">das von ENTSO-E offengelegte Clustering-Modell: Weder die Funktionen</w:t>
      </w:r>
      <w:r>
        <w:t xml:space="preserve"> </w:t>
      </w:r>
      <m:oMath>
        <m:sSub>
          <m:e>
            <m:r>
              <m:t>J</m:t>
            </m:r>
          </m:e>
          <m:sub>
            <m:r>
              <m:rPr>
                <m:sty m:val="p"/>
              </m:rPr>
              <m:t>⋅</m:t>
            </m:r>
          </m:sub>
        </m:sSub>
      </m:oMath>
      <w:r>
        <w:t xml:space="preserve"> </w:t>
      </w:r>
      <w:r>
        <w:t xml:space="preserve">noch die Gewichte</w:t>
      </w:r>
      <w:r>
        <w:t xml:space="preserve"> </w:t>
      </w:r>
      <m:oMath>
        <m:sSub>
          <m:e>
            <m:r>
              <m:t>λ</m:t>
            </m:r>
          </m:e>
          <m:sub>
            <m:r>
              <m:rPr>
                <m:sty m:val="p"/>
              </m:rPr>
              <m:t>⋅</m:t>
            </m:r>
          </m:sub>
        </m:sSub>
      </m:oMath>
      <w:r>
        <w:t xml:space="preserve"> </w:t>
      </w:r>
      <w:r>
        <w:t xml:space="preserve">werden in der Quelle vollständig spezifiziert. Gleichung (6) dient ausschließlich dazu, die mathematisch zu schließenden Entscheidungsfreiheiten sichtbar zu machen.</w:t>
      </w:r>
    </w:p>
    <w:bookmarkEnd w:id="36"/>
    <w:bookmarkEnd w:id="37"/>
    <w:bookmarkStart w:id="41" w:name="X22e80dad51a17dbd22422cd0db5197555b95e5a"/>
    <w:p>
      <w:pPr>
        <w:pStyle w:val="Heading1"/>
      </w:pPr>
      <w:r>
        <w:t xml:space="preserve">5. Exakte Bilanzaggregation und Verlust elektrischer Detailinformation</w:t>
      </w:r>
    </w:p>
    <w:bookmarkStart w:id="38" w:name="Xcba3385522d16a8583fd2bab56d63ec3795b0e2"/>
    <w:p>
      <w:pPr>
        <w:pStyle w:val="Heading2"/>
      </w:pPr>
      <w:r>
        <w:t xml:space="preserve">5.1 Aggregationsmatrix für Grenzleitungsflüsse [R]</w:t>
      </w:r>
    </w:p>
    <w:p>
      <w:pPr>
        <w:pStyle w:val="FirstParagraph"/>
      </w:pPr>
      <w:r>
        <w:t xml:space="preserve">Jedem Element</w:t>
      </w:r>
      <w:r>
        <w:t xml:space="preserve"> </w:t>
      </w:r>
      <m:oMath>
        <m:r>
          <m:t>e</m:t>
        </m:r>
        <m:r>
          <m:rPr>
            <m:sty m:val="p"/>
          </m:rPr>
          <m:t>∈</m:t>
        </m:r>
        <m:sSup>
          <m:e>
            <m:r>
              <m:t>E</m:t>
            </m:r>
          </m:e>
          <m:sup>
            <m:r>
              <m:rPr>
                <m:sty m:val="p"/>
              </m:rPr>
              <m:t>z</m:t>
            </m:r>
          </m:sup>
        </m:sSup>
      </m:oMath>
      <w:r>
        <w:t xml:space="preserve"> </w:t>
      </w:r>
      <w:r>
        <w:t xml:space="preserve">wird eine feste Richtung</w:t>
      </w:r>
      <w:r>
        <w:t xml:space="preserve"> </w:t>
      </w:r>
      <m:oMath>
        <m:sSub>
          <m:e>
            <m:r>
              <m:t>z</m:t>
            </m:r>
          </m:e>
          <m:sub>
            <m:r>
              <m:t>a</m:t>
            </m:r>
          </m:sub>
        </m:sSub>
        <m:r>
          <m:rPr>
            <m:sty m:val="p"/>
          </m:rPr>
          <m:t>→</m:t>
        </m:r>
        <m:sSub>
          <m:e>
            <m:r>
              <m:t>z</m:t>
            </m:r>
          </m:e>
          <m:sub>
            <m:r>
              <m:t>b</m:t>
            </m:r>
          </m:sub>
        </m:sSub>
      </m:oMath>
      <w:r>
        <w:t xml:space="preserve"> </w:t>
      </w:r>
      <w:r>
        <w:t xml:space="preserve">zugewiesen. Jede Originalleitung</w:t>
      </w:r>
      <w:r>
        <w:t xml:space="preserve"> </w:t>
      </w:r>
      <m:oMath>
        <m:r>
          <m:rPr>
            <m:sty m:val="p"/>
          </m:rPr>
          <m:t>ℓ</m:t>
        </m:r>
        <m:r>
          <m:rPr>
            <m:sty m:val="p"/>
          </m:rPr>
          <m:t>=</m:t>
        </m:r>
        <m:d>
          <m:dPr>
            <m:begChr m:val="("/>
            <m:endChr m:val=")"/>
            <m:sepChr m:val=""/>
            <m:grow/>
          </m:dPr>
          <m:e>
            <m:r>
              <m:t>i</m:t>
            </m:r>
            <m:r>
              <m:rPr>
                <m:sty m:val="p"/>
              </m:rPr>
              <m:t>,</m:t>
            </m:r>
            <m:r>
              <m:t>j</m:t>
            </m:r>
          </m:e>
        </m:d>
      </m:oMath>
      <w:r>
        <w:t xml:space="preserve"> </w:t>
      </w:r>
      <w:r>
        <w:t xml:space="preserve">wird für</w:t>
      </w:r>
      <w:r>
        <w:t xml:space="preserve"> </w:t>
      </w:r>
      <m:oMath>
        <m:r>
          <m:t>g</m:t>
        </m:r>
        <m:d>
          <m:dPr>
            <m:begChr m:val="("/>
            <m:endChr m:val=")"/>
            <m:sepChr m:val=""/>
            <m:grow/>
          </m:dPr>
          <m:e>
            <m:r>
              <m:t>i</m:t>
            </m:r>
          </m:e>
        </m:d>
        <m:r>
          <m:rPr>
            <m:sty m:val="p"/>
          </m:rPr>
          <m:t>≠</m:t>
        </m:r>
        <m:r>
          <m:t>g</m:t>
        </m:r>
        <m:d>
          <m:dPr>
            <m:begChr m:val="("/>
            <m:endChr m:val=")"/>
            <m:sepChr m:val=""/>
            <m:grow/>
          </m:dPr>
          <m:e>
            <m:r>
              <m:t>j</m:t>
            </m:r>
          </m:e>
        </m:d>
      </m:oMath>
      <w:r>
        <w:t xml:space="preserve"> </w:t>
      </w:r>
      <w:r>
        <w:t xml:space="preserve">der entsprechenden Zonengrenze zugeordnet; innerhalb einer Zone liegende Leitungen tragen in</w:t>
      </w:r>
      <w:r>
        <w:t xml:space="preserve"> </w:t>
      </w:r>
      <m:oMath>
        <m:r>
          <m:t>Γ</m:t>
        </m:r>
      </m:oMath>
      <w:r>
        <w:t xml:space="preserve"> </w:t>
      </w:r>
      <w:r>
        <w:t xml:space="preserve">keine Einträge. Für physikalisch zueinander passende Richtungen gilt</w:t>
      </w:r>
      <w:r>
        <w:t xml:space="preserve"> </w:t>
      </w:r>
      <m:oMath>
        <m:sSub>
          <m:e>
            <m:r>
              <m:t>Γ</m:t>
            </m:r>
          </m:e>
          <m:sub>
            <m:r>
              <m:t>e</m:t>
            </m:r>
            <m:r>
              <m:rPr>
                <m:sty m:val="p"/>
              </m:rPr>
              <m:t>ℓ</m:t>
            </m:r>
          </m:sub>
        </m:sSub>
        <m:r>
          <m:rPr>
            <m:sty m:val="p"/>
          </m:rPr>
          <m:t>=</m:t>
        </m:r>
        <m:r>
          <m:rPr>
            <m:sty m:val="p"/>
          </m:rPr>
          <m:t>+</m:t>
        </m:r>
        <m:r>
          <m:t>1</m:t>
        </m:r>
      </m:oMath>
      <w:r>
        <w:t xml:space="preserve">, im Gegenfall</w:t>
      </w:r>
      <w:r>
        <w:t xml:space="preserve"> </w:t>
      </w:r>
      <m:oMath>
        <m:r>
          <m:rPr>
            <m:sty m:val="p"/>
          </m:rPr>
          <m:t>−</m:t>
        </m:r>
        <m:r>
          <m:t>1</m:t>
        </m:r>
      </m:oMath>
      <w:r>
        <w:t xml:space="preserve">.</w:t>
      </w:r>
    </w:p>
    <w:p>
      <w:pPr>
        <w:pStyle w:val="BodyText"/>
      </w:pPr>
      <w:r>
        <w:t xml:space="preserve">Damit ist der</w:t>
      </w:r>
      <w:r>
        <w:t xml:space="preserve"> </w:t>
      </w:r>
      <w:r>
        <w:rPr>
          <w:b/>
          <w:bCs/>
        </w:rPr>
        <w:t xml:space="preserve">Zielfluss</w:t>
      </w:r>
      <w:r>
        <w:t xml:space="preserve"> </w:t>
      </w:r>
      <w:r>
        <w:t xml:space="preserve">des reduzierten Netzes</w:t>
      </w:r>
    </w:p>
    <w:p>
      <w:pPr>
        <w:pStyle w:val="BodyText"/>
        <w:tabs>
          <w:tab w:pos="8856" w:val="right"/>
        </w:tabs>
      </w:pPr>
      <m:oMathPara>
        <m:oMathParaPr>
          <m:jc m:val="center"/>
        </m:oMathParaPr>
        <m:oMath>
          <m:sSubSup>
            <m:e>
              <m:r>
                <m:t>f</m:t>
              </m:r>
            </m:e>
            <m:sub>
              <m:r>
                <m:t>t</m:t>
              </m:r>
            </m:sub>
            <m:sup>
              <m:r>
                <m:rPr>
                  <m:sty m:val="p"/>
                </m:rPr>
                <m:t>⋆</m:t>
              </m:r>
            </m:sup>
          </m:sSubSup>
          <m:r>
            <m:rPr>
              <m:sty m:val="p"/>
            </m:rPr>
            <m:t>=</m:t>
          </m:r>
          <m:r>
            <m:t>Γ</m:t>
          </m:r>
          <m:sSubSup>
            <m:e>
              <m:r>
                <m:t>f</m:t>
              </m:r>
            </m:e>
            <m:sub>
              <m:r>
                <m:t>t</m:t>
              </m:r>
            </m:sub>
            <m:sup>
              <m:r>
                <m:rPr>
                  <m:sty m:val="p"/>
                </m:rPr>
                <m:t>d</m:t>
              </m:r>
            </m:sup>
          </m:sSubSup>
          <m:r>
            <m:rPr>
              <m:sty m:val="p"/>
            </m:rPr>
            <m:t>.</m:t>
          </m:r>
        </m:oMath>
      </m:oMathPara>
      <w:r>
        <w:rPr>
          <w:color w:val="374151"/>
          <w:sz w:val="18"/>
        </w:rPr>
        <w:tab/>
        <w:t>(7)</w:t>
      </w:r>
    </w:p>
    <w:p>
      <w:pPr>
        <w:pStyle w:val="FirstParagraph"/>
      </w:pPr>
      <w:r>
        <w:t xml:space="preserve">Physikalisch bedeutet dies die vorzeichenrichtige</w:t>
      </w:r>
      <w:r>
        <w:t xml:space="preserve"> </w:t>
      </w:r>
      <w:r>
        <w:rPr>
          <w:b/>
          <w:bCs/>
        </w:rPr>
        <w:t xml:space="preserve">Summe</w:t>
      </w:r>
      <w:r>
        <w:t xml:space="preserve"> </w:t>
      </w:r>
      <w:r>
        <w:t xml:space="preserve">der Detailflüsse aller Leitungen zwischen demselben Zonenpaar. Die Summe von</w:t>
      </w:r>
      <w:r>
        <w:t xml:space="preserve"> </w:t>
      </w:r>
      <w:r>
        <w:rPr>
          <w:b/>
          <w:bCs/>
        </w:rPr>
        <w:t xml:space="preserve">Nettoflüssen</w:t>
      </w:r>
      <w:r>
        <w:t xml:space="preserve"> </w:t>
      </w:r>
      <w:r>
        <w:t xml:space="preserve">in (7) ist nicht zu verwechseln mit der</w:t>
      </w:r>
      <w:r>
        <w:t xml:space="preserve"> </w:t>
      </w:r>
      <w:r>
        <w:rPr>
          <w:b/>
          <w:bCs/>
        </w:rPr>
        <w:t xml:space="preserve">Addition thermischer Grenzen</w:t>
      </w:r>
      <w:r>
        <w:t xml:space="preserve">, die ausdrücklich keine allgemein gültige Ersatzkapazität ergibt. [Q1, S. 27, 50]</w:t>
      </w:r>
    </w:p>
    <w:bookmarkEnd w:id="38"/>
    <w:bookmarkStart w:id="39" w:name="Xaf5df055ea4dd6f981f05c66e683829925692ef"/>
    <w:p>
      <w:pPr>
        <w:pStyle w:val="Heading2"/>
      </w:pPr>
      <w:r>
        <w:t xml:space="preserve">5.2 Satz zur Bilanztreue der topologischen Aggregation [A]</w:t>
      </w:r>
    </w:p>
    <w:p>
      <w:pPr>
        <w:pStyle w:val="FirstParagraph"/>
      </w:pPr>
      <w:r>
        <w:t xml:space="preserve">Unter der Annahme, dass sämtliche betrachteten AC-Grenzleitungen in</w:t>
      </w:r>
      <w:r>
        <w:t xml:space="preserve"> </w:t>
      </w:r>
      <m:oMath>
        <m:r>
          <m:t>Γ</m:t>
        </m:r>
      </m:oMath>
      <w:r>
        <w:t xml:space="preserve"> </w:t>
      </w:r>
      <w:r>
        <w:t xml:space="preserve">enthalten sind und jeder Originalknoten genau einer Zone angehört, gilt die strukturelle Matrixidentität</w:t>
      </w:r>
    </w:p>
    <w:p>
      <w:pPr>
        <w:pStyle w:val="BodyText"/>
        <w:tabs>
          <w:tab w:pos="8856" w:val="right"/>
        </w:tabs>
      </w:pPr>
      <m:oMathPara>
        <m:oMathParaPr>
          <m:jc m:val="center"/>
        </m:oMathParaPr>
        <m:oMath>
          <m:borderBox>
            <m:e>
              <m:sSub>
                <m:e>
                  <m:r>
                    <m:t>A</m:t>
                  </m:r>
                </m:e>
                <m:sub>
                  <m:r>
                    <m:rPr>
                      <m:sty m:val="p"/>
                    </m:rPr>
                    <m:t>z</m:t>
                  </m:r>
                </m:sub>
              </m:sSub>
              <m:r>
                <m:t>Γ</m:t>
              </m:r>
              <m:r>
                <m:rPr>
                  <m:sty m:val="p"/>
                </m:rPr>
                <m:t>=</m:t>
              </m:r>
              <m:r>
                <m:t>P</m:t>
              </m:r>
              <m:sSub>
                <m:e>
                  <m:r>
                    <m:t>A</m:t>
                  </m:r>
                </m:e>
                <m:sub>
                  <m:r>
                    <m:rPr>
                      <m:sty m:val="p"/>
                    </m:rPr>
                    <m:t>d</m:t>
                  </m:r>
                </m:sub>
              </m:sSub>
              <m:r>
                <m:rPr>
                  <m:sty m:val="p"/>
                </m:rPr>
                <m:t>.</m:t>
              </m:r>
            </m:e>
          </m:borderBox>
        </m:oMath>
      </m:oMathPara>
      <w:r>
        <w:rPr>
          <w:color w:val="374151"/>
          <w:sz w:val="18"/>
        </w:rPr>
        <w:tab/>
        <w:t>(8)</w:t>
      </w:r>
    </w:p>
    <w:p>
      <w:pPr>
        <w:pStyle w:val="FirstParagraph"/>
      </w:pPr>
      <w:r>
        <w:rPr>
          <w:b/>
          <w:bCs/>
        </w:rPr>
        <w:t xml:space="preserve">Beweis.</w:t>
      </w:r>
      <w:r>
        <w:t xml:space="preserve"> </w:t>
      </w:r>
      <w:r>
        <w:t xml:space="preserve">Für jede innerhalb einer Zone liegende Originalleitung besitzen deren zwei Inzidenzeinträge nach Multiplikation mit</w:t>
      </w:r>
      <w:r>
        <w:t xml:space="preserve"> </w:t>
      </w:r>
      <m:oMath>
        <m:r>
          <m:t>P</m:t>
        </m:r>
      </m:oMath>
      <w:r>
        <w:t xml:space="preserve"> </w:t>
      </w:r>
      <w:r>
        <w:t xml:space="preserve">dieselbe Zonenzeile und heben sich auf; zugleich ist die zugehörige Spalte von</w:t>
      </w:r>
      <w:r>
        <w:t xml:space="preserve"> </w:t>
      </w:r>
      <m:oMath>
        <m:r>
          <m:t>Γ</m:t>
        </m:r>
      </m:oMath>
      <w:r>
        <w:t xml:space="preserve"> </w:t>
      </w:r>
      <w:r>
        <w:t xml:space="preserve">null. Für eine zonenüberschreitende Originalleitung ergibt</w:t>
      </w:r>
      <w:r>
        <w:t xml:space="preserve"> </w:t>
      </w:r>
      <m:oMath>
        <m:r>
          <m:t>P</m:t>
        </m:r>
        <m:sSub>
          <m:e>
            <m:r>
              <m:t>A</m:t>
            </m:r>
          </m:e>
          <m:sub>
            <m:r>
              <m:rPr>
                <m:sty m:val="p"/>
              </m:rPr>
              <m:t>d</m:t>
            </m:r>
          </m:sub>
        </m:sSub>
      </m:oMath>
      <w:r>
        <w:t xml:space="preserve"> </w:t>
      </w:r>
      <w:r>
        <w:t xml:space="preserve">genau einen positiven und einen negativen Eintrag in den durchlaufenen Zonen. Die Orientierung von</w:t>
      </w:r>
      <w:r>
        <w:t xml:space="preserve"> </w:t>
      </w:r>
      <m:oMath>
        <m:r>
          <m:t>Γ</m:t>
        </m:r>
      </m:oMath>
      <w:r>
        <w:t xml:space="preserve"> </w:t>
      </w:r>
      <w:r>
        <w:t xml:space="preserve">reproduziert dieselben beiden Einträge in</w:t>
      </w:r>
      <w:r>
        <w:t xml:space="preserve"> </w:t>
      </w:r>
      <m:oMath>
        <m:sSub>
          <m:e>
            <m:r>
              <m:t>A</m:t>
            </m:r>
          </m:e>
          <m:sub>
            <m:r>
              <m:rPr>
                <m:sty m:val="p"/>
              </m:rPr>
              <m:t>z</m:t>
            </m:r>
          </m:sub>
        </m:sSub>
        <m:r>
          <m:t>Γ</m:t>
        </m:r>
      </m:oMath>
      <w:r>
        <w:t xml:space="preserve">. Da dies spaltenweise gilt, folgt (8).</w:t>
      </w:r>
      <w:r>
        <w:t xml:space="preserve"> </w:t>
      </w:r>
      <m:oMath>
        <m:r>
          <m:rPr>
            <m:sty m:val="p"/>
          </m:rPr>
          <m:t>▫</m:t>
        </m:r>
      </m:oMath>
    </w:p>
    <w:p>
      <w:pPr>
        <w:pStyle w:val="BodyText"/>
      </w:pPr>
      <w:r>
        <w:t xml:space="preserve">Mit (1), (7) und (8) folgt</w:t>
      </w:r>
    </w:p>
    <w:p>
      <w:pPr>
        <w:pStyle w:val="BodyText"/>
        <w:tabs>
          <w:tab w:pos="8856" w:val="right"/>
        </w:tabs>
      </w:pPr>
      <m:oMathPara>
        <m:oMathParaPr>
          <m:jc m:val="center"/>
        </m:oMathParaPr>
        <m:oMath>
          <m:borderBox>
            <m:e>
              <m:sSub>
                <m:e>
                  <m:r>
                    <m:t>A</m:t>
                  </m:r>
                </m:e>
                <m:sub>
                  <m:r>
                    <m:rPr>
                      <m:sty m:val="p"/>
                    </m:rPr>
                    <m:t>z</m:t>
                  </m:r>
                </m:sub>
              </m:sSub>
              <m:sSubSup>
                <m:e>
                  <m:r>
                    <m:t>f</m:t>
                  </m:r>
                </m:e>
                <m:sub>
                  <m:r>
                    <m:t>t</m:t>
                  </m:r>
                </m:sub>
                <m:sup>
                  <m:r>
                    <m:rPr>
                      <m:sty m:val="p"/>
                    </m:rPr>
                    <m:t>⋆</m:t>
                  </m:r>
                </m:sup>
              </m:sSubSup>
              <m:r>
                <m:rPr>
                  <m:sty m:val="p"/>
                </m:rPr>
                <m:t>=</m:t>
              </m:r>
              <m:sSub>
                <m:e>
                  <m:r>
                    <m:t>A</m:t>
                  </m:r>
                </m:e>
                <m:sub>
                  <m:r>
                    <m:rPr>
                      <m:sty m:val="p"/>
                    </m:rPr>
                    <m:t>z</m:t>
                  </m:r>
                </m:sub>
              </m:sSub>
              <m:r>
                <m:t>Γ</m:t>
              </m:r>
              <m:sSubSup>
                <m:e>
                  <m:r>
                    <m:t>f</m:t>
                  </m:r>
                </m:e>
                <m:sub>
                  <m:r>
                    <m:t>t</m:t>
                  </m:r>
                </m:sub>
                <m:sup>
                  <m:r>
                    <m:rPr>
                      <m:sty m:val="p"/>
                    </m:rPr>
                    <m:t>d</m:t>
                  </m:r>
                </m:sup>
              </m:sSubSup>
              <m:r>
                <m:rPr>
                  <m:sty m:val="p"/>
                </m:rPr>
                <m:t>=</m:t>
              </m:r>
              <m:r>
                <m:t>P</m:t>
              </m:r>
              <m:sSub>
                <m:e>
                  <m:r>
                    <m:t>A</m:t>
                  </m:r>
                </m:e>
                <m:sub>
                  <m:r>
                    <m:rPr>
                      <m:sty m:val="p"/>
                    </m:rPr>
                    <m:t>d</m:t>
                  </m:r>
                </m:sub>
              </m:sSub>
              <m:sSubSup>
                <m:e>
                  <m:r>
                    <m:t>f</m:t>
                  </m:r>
                </m:e>
                <m:sub>
                  <m:r>
                    <m:t>t</m:t>
                  </m:r>
                </m:sub>
                <m:sup>
                  <m:r>
                    <m:rPr>
                      <m:sty m:val="p"/>
                    </m:rPr>
                    <m:t>d</m:t>
                  </m:r>
                </m:sup>
              </m:sSubSup>
              <m:r>
                <m:rPr>
                  <m:sty m:val="p"/>
                </m:rPr>
                <m:t>=</m:t>
              </m:r>
              <m:r>
                <m:t>P</m:t>
              </m:r>
              <m:sSubSup>
                <m:e>
                  <m:r>
                    <m:t>p</m:t>
                  </m:r>
                </m:e>
                <m:sub>
                  <m:r>
                    <m:t>t</m:t>
                  </m:r>
                </m:sub>
                <m:sup>
                  <m:r>
                    <m:rPr>
                      <m:sty m:val="p"/>
                    </m:rPr>
                    <m:t>d</m:t>
                  </m:r>
                </m:sup>
              </m:sSubSup>
              <m:r>
                <m:rPr>
                  <m:sty m:val="p"/>
                </m:rPr>
                <m:t>=</m:t>
              </m:r>
              <m:r>
                <m:rPr>
                  <m:sty m:val="p"/>
                </m:rPr>
                <m:t>:</m:t>
              </m:r>
              <m:sSubSup>
                <m:e>
                  <m:r>
                    <m:t>p</m:t>
                  </m:r>
                </m:e>
                <m:sub>
                  <m:r>
                    <m:t>t</m:t>
                  </m:r>
                </m:sub>
                <m:sup>
                  <m:r>
                    <m:rPr>
                      <m:sty m:val="p"/>
                    </m:rPr>
                    <m:t>z</m:t>
                  </m:r>
                </m:sup>
              </m:sSubSup>
              <m:r>
                <m:rPr>
                  <m:sty m:val="p"/>
                </m:rPr>
                <m:t>.</m:t>
              </m:r>
            </m:e>
          </m:borderBox>
        </m:oMath>
      </m:oMathPara>
      <w:r>
        <w:rPr>
          <w:color w:val="374151"/>
          <w:sz w:val="18"/>
        </w:rPr>
        <w:tab/>
        <w:t>(9)</w:t>
      </w:r>
    </w:p>
    <w:p>
      <w:pPr>
        <w:pStyle w:val="FirstParagraph"/>
      </w:pPr>
      <w:r>
        <w:rPr>
          <w:b/>
          <w:bCs/>
        </w:rPr>
        <w:t xml:space="preserve">Interpretation:</w:t>
      </w:r>
      <w:r>
        <w:t xml:space="preserve"> </w:t>
      </w:r>
      <w:r>
        <w:t xml:space="preserve">Wenn Verluste und separat modellierte Betriebsmittel konsistent behandelt werden, kann die</w:t>
      </w:r>
      <w:r>
        <w:t xml:space="preserve"> </w:t>
      </w:r>
      <w:r>
        <w:rPr>
          <w:b/>
          <w:bCs/>
        </w:rPr>
        <w:t xml:space="preserve">summierte Knotenbilanz</w:t>
      </w:r>
      <w:r>
        <w:t xml:space="preserve"> </w:t>
      </w:r>
      <w:r>
        <w:t xml:space="preserve">exakt erhalten bleiben. Daraus folgt jedoch</w:t>
      </w:r>
      <w:r>
        <w:t xml:space="preserve"> </w:t>
      </w:r>
      <w:r>
        <w:rPr>
          <w:b/>
          <w:bCs/>
        </w:rPr>
        <w:t xml:space="preserve">nicht</w:t>
      </w:r>
      <w:r>
        <w:t xml:space="preserve">, dass die zonalen Flüsse</w:t>
      </w:r>
      <w:r>
        <w:t xml:space="preserve"> </w:t>
      </w:r>
      <m:oMath>
        <m:sSubSup>
          <m:e>
            <m:r>
              <m:t>f</m:t>
            </m:r>
          </m:e>
          <m:sub>
            <m:r>
              <m:t>t</m:t>
            </m:r>
          </m:sub>
          <m:sup>
            <m:r>
              <m:rPr>
                <m:sty m:val="p"/>
              </m:rPr>
              <m:t>⋆</m:t>
            </m:r>
          </m:sup>
        </m:sSubSup>
      </m:oMath>
      <w:r>
        <w:t xml:space="preserve"> </w:t>
      </w:r>
      <w:r>
        <w:t xml:space="preserve">unter irgendeinem einzigen Satz positiver Ersatzreaktanzen die Maschengleichungen erfüllen. Genau dieser zweite Teil ist das Gegenstück zur parametrischen Netzreduktion.</w:t>
      </w:r>
    </w:p>
    <w:bookmarkEnd w:id="39"/>
    <w:bookmarkStart w:id="40" w:name="konsequenz-für-die-modellidentität-a"/>
    <w:p>
      <w:pPr>
        <w:pStyle w:val="Heading2"/>
      </w:pPr>
      <w:r>
        <w:t xml:space="preserve">5.3 Konsequenz für die Modellidentität [A]</w:t>
      </w:r>
    </w:p>
    <w:p>
      <w:pPr>
        <w:pStyle w:val="FirstParagraph"/>
      </w:pPr>
      <w:r>
        <w:t xml:space="preserve">Die topologische Aggregation ist somit eine</w:t>
      </w:r>
      <w:r>
        <w:t xml:space="preserve"> </w:t>
      </w:r>
      <w:r>
        <w:rPr>
          <w:b/>
          <w:bCs/>
        </w:rPr>
        <w:t xml:space="preserve">konservative Projektion der Knotenbilanzen</w:t>
      </w:r>
      <w:r>
        <w:t xml:space="preserve">, aber keine allgemeine verlustfreie Projektion der elektrischen Zustandsbeziehungen. Die Originalzustände</w:t>
      </w:r>
      <w:r>
        <w:t xml:space="preserve"> </w:t>
      </w:r>
      <m:oMath>
        <m:sSubSup>
          <m:e>
            <m:r>
              <m:t>θ</m:t>
            </m:r>
          </m:e>
          <m:sub>
            <m:r>
              <m:t>t</m:t>
            </m:r>
          </m:sub>
          <m:sup>
            <m:r>
              <m:rPr>
                <m:sty m:val="p"/>
              </m:rPr>
              <m:t>d</m:t>
            </m:r>
          </m:sup>
        </m:sSubSup>
      </m:oMath>
      <w:r>
        <w:t xml:space="preserve"> </w:t>
      </w:r>
      <w:r>
        <w:t xml:space="preserve">enthalten räumliche Winkelunterschiede innerhalb einer Zone, die im Modell mit nur einem Zonenwinkel verschwinden.</w:t>
      </w:r>
    </w:p>
    <w:p>
      <w:pPr>
        <w:pStyle w:val="BodyText"/>
      </w:pPr>
      <w:r>
        <w:t xml:space="preserve">Die Aussage [Q1, S. 27], mit dem zonalen Kupferplattenmodell träten</w:t>
      </w:r>
      <w:r>
        <w:t xml:space="preserve"> </w:t>
      </w:r>
      <w:r>
        <w:rPr>
          <w:i/>
          <w:iCs/>
        </w:rPr>
        <w:t xml:space="preserve">keine intrazonalen Engpässe auf</w:t>
      </w:r>
      <w:r>
        <w:t xml:space="preserve">, ist eine Aussage über</w:t>
      </w:r>
      <w:r>
        <w:t xml:space="preserve"> </w:t>
      </w:r>
      <w:r>
        <w:rPr>
          <w:b/>
          <w:bCs/>
        </w:rPr>
        <w:t xml:space="preserve">nicht vorhandene explizite interne Beschränkungen im reduzierten Modell</w:t>
      </w:r>
      <w:r>
        <w:t xml:space="preserve">; sie beweist nicht, dass diese Engpässe im ursprünglichen Netz physikalisch verschwinden.</w:t>
      </w:r>
    </w:p>
    <w:bookmarkEnd w:id="40"/>
    <w:bookmarkEnd w:id="41"/>
    <w:bookmarkStart w:id="47" w:name="Xc113c32f826f0fd21a0bb9aef6694fd6e8a148c"/>
    <w:p>
      <w:pPr>
        <w:pStyle w:val="Heading1"/>
      </w:pPr>
      <w:r>
        <w:t xml:space="preserve">6. PTDF-Verfahren und Verwendung stündlicher Zeitreihen</w:t>
      </w:r>
    </w:p>
    <w:bookmarkStart w:id="42" w:name="herkunft-der-synchronfluss-stichprobe-d"/>
    <w:p>
      <w:pPr>
        <w:pStyle w:val="Heading2"/>
      </w:pPr>
      <w:r>
        <w:t xml:space="preserve">6.1 Herkunft der Synchronfluss-Stichprobe [D]</w:t>
      </w:r>
    </w:p>
    <w:p>
      <w:pPr>
        <w:pStyle w:val="FirstParagraph"/>
      </w:pPr>
      <w:r>
        <w:t xml:space="preserve">Im Anhang [Q1, S. 49] wird die Referenzdatenbildung wie folgt beschrieben: Eine klassische Marktsimulation mit NTC-Austauschbedingungen liefert zeitliche Ergebnisse. Für wichtige ausgewählte Marktparameter werden finite Änderungen vorgenommen und neue</w:t>
      </w:r>
      <w:r>
        <w:t xml:space="preserve"> </w:t>
      </w:r>
      <w:r>
        <w:rPr>
          <w:b/>
          <w:bCs/>
        </w:rPr>
        <w:t xml:space="preserve">DC-Lastflussrechnungen</w:t>
      </w:r>
      <w:r>
        <w:t xml:space="preserve"> </w:t>
      </w:r>
      <w:r>
        <w:t xml:space="preserve">durchgeführt. Aus den Differenzen entstehen Empfindlichkeiten; mit ihnen werden für jede Stunde die Leitungsflüsse des detaillierten Netzes approximiert.</w:t>
      </w:r>
    </w:p>
    <w:p>
      <w:pPr>
        <w:pStyle w:val="BodyText"/>
      </w:pPr>
      <w:r>
        <w:t xml:space="preserve">Die im Quelltext ausdrücklich abgedruckte Gleichung besitzt die Struktur</w:t>
      </w:r>
    </w:p>
    <w:p>
      <w:pPr>
        <w:pStyle w:val="BodyText"/>
        <w:tabs>
          <w:tab w:pos="8856" w:val="right"/>
        </w:tabs>
      </w:pPr>
      <m:oMathPara>
        <m:oMathParaPr>
          <m:jc m:val="center"/>
        </m:oMathParaPr>
        <m:oMath>
          <m:sSubSup>
            <m:e>
              <m:r>
                <m:t>f</m:t>
              </m:r>
            </m:e>
            <m:sub>
              <m:r>
                <m:rPr>
                  <m:sty m:val="p"/>
                </m:rPr>
                <m:t>ℓ</m:t>
              </m:r>
              <m:r>
                <m:rPr>
                  <m:sty m:val="p"/>
                </m:rPr>
                <m:t>,</m:t>
              </m:r>
              <m:r>
                <m:t>t</m:t>
              </m:r>
            </m:sub>
            <m:sup>
              <m:r>
                <m:rPr>
                  <m:sty m:val="p"/>
                </m:rPr>
                <m:t>d</m:t>
              </m:r>
            </m:sup>
          </m:sSubSup>
          <m:r>
            <m:rPr>
              <m:sty m:val="p"/>
            </m:rPr>
            <m:t>=</m:t>
          </m:r>
          <m:sSubSup>
            <m:e>
              <m:r>
                <m:t>f</m:t>
              </m:r>
            </m:e>
            <m:sub>
              <m:r>
                <m:rPr>
                  <m:sty m:val="p"/>
                </m:rPr>
                <m:t>ℓ</m:t>
              </m:r>
              <m:r>
                <m:rPr>
                  <m:sty m:val="p"/>
                </m:rPr>
                <m:t>,</m:t>
              </m:r>
              <m:r>
                <m:rPr>
                  <m:sty m:val="p"/>
                </m:rPr>
                <m:t>r</m:t>
              </m:r>
              <m:r>
                <m:rPr>
                  <m:sty m:val="p"/>
                </m:rPr>
                <m:t>e</m:t>
              </m:r>
              <m:r>
                <m:rPr>
                  <m:sty m:val="p"/>
                </m:rPr>
                <m:t>f</m:t>
              </m:r>
            </m:sub>
            <m:sup>
              <m:r>
                <m:rPr>
                  <m:sty m:val="p"/>
                </m:rPr>
                <m:t>d</m:t>
              </m:r>
            </m:sup>
          </m:sSubSup>
          <m:r>
            <m:rPr>
              <m:sty m:val="p"/>
            </m:rPr>
            <m:t>+</m:t>
          </m:r>
          <m:nary>
            <m:naryPr>
              <m:chr m:val="∑"/>
              <m:limLoc m:val="undOvr"/>
              <m:subHide m:val="off"/>
              <m:supHide m:val="on"/>
            </m:naryPr>
            <m:sub>
              <m:r>
                <m:t>q</m:t>
              </m:r>
              <m:r>
                <m:rPr>
                  <m:sty m:val="p"/>
                </m:rPr>
                <m:t>∈</m:t>
              </m:r>
              <m:r>
                <m:rPr>
                  <m:sty m:val="p"/>
                  <m:scr m:val="script"/>
                </m:rPr>
                <m:t>Q</m:t>
              </m:r>
            </m:sub>
            <m:sup>
              <m:r>
                <m:t>​</m:t>
              </m:r>
            </m:sup>
            <m:e>
              <m:sSub>
                <m:e>
                  <m:r>
                    <m:rPr>
                      <m:sty m:val="p"/>
                    </m:rPr>
                    <m:t>P</m:t>
                  </m:r>
                  <m:r>
                    <m:rPr>
                      <m:sty m:val="p"/>
                    </m:rPr>
                    <m:t>T</m:t>
                  </m:r>
                  <m:r>
                    <m:rPr>
                      <m:sty m:val="p"/>
                    </m:rPr>
                    <m:t>D</m:t>
                  </m:r>
                  <m:r>
                    <m:rPr>
                      <m:sty m:val="p"/>
                    </m:rPr>
                    <m:t>F</m:t>
                  </m:r>
                </m:e>
                <m:sub>
                  <m:r>
                    <m:t>q</m:t>
                  </m:r>
                  <m:r>
                    <m:rPr>
                      <m:sty m:val="p"/>
                    </m:rPr>
                    <m:t>ℓ</m:t>
                  </m:r>
                </m:sub>
              </m:sSub>
            </m:e>
          </m:nary>
          <m:d>
            <m:dPr>
              <m:begChr m:val="("/>
              <m:endChr m:val=")"/>
              <m:sepChr m:val=""/>
              <m:grow/>
            </m:dPr>
            <m:e>
              <m:sSub>
                <m:e>
                  <m:r>
                    <m:t>u</m:t>
                  </m:r>
                </m:e>
                <m:sub>
                  <m:r>
                    <m:t>q</m:t>
                  </m:r>
                  <m:r>
                    <m:rPr>
                      <m:sty m:val="p"/>
                    </m:rPr>
                    <m:t>,</m:t>
                  </m:r>
                  <m:r>
                    <m:t>t</m:t>
                  </m:r>
                </m:sub>
              </m:sSub>
              <m:r>
                <m:rPr>
                  <m:sty m:val="p"/>
                </m:rPr>
                <m:t>−</m:t>
              </m:r>
              <m:sSub>
                <m:e>
                  <m:r>
                    <m:t>u</m:t>
                  </m:r>
                </m:e>
                <m:sub>
                  <m:r>
                    <m:t>q</m:t>
                  </m:r>
                  <m:r>
                    <m:rPr>
                      <m:sty m:val="p"/>
                    </m:rPr>
                    <m:t>,</m:t>
                  </m:r>
                  <m:r>
                    <m:rPr>
                      <m:sty m:val="p"/>
                    </m:rPr>
                    <m:t>r</m:t>
                  </m:r>
                  <m:r>
                    <m:rPr>
                      <m:sty m:val="p"/>
                    </m:rPr>
                    <m:t>e</m:t>
                  </m:r>
                  <m:r>
                    <m:rPr>
                      <m:sty m:val="p"/>
                    </m:rPr>
                    <m:t>f</m:t>
                  </m:r>
                </m:sub>
              </m:sSub>
            </m:e>
          </m:d>
          <m:r>
            <m:rPr>
              <m:sty m:val="p"/>
            </m:rPr>
            <m:t>,</m:t>
          </m:r>
        </m:oMath>
      </m:oMathPara>
      <w:r>
        <w:rPr>
          <w:color w:val="374151"/>
          <w:sz w:val="18"/>
        </w:rPr>
        <w:tab/>
        <w:t>(10)</w:t>
      </w:r>
    </w:p>
    <w:p>
      <w:pPr>
        <w:pStyle w:val="FirstParagraph"/>
      </w:pPr>
      <w:r>
        <w:t xml:space="preserve">wobei</w:t>
      </w:r>
      <w:r>
        <w:t xml:space="preserve"> </w:t>
      </w:r>
      <m:oMath>
        <m:sSub>
          <m:e>
            <m:r>
              <m:t>u</m:t>
            </m:r>
          </m:e>
          <m:sub>
            <m:r>
              <m:t>q</m:t>
            </m:r>
            <m:r>
              <m:rPr>
                <m:sty m:val="p"/>
              </m:rPr>
              <m:t>,</m:t>
            </m:r>
            <m:r>
              <m:t>t</m:t>
            </m:r>
          </m:sub>
        </m:sSub>
      </m:oMath>
      <w:r>
        <w:t xml:space="preserve"> </w:t>
      </w:r>
      <w:r>
        <w:t xml:space="preserve">ausgewählte Marktparameter und</w:t>
      </w:r>
      <w:r>
        <w:t xml:space="preserve"> </w:t>
      </w:r>
      <m:oMath>
        <m:r>
          <m:rPr>
            <m:sty m:val="p"/>
            <m:scr m:val="script"/>
          </m:rPr>
          <m:t>Q</m:t>
        </m:r>
      </m:oMath>
      <w:r>
        <w:t xml:space="preserve"> </w:t>
      </w:r>
      <w:r>
        <w:t xml:space="preserve">ihre Menge bezeichnet. Die genaue Bedeutung sämtlicher</w:t>
      </w:r>
      <w:r>
        <w:t xml:space="preserve"> </w:t>
      </w:r>
      <m:oMath>
        <m:r>
          <m:t>q</m:t>
        </m:r>
      </m:oMath>
      <w:r>
        <w:t xml:space="preserve"> </w:t>
      </w:r>
      <w:r>
        <w:t xml:space="preserve">wird im Dokument nicht vollständig definiert. Deshalb wird hier bewusst</w:t>
      </w:r>
      <w:r>
        <w:t xml:space="preserve"> </w:t>
      </w:r>
      <w:r>
        <w:rPr>
          <w:b/>
          <w:bCs/>
        </w:rPr>
        <w:t xml:space="preserve">nicht</w:t>
      </w:r>
      <w:r>
        <w:t xml:space="preserve"> </w:t>
      </w:r>
      <w:r>
        <w:t xml:space="preserve">unterstellt, die Spalten seien zwingend einzelne Knotenleistungsinjektionen.</w:t>
      </w:r>
    </w:p>
    <w:bookmarkEnd w:id="42"/>
    <w:bookmarkStart w:id="43" w:name="finite-differenzen-interpretation-r"/>
    <w:p>
      <w:pPr>
        <w:pStyle w:val="Heading2"/>
      </w:pPr>
      <w:r>
        <w:t xml:space="preserve">6.2 Finite-Differenzen-Interpretation [R]</w:t>
      </w:r>
    </w:p>
    <w:p>
      <w:pPr>
        <w:pStyle w:val="FirstParagraph"/>
      </w:pPr>
      <w:r>
        <w:t xml:space="preserve">Eine konsistente Interpretation der beschriebenen Sensitivitätsbildung ist</w:t>
      </w:r>
    </w:p>
    <w:p>
      <w:pPr>
        <w:pStyle w:val="BodyText"/>
        <w:tabs>
          <w:tab w:pos="8856" w:val="right"/>
        </w:tabs>
      </w:pPr>
      <m:oMathPara>
        <m:oMathParaPr>
          <m:jc m:val="center"/>
        </m:oMathParaPr>
        <m:oMath>
          <m:sSub>
            <m:e>
              <m:r>
                <m:t>H</m:t>
              </m:r>
            </m:e>
            <m:sub>
              <m:r>
                <m:rPr>
                  <m:sty m:val="p"/>
                </m:rPr>
                <m:t>ℓ</m:t>
              </m:r>
              <m:r>
                <m:t>q</m:t>
              </m:r>
            </m:sub>
          </m:sSub>
          <m:r>
            <m:rPr>
              <m:sty m:val="p"/>
            </m:rPr>
            <m:t>≈</m:t>
          </m:r>
          <m:f>
            <m:fPr>
              <m:type m:val="bar"/>
            </m:fPr>
            <m:num>
              <m:sSub>
                <m:e>
                  <m:r>
                    <m:t>f</m:t>
                  </m:r>
                </m:e>
                <m:sub>
                  <m:r>
                    <m:rPr>
                      <m:sty m:val="p"/>
                    </m:rPr>
                    <m:t>ℓ</m:t>
                  </m:r>
                </m:sub>
              </m:sSub>
              <m:d>
                <m:dPr>
                  <m:begChr m:val="("/>
                  <m:endChr m:val=")"/>
                  <m:sepChr m:val=""/>
                  <m:grow/>
                </m:dPr>
                <m:e>
                  <m:sSup>
                    <m:e>
                      <m:r>
                        <m:t>u</m:t>
                      </m:r>
                    </m:e>
                    <m:sup>
                      <m:r>
                        <m:rPr>
                          <m:sty m:val="p"/>
                        </m:rPr>
                        <m:t>r</m:t>
                      </m:r>
                      <m:r>
                        <m:rPr>
                          <m:sty m:val="p"/>
                        </m:rPr>
                        <m:t>e</m:t>
                      </m:r>
                      <m:r>
                        <m:rPr>
                          <m:sty m:val="p"/>
                        </m:rPr>
                        <m:t>f</m:t>
                      </m:r>
                    </m:sup>
                  </m:sSup>
                  <m:r>
                    <m:rPr>
                      <m:sty m:val="p"/>
                    </m:rPr>
                    <m:t>+</m:t>
                  </m:r>
                  <m:sSub>
                    <m:e>
                      <m:r>
                        <m:t>δ</m:t>
                      </m:r>
                    </m:e>
                    <m:sub>
                      <m:r>
                        <m:t>q</m:t>
                      </m:r>
                    </m:sub>
                  </m:sSub>
                  <m:sSub>
                    <m:e>
                      <m:r>
                        <m:t>e</m:t>
                      </m:r>
                    </m:e>
                    <m:sub>
                      <m:r>
                        <m:t>q</m:t>
                      </m:r>
                    </m:sub>
                  </m:sSub>
                </m:e>
              </m:d>
              <m:r>
                <m:rPr>
                  <m:sty m:val="p"/>
                </m:rPr>
                <m:t>−</m:t>
              </m:r>
              <m:sSub>
                <m:e>
                  <m:r>
                    <m:t>f</m:t>
                  </m:r>
                </m:e>
                <m:sub>
                  <m:r>
                    <m:rPr>
                      <m:sty m:val="p"/>
                    </m:rPr>
                    <m:t>ℓ</m:t>
                  </m:r>
                </m:sub>
              </m:sSub>
              <m:d>
                <m:dPr>
                  <m:begChr m:val="("/>
                  <m:endChr m:val=")"/>
                  <m:sepChr m:val=""/>
                  <m:grow/>
                </m:dPr>
                <m:e>
                  <m:sSup>
                    <m:e>
                      <m:r>
                        <m:t>u</m:t>
                      </m:r>
                    </m:e>
                    <m:sup>
                      <m:r>
                        <m:rPr>
                          <m:sty m:val="p"/>
                        </m:rPr>
                        <m:t>r</m:t>
                      </m:r>
                      <m:r>
                        <m:rPr>
                          <m:sty m:val="p"/>
                        </m:rPr>
                        <m:t>e</m:t>
                      </m:r>
                      <m:r>
                        <m:rPr>
                          <m:sty m:val="p"/>
                        </m:rPr>
                        <m:t>f</m:t>
                      </m:r>
                    </m:sup>
                  </m:sSup>
                </m:e>
              </m:d>
            </m:num>
            <m:den>
              <m:sSub>
                <m:e>
                  <m:r>
                    <m:t>δ</m:t>
                  </m:r>
                </m:e>
                <m:sub>
                  <m:r>
                    <m:t>q</m:t>
                  </m:r>
                </m:sub>
              </m:sSub>
            </m:den>
          </m:f>
          <m:r>
            <m:rPr>
              <m:sty m:val="p"/>
            </m:rPr>
            <m:t>,</m:t>
          </m:r>
          <m:r>
            <m:t>  </m:t>
          </m:r>
          <m:sSubSup>
            <m:e>
              <m:r>
                <m:t>f</m:t>
              </m:r>
            </m:e>
            <m:sub>
              <m:r>
                <m:rPr>
                  <m:sty m:val="p"/>
                </m:rPr>
                <m:t>ℓ</m:t>
              </m:r>
              <m:r>
                <m:rPr>
                  <m:sty m:val="p"/>
                </m:rPr>
                <m:t>,</m:t>
              </m:r>
              <m:r>
                <m:t>t</m:t>
              </m:r>
            </m:sub>
            <m:sup>
              <m:r>
                <m:rPr>
                  <m:sty m:val="p"/>
                </m:rPr>
                <m:t>d</m:t>
              </m:r>
            </m:sup>
          </m:sSubSup>
          <m:r>
            <m:rPr>
              <m:sty m:val="p"/>
            </m:rPr>
            <m:t>≈</m:t>
          </m:r>
          <m:sSubSup>
            <m:e>
              <m:r>
                <m:t>f</m:t>
              </m:r>
            </m:e>
            <m:sub>
              <m:r>
                <m:rPr>
                  <m:sty m:val="p"/>
                </m:rPr>
                <m:t>ℓ</m:t>
              </m:r>
              <m:r>
                <m:rPr>
                  <m:sty m:val="p"/>
                </m:rPr>
                <m:t>,</m:t>
              </m:r>
              <m:r>
                <m:rPr>
                  <m:sty m:val="p"/>
                </m:rPr>
                <m:t>r</m:t>
              </m:r>
              <m:r>
                <m:rPr>
                  <m:sty m:val="p"/>
                </m:rPr>
                <m:t>e</m:t>
              </m:r>
              <m:r>
                <m:rPr>
                  <m:sty m:val="p"/>
                </m:rPr>
                <m:t>f</m:t>
              </m:r>
            </m:sub>
            <m:sup>
              <m:r>
                <m:rPr>
                  <m:sty m:val="p"/>
                </m:rPr>
                <m:t>d</m:t>
              </m:r>
            </m:sup>
          </m:sSubSup>
          <m:r>
            <m:rPr>
              <m:sty m:val="p"/>
            </m:rPr>
            <m:t>+</m:t>
          </m:r>
          <m:nary>
            <m:naryPr>
              <m:chr m:val="∑"/>
              <m:limLoc m:val="undOvr"/>
              <m:subHide m:val="off"/>
              <m:supHide m:val="on"/>
            </m:naryPr>
            <m:sub>
              <m:r>
                <m:t>q</m:t>
              </m:r>
            </m:sub>
            <m:sup>
              <m:r>
                <m:t>​</m:t>
              </m:r>
            </m:sup>
            <m:e>
              <m:sSub>
                <m:e>
                  <m:r>
                    <m:t>H</m:t>
                  </m:r>
                </m:e>
                <m:sub>
                  <m:r>
                    <m:rPr>
                      <m:sty m:val="p"/>
                    </m:rPr>
                    <m:t>ℓ</m:t>
                  </m:r>
                  <m:r>
                    <m:t>q</m:t>
                  </m:r>
                </m:sub>
              </m:sSub>
            </m:e>
          </m:nary>
          <m:d>
            <m:dPr>
              <m:begChr m:val="("/>
              <m:endChr m:val=")"/>
              <m:sepChr m:val=""/>
              <m:grow/>
            </m:dPr>
            <m:e>
              <m:sSub>
                <m:e>
                  <m:r>
                    <m:t>u</m:t>
                  </m:r>
                </m:e>
                <m:sub>
                  <m:r>
                    <m:t>q</m:t>
                  </m:r>
                  <m:r>
                    <m:rPr>
                      <m:sty m:val="p"/>
                    </m:rPr>
                    <m:t>,</m:t>
                  </m:r>
                  <m:r>
                    <m:t>t</m:t>
                  </m:r>
                </m:sub>
              </m:sSub>
              <m:r>
                <m:rPr>
                  <m:sty m:val="p"/>
                </m:rPr>
                <m:t>−</m:t>
              </m:r>
              <m:sSub>
                <m:e>
                  <m:r>
                    <m:t>u</m:t>
                  </m:r>
                </m:e>
                <m:sub>
                  <m:r>
                    <m:t>q</m:t>
                  </m:r>
                  <m:r>
                    <m:rPr>
                      <m:sty m:val="p"/>
                    </m:rPr>
                    <m:t>,</m:t>
                  </m:r>
                  <m:r>
                    <m:rPr>
                      <m:sty m:val="p"/>
                    </m:rPr>
                    <m:t>r</m:t>
                  </m:r>
                  <m:r>
                    <m:rPr>
                      <m:sty m:val="p"/>
                    </m:rPr>
                    <m:t>e</m:t>
                  </m:r>
                  <m:r>
                    <m:rPr>
                      <m:sty m:val="p"/>
                    </m:rPr>
                    <m:t>f</m:t>
                  </m:r>
                </m:sub>
              </m:sSub>
            </m:e>
          </m:d>
          <m:r>
            <m:rPr>
              <m:sty m:val="p"/>
            </m:rPr>
            <m:t>.</m:t>
          </m:r>
        </m:oMath>
      </m:oMathPara>
      <w:r>
        <w:rPr>
          <w:color w:val="374151"/>
          <w:sz w:val="18"/>
        </w:rPr>
        <w:tab/>
        <w:t>(11)</w:t>
      </w:r>
    </w:p>
    <w:p>
      <w:pPr>
        <w:pStyle w:val="FirstParagraph"/>
      </w:pPr>
      <w:r>
        <w:t xml:space="preserve">Die Größe</w:t>
      </w:r>
      <w:r>
        <w:t xml:space="preserve"> </w:t>
      </w:r>
      <m:oMath>
        <m:sSub>
          <m:e>
            <m:r>
              <m:t>δ</m:t>
            </m:r>
          </m:e>
          <m:sub>
            <m:r>
              <m:t>q</m:t>
            </m:r>
          </m:sub>
        </m:sSub>
      </m:oMath>
      <w:r>
        <w:t xml:space="preserve"> </w:t>
      </w:r>
      <w:r>
        <w:t xml:space="preserve">und die jeweils erforderliche Rebalancierung der Einspeisungen im Lastfluss sind</w:t>
      </w:r>
      <w:r>
        <w:t xml:space="preserve"> </w:t>
      </w:r>
      <w:r>
        <w:rPr>
          <w:b/>
          <w:bCs/>
        </w:rPr>
        <w:t xml:space="preserve">nicht</w:t>
      </w:r>
      <w:r>
        <w:t xml:space="preserve"> </w:t>
      </w:r>
      <w:r>
        <w:t xml:space="preserve">spezifiziert. Werden nodale Ein- und Ausspeisungen verwendet, kann im konventionellen DC-Modell die lineare Flussabbildung als</w:t>
      </w:r>
    </w:p>
    <w:p>
      <w:pPr>
        <w:pStyle w:val="BodyText"/>
        <w:tabs>
          <w:tab w:pos="8856" w:val="right"/>
        </w:tabs>
      </w:pPr>
      <m:oMathPara>
        <m:oMathParaPr>
          <m:jc m:val="center"/>
        </m:oMathParaPr>
        <m:oMath>
          <m:sSubSup>
            <m:e>
              <m:r>
                <m:t>f</m:t>
              </m:r>
            </m:e>
            <m:sub>
              <m:r>
                <m:t>t</m:t>
              </m:r>
            </m:sub>
            <m:sup>
              <m:r>
                <m:rPr>
                  <m:sty m:val="p"/>
                </m:rPr>
                <m:t>d</m:t>
              </m:r>
            </m:sup>
          </m:sSubSup>
          <m:r>
            <m:rPr>
              <m:sty m:val="p"/>
            </m:rPr>
            <m:t>=</m:t>
          </m:r>
          <m:sSub>
            <m:e>
              <m:r>
                <m:t>D</m:t>
              </m:r>
            </m:e>
            <m:sub>
              <m:r>
                <m:rPr>
                  <m:sty m:val="p"/>
                </m:rPr>
                <m:t>d</m:t>
              </m:r>
            </m:sub>
          </m:sSub>
          <m:sSubSup>
            <m:e>
              <m:r>
                <m:t>A</m:t>
              </m:r>
            </m:e>
            <m:sub>
              <m:r>
                <m:rPr>
                  <m:sty m:val="p"/>
                </m:rPr>
                <m:t>d</m:t>
              </m:r>
            </m:sub>
            <m:sup>
              <m:r>
                <m:rPr>
                  <m:sty m:val="p"/>
                  <m:scr m:val="sans-serif"/>
                </m:rPr>
                <m:t>T</m:t>
              </m:r>
            </m:sup>
          </m:sSubSup>
          <m:sSubSup>
            <m:e>
              <m:r>
                <m:t>L</m:t>
              </m:r>
            </m:e>
            <m:sub>
              <m:r>
                <m:rPr>
                  <m:sty m:val="p"/>
                </m:rPr>
                <m:t>d</m:t>
              </m:r>
            </m:sub>
            <m:sup>
              <m:r>
                <m:rPr>
                  <m:sty m:val="p"/>
                </m:rPr>
                <m:t>+</m:t>
              </m:r>
            </m:sup>
          </m:sSubSup>
          <m:sSubSup>
            <m:e>
              <m:r>
                <m:t>p</m:t>
              </m:r>
            </m:e>
            <m:sub>
              <m:r>
                <m:t>t</m:t>
              </m:r>
            </m:sub>
            <m:sup>
              <m:r>
                <m:rPr>
                  <m:sty m:val="p"/>
                </m:rPr>
                <m:t>d</m:t>
              </m:r>
            </m:sup>
          </m:sSubSup>
          <m:r>
            <m:rPr>
              <m:sty m:val="p"/>
            </m:rPr>
            <m:t>,</m:t>
          </m:r>
        </m:oMath>
      </m:oMathPara>
      <w:r>
        <w:rPr>
          <w:color w:val="374151"/>
          <w:sz w:val="18"/>
        </w:rPr>
        <w:tab/>
        <w:t>(12)</w:t>
      </w:r>
    </w:p>
    <w:p>
      <w:pPr>
        <w:pStyle w:val="FirstParagraph"/>
      </w:pPr>
      <w:r>
        <w:t xml:space="preserve">geschrieben werden, wobei</w:t>
      </w:r>
      <w:r>
        <w:t xml:space="preserve"> </w:t>
      </w:r>
      <m:oMath>
        <m:sSubSup>
          <m:e>
            <m:r>
              <m:t>L</m:t>
            </m:r>
          </m:e>
          <m:sub>
            <m:r>
              <m:rPr>
                <m:sty m:val="p"/>
              </m:rPr>
              <m:t>d</m:t>
            </m:r>
          </m:sub>
          <m:sup>
            <m:r>
              <m:rPr>
                <m:sty m:val="p"/>
              </m:rPr>
              <m:t>+</m:t>
            </m:r>
          </m:sup>
        </m:sSubSup>
      </m:oMath>
      <w:r>
        <w:t xml:space="preserve"> </w:t>
      </w:r>
      <w:r>
        <w:t xml:space="preserve">die Moore-Penrose-Pseudoinverse auf dem zulässigen bilanzierten Einspeisungsraum bezeichnet. Gleichung (12) ist eine</w:t>
      </w:r>
      <w:r>
        <w:t xml:space="preserve"> </w:t>
      </w:r>
      <w:r>
        <w:rPr>
          <w:b/>
          <w:bCs/>
        </w:rPr>
        <w:t xml:space="preserve">mathematische Rekonstruktion</w:t>
      </w:r>
      <w:r>
        <w:t xml:space="preserve"> </w:t>
      </w:r>
      <w:r>
        <w:t xml:space="preserve">und weder die allein mögliche PTDF-Definition noch eine als ENTSO-E-intern belegte Implementierung. Sie setzt bilanzierten Dispatch und ein konsistentes Referenzsystem voraus.</w:t>
      </w:r>
    </w:p>
    <w:bookmarkEnd w:id="43"/>
    <w:bookmarkStart w:id="44" w:name="wann-und-wo-werden-zeitreihen-benötigt"/>
    <w:p>
      <w:pPr>
        <w:pStyle w:val="Heading2"/>
      </w:pPr>
      <w:r>
        <w:t xml:space="preserve">6.3 Wann und wo werden Zeitreihen benötigt?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Verfahrensstufe</w:t>
            </w:r>
          </w:p>
        </w:tc>
        <w:tc>
          <w:tcPr/>
          <w:p>
            <w:pPr>
              <w:pStyle w:val="Compact"/>
              <w:jc w:val="left"/>
            </w:pPr>
            <w:r>
              <w:t xml:space="preserve">Zeitliche Datenverwendung</w:t>
            </w:r>
          </w:p>
        </w:tc>
        <w:tc>
          <w:tcPr/>
          <w:p>
            <w:pPr>
              <w:pStyle w:val="Compact"/>
              <w:jc w:val="left"/>
            </w:pPr>
            <w:r>
              <w:t xml:space="preserve">Spezifikationslage</w:t>
            </w:r>
          </w:p>
        </w:tc>
      </w:tr>
      <w:tr>
        <w:tc>
          <w:tcPr/>
          <w:p>
            <w:pPr>
              <w:pStyle w:val="Compact"/>
              <w:jc w:val="left"/>
            </w:pPr>
            <w:r>
              <w:t xml:space="preserve">Engpasspriorisierung</w:t>
            </w:r>
          </w:p>
        </w:tc>
        <w:tc>
          <w:tcPr/>
          <w:p>
            <w:pPr>
              <w:pStyle w:val="Compact"/>
              <w:jc w:val="left"/>
            </w:pPr>
            <w:r>
              <w:t xml:space="preserve">Stündliche Leitungsflüsse und jährliche Summe der Überlastungsenergie</w:t>
            </w:r>
          </w:p>
        </w:tc>
        <w:tc>
          <w:tcPr/>
          <w:p>
            <w:pPr>
              <w:pStyle w:val="Compact"/>
              <w:jc w:val="left"/>
            </w:pPr>
            <w:r>
              <w:rPr>
                <w:b/>
                <w:bCs/>
              </w:rPr>
              <w:t xml:space="preserve">[D]</w:t>
            </w:r>
            <w:r>
              <w:t xml:space="preserve"> </w:t>
            </w:r>
            <w:r>
              <w:t xml:space="preserve">Stundenweise Auswertung; Szenarioaggregation</w:t>
            </w:r>
            <w:r>
              <w:t xml:space="preserve"> </w:t>
            </w:r>
            <w:r>
              <w:rPr>
                <w:b/>
                <w:bCs/>
              </w:rPr>
              <w:t xml:space="preserve">[U]</w:t>
            </w:r>
          </w:p>
        </w:tc>
      </w:tr>
      <w:tr>
        <w:tc>
          <w:tcPr/>
          <w:p>
            <w:pPr>
              <w:pStyle w:val="Compact"/>
              <w:jc w:val="left"/>
            </w:pPr>
            <w:r>
              <w:t xml:space="preserve">Impedanzkalibrierung</w:t>
            </w:r>
          </w:p>
        </w:tc>
        <w:tc>
          <w:tcPr/>
          <w:p>
            <w:pPr>
              <w:pStyle w:val="Compact"/>
              <w:jc w:val="left"/>
            </w:pPr>
            <w:r>
              <w:t xml:space="preserve">Stichprobe</w:t>
            </w:r>
            <w:r>
              <w:t xml:space="preserve"> </w:t>
            </w:r>
            <w:r>
              <w:rPr>
                <w:i/>
                <w:iCs/>
              </w:rPr>
              <w:t xml:space="preserve">synchroner</w:t>
            </w:r>
            <w:r>
              <w:t xml:space="preserve"> </w:t>
            </w:r>
            <w:r>
              <w:t xml:space="preserve">physikalischer Flussvektoren</w:t>
            </w:r>
            <w:r>
              <w:t xml:space="preserve"> </w:t>
            </w:r>
            <m:oMath>
              <m:sSubSup>
                <m:e>
                  <m:r>
                    <m:t>f</m:t>
                  </m:r>
                </m:e>
                <m:sub>
                  <m:r>
                    <m:t>t</m:t>
                  </m:r>
                </m:sub>
                <m:sup>
                  <m:r>
                    <m:rPr>
                      <m:sty m:val="p"/>
                    </m:rPr>
                    <m:t>⋆</m:t>
                  </m:r>
                </m:sup>
              </m:sSubSup>
            </m:oMath>
          </w:p>
        </w:tc>
        <w:tc>
          <w:tcPr/>
          <w:p>
            <w:pPr>
              <w:pStyle w:val="Compact"/>
              <w:jc w:val="left"/>
            </w:pPr>
            <w:r>
              <w:rPr>
                <w:b/>
                <w:bCs/>
              </w:rPr>
              <w:t xml:space="preserve">[D]</w:t>
            </w:r>
            <w:r>
              <w:t xml:space="preserve"> </w:t>
            </w:r>
            <w:r>
              <w:t xml:space="preserve">Datenart; Stundenauswahl, Gewichtung und Umfang</w:t>
            </w:r>
            <w:r>
              <w:t xml:space="preserve"> </w:t>
            </w:r>
            <w:r>
              <w:rPr>
                <w:b/>
                <w:bCs/>
              </w:rPr>
              <w:t xml:space="preserve">[U]</w:t>
            </w:r>
          </w:p>
        </w:tc>
      </w:tr>
      <w:tr>
        <w:tc>
          <w:tcPr/>
          <w:p>
            <w:pPr>
              <w:pStyle w:val="Compact"/>
              <w:jc w:val="left"/>
            </w:pPr>
            <w:r>
              <w:t xml:space="preserve">N-1-Kapazitätsschätzung</w:t>
            </w:r>
          </w:p>
        </w:tc>
        <w:tc>
          <w:tcPr/>
          <w:p>
            <w:pPr>
              <w:pStyle w:val="Compact"/>
              <w:jc w:val="left"/>
            </w:pPr>
            <w:r>
              <w:t xml:space="preserve">Stündliche Paare aus Grenzfluss und maximalem N-1-Belastungsgrad</w:t>
            </w:r>
          </w:p>
        </w:tc>
        <w:tc>
          <w:tcPr/>
          <w:p>
            <w:pPr>
              <w:pStyle w:val="Compact"/>
              <w:jc w:val="left"/>
            </w:pPr>
            <w:r>
              <w:rPr>
                <w:b/>
                <w:bCs/>
              </w:rPr>
              <w:t xml:space="preserve">[D]</w:t>
            </w:r>
            <w:r>
              <w:t xml:space="preserve"> </w:t>
            </w:r>
            <w:r>
              <w:t xml:space="preserve">Prinzip; allgemeiner Fit</w:t>
            </w:r>
            <w:r>
              <w:t xml:space="preserve"> </w:t>
            </w:r>
            <w:r>
              <w:rPr>
                <w:b/>
                <w:bCs/>
              </w:rPr>
              <w:t xml:space="preserve">[U]</w:t>
            </w:r>
          </w:p>
        </w:tc>
      </w:tr>
      <w:tr>
        <w:tc>
          <w:tcPr/>
          <w:p>
            <w:pPr>
              <w:pStyle w:val="Compact"/>
              <w:jc w:val="left"/>
            </w:pPr>
            <w:r>
              <w:t xml:space="preserve">Marktmodell nach Reduktion</w:t>
            </w:r>
          </w:p>
        </w:tc>
        <w:tc>
          <w:tcPr/>
          <w:p>
            <w:pPr>
              <w:pStyle w:val="Compact"/>
              <w:jc w:val="left"/>
            </w:pPr>
            <w:r>
              <w:t xml:space="preserve">Zeitreihen für Nachfrage, Wind, PV, Wasserkraft und Anlagen-Dispatch auf zonaler Ebene</w:t>
            </w:r>
          </w:p>
        </w:tc>
        <w:tc>
          <w:tcPr/>
          <w:p>
            <w:pPr>
              <w:pStyle w:val="Compact"/>
              <w:jc w:val="left"/>
            </w:pPr>
            <w:r>
              <w:rPr>
                <w:b/>
                <w:bCs/>
              </w:rPr>
              <w:t xml:space="preserve">[D]</w:t>
            </w:r>
            <w:r>
              <w:t xml:space="preserve"> </w:t>
            </w:r>
            <w:r>
              <w:t xml:space="preserve">Grundprozess; exakte Allokationsschlüssel</w:t>
            </w:r>
            <w:r>
              <w:t xml:space="preserve"> </w:t>
            </w:r>
            <w:r>
              <w:rPr>
                <w:b/>
                <w:bCs/>
              </w:rPr>
              <w:t xml:space="preserve">[U]</w:t>
            </w:r>
          </w:p>
        </w:tc>
      </w:tr>
      <w:tr>
        <w:tc>
          <w:tcPr/>
          <w:p>
            <w:pPr>
              <w:pStyle w:val="Compact"/>
              <w:jc w:val="left"/>
            </w:pPr>
            <w:r>
              <w:t xml:space="preserve">Wetter-Szenarioauswahl</w:t>
            </w:r>
          </w:p>
        </w:tc>
        <w:tc>
          <w:tcPr/>
          <w:p>
            <w:pPr>
              <w:pStyle w:val="Compact"/>
              <w:jc w:val="left"/>
            </w:pPr>
            <w:r>
              <w:t xml:space="preserve">Repräsentative Klima-Jahr-Kombinationen aus 30 Kandidaten je Studienzieljahr</w:t>
            </w:r>
          </w:p>
        </w:tc>
        <w:tc>
          <w:tcPr/>
          <w:p>
            <w:pPr>
              <w:pStyle w:val="Compact"/>
              <w:jc w:val="left"/>
            </w:pPr>
            <w:r>
              <w:rPr>
                <w:b/>
                <w:bCs/>
              </w:rPr>
              <w:t xml:space="preserve">[D]</w:t>
            </w:r>
            <w:r>
              <w:t xml:space="preserve">; keine automatisch belegte Gleichheit mit Kalibrierungsstunden</w:t>
            </w:r>
          </w:p>
        </w:tc>
      </w:tr>
    </w:tbl>
    <w:p>
      <w:pPr>
        <w:pStyle w:val="BodyText"/>
      </w:pPr>
      <w:r>
        <w:t xml:space="preserve">Die Formulierung</w:t>
      </w:r>
      <w:r>
        <w:t xml:space="preserve"> </w:t>
      </w:r>
      <w:r>
        <w:rPr>
          <w:i/>
          <w:iCs/>
        </w:rPr>
        <w:t xml:space="preserve">synchronous flows</w:t>
      </w:r>
      <w:r>
        <w:t xml:space="preserve"> </w:t>
      </w:r>
      <w:r>
        <w:t xml:space="preserve">ist entscheidend: Die Zielvektoren müssen denselben Zeitpunkt und dieselbe simultane räumliche Einspeisesituation repräsentieren. Würden die Zielflüsse für jede Interzonenverbindung aus unterschiedlichen Stunden zusammengesetzt, könnten sie die nach (9) notwendigen Knotenbilanzen im Allgemeinen verletzen. [A]</w:t>
      </w:r>
    </w:p>
    <w:bookmarkEnd w:id="44"/>
    <w:bookmarkStart w:id="45" w:name="wetterjahre-gewichte-und-gültigkeit-du"/>
    <w:p>
      <w:pPr>
        <w:pStyle w:val="Heading2"/>
      </w:pPr>
      <w:r>
        <w:t xml:space="preserve">6.4 Wetterjahre, Gewichte und Gültigkeit [D/U]</w:t>
      </w:r>
    </w:p>
    <w:p>
      <w:pPr>
        <w:pStyle w:val="FirstParagraph"/>
      </w:pPr>
      <w:r>
        <w:t xml:space="preserve">Für die</w:t>
      </w:r>
      <w:r>
        <w:t xml:space="preserve"> </w:t>
      </w:r>
      <w:r>
        <w:rPr>
          <w:b/>
          <w:bCs/>
        </w:rPr>
        <w:t xml:space="preserve">übergeordnete</w:t>
      </w:r>
      <w:r>
        <w:t xml:space="preserve"> </w:t>
      </w:r>
      <w:r>
        <w:t xml:space="preserve">IoSN-Ausbauoptimierung werden je Zieljahr drei repräsentative Wetterszenarien mit folgenden Gewichten veröffentlicht [Q1, § 3.7, S. 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Zieljahr</w:t>
            </w:r>
          </w:p>
        </w:tc>
        <w:tc>
          <w:tcPr/>
          <w:p>
            <w:pPr>
              <w:pStyle w:val="Compact"/>
              <w:jc w:val="left"/>
            </w:pPr>
            <w:r>
              <w:t xml:space="preserve">Repräsentative Szenarien</w:t>
            </w:r>
          </w:p>
        </w:tc>
        <w:tc>
          <w:tcPr/>
          <w:p>
            <w:pPr>
              <w:pStyle w:val="Compact"/>
              <w:jc w:val="left"/>
            </w:pPr>
            <w:r>
              <w:t xml:space="preserve">Wahrscheinlichkeits-/Szenariogewichte</w:t>
            </w:r>
          </w:p>
        </w:tc>
      </w:tr>
      <w:tr>
        <w:tc>
          <w:tcPr/>
          <w:p>
            <w:pPr>
              <w:pStyle w:val="Compact"/>
              <w:jc w:val="left"/>
            </w:pPr>
            <w:r>
              <w:t xml:space="preserve">2035</w:t>
            </w:r>
          </w:p>
        </w:tc>
        <w:tc>
          <w:tcPr/>
          <w:p>
            <w:pPr>
              <w:pStyle w:val="Compact"/>
              <w:jc w:val="left"/>
            </w:pPr>
            <w:r>
              <w:t xml:space="preserve">WS032, WS037, WS059</w:t>
            </w:r>
          </w:p>
        </w:tc>
        <w:tc>
          <w:tcPr/>
          <w:p>
            <w:pPr>
              <w:pStyle w:val="Compact"/>
              <w:jc w:val="left"/>
            </w:pPr>
            <w:r>
              <w:t xml:space="preserve">0,24; 0,43; 0,33</w:t>
            </w:r>
          </w:p>
        </w:tc>
      </w:tr>
      <w:tr>
        <w:tc>
          <w:tcPr/>
          <w:p>
            <w:pPr>
              <w:pStyle w:val="Compact"/>
              <w:jc w:val="left"/>
            </w:pPr>
            <w:r>
              <w:t xml:space="preserve">2040</w:t>
            </w:r>
          </w:p>
        </w:tc>
        <w:tc>
          <w:tcPr/>
          <w:p>
            <w:pPr>
              <w:pStyle w:val="Compact"/>
              <w:jc w:val="left"/>
            </w:pPr>
            <w:r>
              <w:t xml:space="preserve">WS065, WS071, WS077</w:t>
            </w:r>
          </w:p>
        </w:tc>
        <w:tc>
          <w:tcPr/>
          <w:p>
            <w:pPr>
              <w:pStyle w:val="Compact"/>
              <w:jc w:val="left"/>
            </w:pPr>
            <w:r>
              <w:t xml:space="preserve">0,20; 0,40; 0,40</w:t>
            </w:r>
          </w:p>
        </w:tc>
      </w:tr>
      <w:tr>
        <w:tc>
          <w:tcPr/>
          <w:p>
            <w:pPr>
              <w:pStyle w:val="Compact"/>
              <w:jc w:val="left"/>
            </w:pPr>
            <w:r>
              <w:t xml:space="preserve">2050</w:t>
            </w:r>
          </w:p>
        </w:tc>
        <w:tc>
          <w:tcPr/>
          <w:p>
            <w:pPr>
              <w:pStyle w:val="Compact"/>
              <w:jc w:val="left"/>
            </w:pPr>
            <w:r>
              <w:t xml:space="preserve">WS091, WS092, WS106</w:t>
            </w:r>
          </w:p>
        </w:tc>
        <w:tc>
          <w:tcPr/>
          <w:p>
            <w:pPr>
              <w:pStyle w:val="Compact"/>
              <w:jc w:val="left"/>
            </w:pPr>
            <w:r>
              <w:t xml:space="preserve">0,23; 0,57; 0,20</w:t>
            </w:r>
          </w:p>
        </w:tc>
      </w:tr>
    </w:tbl>
    <w:p>
      <w:pPr>
        <w:pStyle w:val="BodyText"/>
      </w:pPr>
      <w:r>
        <w:t xml:space="preserve">Die Auswahl wird mithilfe statistischer Normalisierung, Hauptkomponentenanalyse (PCA) und K-Means-Clustering beschrieben [Q1, Anhang 6.3].</w:t>
      </w:r>
      <w:r>
        <w:t xml:space="preserve"> </w:t>
      </w:r>
      <w:r>
        <w:rPr>
          <w:b/>
          <w:bCs/>
        </w:rPr>
        <w:t xml:space="preserve">Unzulässiger Kurzschluss:</w:t>
      </w:r>
      <w:r>
        <w:t xml:space="preserve"> </w:t>
      </w:r>
      <w:r>
        <w:t xml:space="preserve">Aus der Rolle dieser Gewichte in der stochastisch/robust formulierten Ausbauoptimierung folgt</w:t>
      </w:r>
      <w:r>
        <w:t xml:space="preserve"> </w:t>
      </w:r>
      <w:r>
        <w:rPr>
          <w:b/>
          <w:bCs/>
        </w:rPr>
        <w:t xml:space="preserve">nicht</w:t>
      </w:r>
      <w:r>
        <w:t xml:space="preserve">, dass exakt diese Gewichte auch die Kalibrierungszielfunktion der Ersatzimpedanzen definieren. Das müsste separat spezifiziert sein. [U]</w:t>
      </w:r>
    </w:p>
    <w:p>
      <w:pPr>
        <w:pStyle w:val="BodyText"/>
      </w:pPr>
      <w:r>
        <w:t xml:space="preserve">Ein konkreter redaktioneller Widerspruch betrifft die Wetterjahr-Fenster: § 3.7 nennt etwa für das Zieljahr 2035</w:t>
      </w:r>
      <w:r>
        <w:t xml:space="preserve"> </w:t>
      </w:r>
      <w:r>
        <w:rPr>
          <w:b/>
          <w:bCs/>
        </w:rPr>
        <w:t xml:space="preserve">2030–2039</w:t>
      </w:r>
      <w:r>
        <w:t xml:space="preserve">, während Anhang 6.3.1</w:t>
      </w:r>
      <w:r>
        <w:t xml:space="preserve"> </w:t>
      </w:r>
      <w:r>
        <w:rPr>
          <w:b/>
          <w:bCs/>
        </w:rPr>
        <w:t xml:space="preserve">2031–2040</w:t>
      </w:r>
      <w:r>
        <w:t xml:space="preserve"> </w:t>
      </w:r>
      <w:r>
        <w:t xml:space="preserve">festhält. Entsprechende Verschiebungen finden sich auch für 2040 und 2050 [Q1, S. 19 und 58]. Ohne eine Entscheidung über den maßgeblichen Zeitindex ist der exakte Auswahlpool aus dem Dokument nicht widerspruchsfrei rekonstruierbar.</w:t>
      </w:r>
    </w:p>
    <w:bookmarkEnd w:id="45"/>
    <w:bookmarkStart w:id="46" w:name="Xcc1548f02b5b7318ae734a848fc55f16f4f5278"/>
    <w:p>
      <w:pPr>
        <w:pStyle w:val="Heading2"/>
      </w:pPr>
      <w:r>
        <w:t xml:space="preserve">6.5 Hypothetische Gewichtung einer Impedanzkalibrierung [E]</w:t>
      </w:r>
    </w:p>
    <w:p>
      <w:pPr>
        <w:pStyle w:val="FirstParagraph"/>
      </w:pPr>
      <w:r>
        <w:t xml:space="preserve">Für eine reproduzierbare Umsetzung könnte man einen bekannten Index</w:t>
      </w:r>
      <w:r>
        <w:t xml:space="preserve"> </w:t>
      </w:r>
      <m:oMath>
        <m:r>
          <m:rPr>
            <m:sty m:val="p"/>
            <m:scr m:val="script"/>
          </m:rPr>
          <m:t>S</m:t>
        </m:r>
      </m:oMath>
      <w:r>
        <w:t xml:space="preserve">, stündliche Mengen</w:t>
      </w:r>
      <w:r>
        <w:t xml:space="preserve"> </w:t>
      </w:r>
      <m:oMath>
        <m:sSubSup>
          <m:e>
            <m:r>
              <m:rPr>
                <m:sty m:val="p"/>
                <m:scr m:val="script"/>
              </m:rPr>
              <m:t>T</m:t>
            </m:r>
          </m:e>
          <m:sub>
            <m:r>
              <m:t>s</m:t>
            </m:r>
          </m:sub>
          <m:sup>
            <m:r>
              <m:rPr>
                <m:sty m:val="p"/>
              </m:rPr>
              <m:t>c</m:t>
            </m:r>
            <m:r>
              <m:rPr>
                <m:sty m:val="p"/>
              </m:rPr>
              <m:t>a</m:t>
            </m:r>
            <m:r>
              <m:rPr>
                <m:sty m:val="p"/>
              </m:rPr>
              <m:t>l</m:t>
            </m:r>
          </m:sup>
        </m:sSubSup>
      </m:oMath>
      <w:r>
        <w:t xml:space="preserve"> </w:t>
      </w:r>
      <w:r>
        <w:t xml:space="preserve">und normierte positive Gewichte</w:t>
      </w:r>
      <w:r>
        <w:t xml:space="preserve"> </w:t>
      </w:r>
      <m:oMath>
        <m:sSub>
          <m:e>
            <m:r>
              <m:t>ω</m:t>
            </m:r>
          </m:e>
          <m:sub>
            <m:r>
              <m:t>s</m:t>
            </m:r>
            <m:r>
              <m:rPr>
                <m:sty m:val="p"/>
              </m:rPr>
              <m:t>,</m:t>
            </m:r>
            <m:r>
              <m:t>t</m:t>
            </m:r>
          </m:sub>
        </m:sSub>
      </m:oMath>
      <w:r>
        <w:t xml:space="preserve"> </w:t>
      </w:r>
      <w:r>
        <w:t xml:space="preserve">verwenden:</w:t>
      </w:r>
    </w:p>
    <w:p>
      <w:pPr>
        <w:pStyle w:val="BodyText"/>
        <w:tabs>
          <w:tab w:pos="8856" w:val="right"/>
        </w:tabs>
      </w:pPr>
      <m:oMathPara>
        <m:oMathParaPr>
          <m:jc m:val="center"/>
        </m:oMathParaPr>
        <m:oMath>
          <m:sSub>
            <m:e>
              <m:r>
                <m:t>ω</m:t>
              </m:r>
            </m:e>
            <m:sub>
              <m:r>
                <m:t>s</m:t>
              </m:r>
              <m:r>
                <m:rPr>
                  <m:sty m:val="p"/>
                </m:rPr>
                <m:t>,</m:t>
              </m:r>
              <m:r>
                <m:t>t</m:t>
              </m:r>
            </m:sub>
          </m:sSub>
          <m:r>
            <m:rPr>
              <m:sty m:val="p"/>
            </m:rPr>
            <m:t>≥</m:t>
          </m:r>
          <m:r>
            <m:t>0</m:t>
          </m:r>
          <m:r>
            <m:rPr>
              <m:sty m:val="p"/>
            </m:rPr>
            <m:t>,</m:t>
          </m:r>
          <m:r>
            <m:t>  </m:t>
          </m:r>
          <m:nary>
            <m:naryPr>
              <m:chr m:val="∑"/>
              <m:limLoc m:val="undOvr"/>
              <m:subHide m:val="off"/>
              <m:supHide m:val="on"/>
            </m:naryPr>
            <m:sub>
              <m:r>
                <m:t>s</m:t>
              </m:r>
            </m:sub>
            <m:sup>
              <m:r>
                <m:t>​</m:t>
              </m:r>
            </m:sup>
            <m:e>
              <m:nary>
                <m:naryPr>
                  <m:chr m:val="∑"/>
                  <m:limLoc m:val="undOvr"/>
                  <m:subHide m:val="off"/>
                  <m:supHide m:val="on"/>
                </m:naryPr>
                <m:sub>
                  <m:r>
                    <m:t>t</m:t>
                  </m:r>
                  <m:r>
                    <m:rPr>
                      <m:sty m:val="p"/>
                    </m:rPr>
                    <m:t>∈</m:t>
                  </m:r>
                  <m:sSubSup>
                    <m:e>
                      <m:r>
                        <m:rPr>
                          <m:sty m:val="p"/>
                          <m:scr m:val="script"/>
                        </m:rPr>
                        <m:t>T</m:t>
                      </m:r>
                    </m:e>
                    <m:sub>
                      <m:r>
                        <m:t>s</m:t>
                      </m:r>
                    </m:sub>
                    <m:sup>
                      <m:r>
                        <m:rPr>
                          <m:sty m:val="p"/>
                        </m:rPr>
                        <m:t>c</m:t>
                      </m:r>
                      <m:r>
                        <m:rPr>
                          <m:sty m:val="p"/>
                        </m:rPr>
                        <m:t>a</m:t>
                      </m:r>
                      <m:r>
                        <m:rPr>
                          <m:sty m:val="p"/>
                        </m:rPr>
                        <m:t>l</m:t>
                      </m:r>
                    </m:sup>
                  </m:sSubSup>
                </m:sub>
                <m:sup>
                  <m:r>
                    <m:t>​</m:t>
                  </m:r>
                </m:sup>
                <m:e>
                  <m:sSub>
                    <m:e>
                      <m:r>
                        <m:t>ω</m:t>
                      </m:r>
                    </m:e>
                    <m:sub>
                      <m:r>
                        <m:t>s</m:t>
                      </m:r>
                      <m:r>
                        <m:rPr>
                          <m:sty m:val="p"/>
                        </m:rPr>
                        <m:t>,</m:t>
                      </m:r>
                      <m:r>
                        <m:t>t</m:t>
                      </m:r>
                    </m:sub>
                  </m:sSub>
                </m:e>
              </m:nary>
            </m:e>
          </m:nary>
          <m:r>
            <m:rPr>
              <m:sty m:val="p"/>
            </m:rPr>
            <m:t>=</m:t>
          </m:r>
          <m:r>
            <m:t>1</m:t>
          </m:r>
          <m:r>
            <m:rPr>
              <m:sty m:val="p"/>
            </m:rPr>
            <m:t>.</m:t>
          </m:r>
        </m:oMath>
      </m:oMathPara>
      <w:r>
        <w:rPr>
          <w:color w:val="374151"/>
          <w:sz w:val="18"/>
        </w:rPr>
        <w:tab/>
        <w:t>(13)</w:t>
      </w:r>
    </w:p>
    <w:p>
      <w:pPr>
        <w:pStyle w:val="FirstParagraph"/>
      </w:pPr>
      <w:r>
        <w:t xml:space="preserve">Damit lässt sich festlegen, ob typische Stunden, Extremstunden und Szenarien gleichmäßig oder zielbezogen gewichtet werden.</w:t>
      </w:r>
      <w:r>
        <w:t xml:space="preserve"> </w:t>
      </w:r>
      <w:r>
        <w:rPr>
          <w:b/>
          <w:bCs/>
        </w:rPr>
        <w:t xml:space="preserve">Die konkreten</w:t>
      </w:r>
      <w:r>
        <w:rPr>
          <w:b/>
          <w:bCs/>
        </w:rPr>
        <w:t xml:space="preserve"> </w:t>
      </w:r>
      <m:oMath>
        <m:sSub>
          <m:e>
            <m:r>
              <m:t>ω</m:t>
            </m:r>
          </m:e>
          <m:sub>
            <m:r>
              <m:t>s</m:t>
            </m:r>
            <m:r>
              <m:rPr>
                <m:sty m:val="p"/>
              </m:rPr>
              <m:t>,</m:t>
            </m:r>
            <m:r>
              <m:t>t</m:t>
            </m:r>
          </m:sub>
        </m:sSub>
      </m:oMath>
      <w:r>
        <w:rPr>
          <w:b/>
          <w:bCs/>
        </w:rPr>
        <w:t xml:space="preserve"> </w:t>
      </w:r>
      <w:r>
        <w:rPr>
          <w:b/>
          <w:bCs/>
        </w:rPr>
        <w:t xml:space="preserve">gehören nicht zur veröffentlichten ENTSO-E-Spezifikation.</w:t>
      </w:r>
      <w:r>
        <w:t xml:space="preserve"> </w:t>
      </w:r>
      <w:r>
        <w:t xml:space="preserve">Derartige zusätzliche Festlegungen können die gewonnenen Ersatzreaktanzen und Flusskorrekturen materiell verändern.</w:t>
      </w:r>
    </w:p>
    <w:bookmarkEnd w:id="46"/>
    <w:bookmarkEnd w:id="47"/>
    <w:bookmarkStart w:id="55" w:name="Xfdc10177f9e750a71cc9e7c5ad9fd5efedb1c56"/>
    <w:p>
      <w:pPr>
        <w:pStyle w:val="Heading1"/>
      </w:pPr>
      <w:r>
        <w:t xml:space="preserve">7. Elektrische Reduktion: Ersatzreaktanzen und strukturelle Flusskorrekturen</w:t>
      </w:r>
    </w:p>
    <w:bookmarkStart w:id="48" w:name="Xa317fd21b60c24b8826d3d3cdfe78305ae9d9de"/>
    <w:p>
      <w:pPr>
        <w:pStyle w:val="Heading2"/>
      </w:pPr>
      <w:r>
        <w:t xml:space="preserve">7.1 Von der Impedanz zur Ersatznetz-Admittanz [D/R]</w:t>
      </w:r>
    </w:p>
    <w:p>
      <w:pPr>
        <w:pStyle w:val="FirstParagraph"/>
      </w:pPr>
      <w:r>
        <w:t xml:space="preserve">Der Anhang bezeichnet die Konstruktion einer</w:t>
      </w:r>
      <w:r>
        <w:t xml:space="preserve"> </w:t>
      </w:r>
      <w:r>
        <w:rPr>
          <w:b/>
          <w:bCs/>
        </w:rPr>
        <w:t xml:space="preserve">Admittanzmatrix für das reduzierte System</w:t>
      </w:r>
      <w:r>
        <w:t xml:space="preserve"> </w:t>
      </w:r>
      <w:r>
        <w:t xml:space="preserve">als Basis der Bestimmung äquivalenter Impedanzen. Dabei werden die äquivalenten Reaktanzen</w:t>
      </w:r>
      <w:r>
        <w:t xml:space="preserve"> </w:t>
      </w:r>
      <w:r>
        <w:rPr>
          <w:b/>
          <w:bCs/>
        </w:rPr>
        <w:t xml:space="preserve">und</w:t>
      </w:r>
      <w:r>
        <w:t xml:space="preserve"> </w:t>
      </w:r>
      <w:r>
        <w:t xml:space="preserve">initiale bzw. strukturelle Flusskorrekturen so angepasst, dass prognostizierte Interzonenflüsse möglichst gut mit den aus dem detaillierten Netz gewonnenen Zielflüssen übereinstimmen. [Q1, S. 27, 48–49]</w:t>
      </w:r>
    </w:p>
    <w:p>
      <w:pPr>
        <w:pStyle w:val="BodyText"/>
      </w:pPr>
      <w:r>
        <w:t xml:space="preserve">Mit</w:t>
      </w:r>
      <w:r>
        <w:t xml:space="preserve"> </w:t>
      </w:r>
      <m:oMath>
        <m:r>
          <m:t>X</m:t>
        </m:r>
        <m:r>
          <m:rPr>
            <m:sty m:val="p"/>
          </m:rPr>
          <m:t>=</m:t>
        </m:r>
        <m:r>
          <m:rPr>
            <m:sty m:val="p"/>
          </m:rPr>
          <m:t>diag</m:t>
        </m:r>
        <m:d>
          <m:dPr>
            <m:begChr m:val="("/>
            <m:endChr m:val=")"/>
            <m:sepChr m:val=""/>
            <m:grow/>
          </m:dPr>
          <m:e>
            <m:sSubSup>
              <m:e>
                <m:r>
                  <m:t>x</m:t>
                </m:r>
              </m:e>
              <m:sub>
                <m:r>
                  <m:t>1</m:t>
                </m:r>
              </m:sub>
              <m:sup>
                <m:r>
                  <m:rPr>
                    <m:sty m:val="p"/>
                  </m:rPr>
                  <m:t>e</m:t>
                </m:r>
                <m:r>
                  <m:rPr>
                    <m:sty m:val="p"/>
                  </m:rPr>
                  <m:t>q</m:t>
                </m:r>
              </m:sup>
            </m:sSubSup>
            <m:r>
              <m:rPr>
                <m:sty m:val="p"/>
              </m:rPr>
              <m:t>,</m:t>
            </m:r>
            <m:r>
              <m:rPr>
                <m:sty m:val="p"/>
              </m:rPr>
              <m:t>…</m:t>
            </m:r>
            <m:r>
              <m:rPr>
                <m:sty m:val="p"/>
              </m:rPr>
              <m:t>,</m:t>
            </m:r>
            <m:sSubSup>
              <m:e>
                <m:r>
                  <m:t>x</m:t>
                </m:r>
              </m:e>
              <m:sub>
                <m:r>
                  <m:t>r</m:t>
                </m:r>
              </m:sub>
              <m:sup>
                <m:r>
                  <m:rPr>
                    <m:sty m:val="p"/>
                  </m:rPr>
                  <m:t>e</m:t>
                </m:r>
                <m:r>
                  <m:rPr>
                    <m:sty m:val="p"/>
                  </m:rPr>
                  <m:t>q</m:t>
                </m:r>
              </m:sup>
            </m:sSubSup>
          </m:e>
        </m:d>
      </m:oMath>
      <w:r>
        <w:t xml:space="preserve"> </w:t>
      </w:r>
      <w:r>
        <w:t xml:space="preserve">und</w:t>
      </w:r>
      <w:r>
        <w:t xml:space="preserve"> </w:t>
      </w:r>
      <m:oMath>
        <m:r>
          <m:t>B</m:t>
        </m:r>
        <m:r>
          <m:rPr>
            <m:sty m:val="p"/>
          </m:rPr>
          <m:t>=</m:t>
        </m:r>
        <m:sSup>
          <m:e>
            <m:r>
              <m:t>X</m:t>
            </m:r>
          </m:e>
          <m:sup>
            <m:r>
              <m:rPr>
                <m:sty m:val="p"/>
              </m:rPr>
              <m:t>−</m:t>
            </m:r>
            <m:r>
              <m:t>1</m:t>
            </m:r>
          </m:sup>
        </m:sSup>
      </m:oMath>
      <w:r>
        <w:t xml:space="preserve"> </w:t>
      </w:r>
      <w:r>
        <w:t xml:space="preserve">lautet die reduzierte gewichtete Laplace-Matrix [R]</w:t>
      </w:r>
    </w:p>
    <w:p>
      <w:pPr>
        <w:pStyle w:val="BodyText"/>
        <w:tabs>
          <w:tab w:pos="8856" w:val="right"/>
        </w:tabs>
      </w:pPr>
      <m:oMathPara>
        <m:oMathParaPr>
          <m:jc m:val="center"/>
        </m:oMathParaPr>
        <m:oMath>
          <m:sSub>
            <m:e>
              <m:r>
                <m:t>L</m:t>
              </m:r>
            </m:e>
            <m:sub>
              <m:r>
                <m:rPr>
                  <m:sty m:val="p"/>
                </m:rPr>
                <m:t>z</m:t>
              </m:r>
            </m:sub>
          </m:sSub>
          <m:d>
            <m:dPr>
              <m:begChr m:val="("/>
              <m:endChr m:val=")"/>
              <m:sepChr m:val=""/>
              <m:grow/>
            </m:dPr>
            <m:e>
              <m:r>
                <m:t>X</m:t>
              </m:r>
            </m:e>
          </m:d>
          <m:r>
            <m:rPr>
              <m:sty m:val="p"/>
            </m:rPr>
            <m:t>=</m:t>
          </m:r>
          <m:sSub>
            <m:e>
              <m:r>
                <m:t>A</m:t>
              </m:r>
            </m:e>
            <m:sub>
              <m:r>
                <m:rPr>
                  <m:sty m:val="p"/>
                </m:rPr>
                <m:t>z</m:t>
              </m:r>
            </m:sub>
          </m:sSub>
          <m:r>
            <m:t>B</m:t>
          </m:r>
          <m:sSubSup>
            <m:e>
              <m:r>
                <m:t>A</m:t>
              </m:r>
            </m:e>
            <m:sub>
              <m:r>
                <m:rPr>
                  <m:sty m:val="p"/>
                </m:rPr>
                <m:t>z</m:t>
              </m:r>
            </m:sub>
            <m:sup>
              <m:r>
                <m:rPr>
                  <m:sty m:val="p"/>
                  <m:scr m:val="sans-serif"/>
                </m:rPr>
                <m:t>T</m:t>
              </m:r>
            </m:sup>
          </m:sSubSup>
          <m:r>
            <m:rPr>
              <m:sty m:val="p"/>
            </m:rPr>
            <m:t>.</m:t>
          </m:r>
        </m:oMath>
      </m:oMathPara>
      <w:r>
        <w:rPr>
          <w:color w:val="374151"/>
          <w:sz w:val="18"/>
        </w:rPr>
        <w:tab/>
        <w:t>(14)</w:t>
      </w:r>
    </w:p>
    <w:p>
      <w:pPr>
        <w:pStyle w:val="FirstParagraph"/>
      </w:pPr>
      <w:r>
        <w:t xml:space="preserve">Für einen nicht zusammenhängenden reduzierten Graphen erfolgt die Referenzwinkel- und Bilanzbehandlung getrennt je Zusammenhangskomponente. Positive Ersatzreaktanzen halten die (rein induktive) DC-Admittanz interpretierbar. Welche Vorzeichen- oder Wertebereiche die ENTSO-E-Optimierung tatsächlich erzwingt, wird im untersuchten Dokument</w:t>
      </w:r>
      <w:r>
        <w:t xml:space="preserve"> </w:t>
      </w:r>
      <w:r>
        <w:rPr>
          <w:b/>
          <w:bCs/>
        </w:rPr>
        <w:t xml:space="preserve">nicht</w:t>
      </w:r>
      <w:r>
        <w:t xml:space="preserve"> </w:t>
      </w:r>
      <w:r>
        <w:t xml:space="preserve">vollständig offengelegt. [U]</w:t>
      </w:r>
    </w:p>
    <w:bookmarkEnd w:id="48"/>
    <w:bookmarkStart w:id="49" w:name="knoten--und-maschenbedingungen-dr"/>
    <w:p>
      <w:pPr>
        <w:pStyle w:val="Heading2"/>
      </w:pPr>
      <w:r>
        <w:t xml:space="preserve">7.2 Knoten- und Maschenbedingungen [D/R]</w:t>
      </w:r>
    </w:p>
    <w:p>
      <w:pPr>
        <w:pStyle w:val="FirstParagraph"/>
      </w:pPr>
      <w:r>
        <w:t xml:space="preserve">Ohne zusätzliche Flusskorrekturen wäre eine übliche Netzbeschreibung</w:t>
      </w:r>
    </w:p>
    <w:p>
      <w:pPr>
        <w:pStyle w:val="BodyText"/>
        <w:tabs>
          <w:tab w:pos="8856" w:val="right"/>
        </w:tabs>
      </w:pPr>
      <m:oMathPara>
        <m:oMathParaPr>
          <m:jc m:val="center"/>
        </m:oMathParaPr>
        <m:oMath>
          <m:sSub>
            <m:e>
              <m:r>
                <m:t>A</m:t>
              </m:r>
            </m:e>
            <m:sub>
              <m:r>
                <m:rPr>
                  <m:sty m:val="p"/>
                </m:rPr>
                <m:t>z</m:t>
              </m:r>
            </m:sub>
          </m:sSub>
          <m:sSub>
            <m:e>
              <m:acc>
                <m:accPr>
                  <m:chr m:val="̂"/>
                </m:accPr>
                <m:e>
                  <m:r>
                    <m:t>f</m:t>
                  </m:r>
                </m:e>
              </m:acc>
            </m:e>
            <m:sub>
              <m:r>
                <m:t>t</m:t>
              </m:r>
            </m:sub>
          </m:sSub>
          <m:r>
            <m:rPr>
              <m:sty m:val="p"/>
            </m:rPr>
            <m:t>=</m:t>
          </m:r>
          <m:sSubSup>
            <m:e>
              <m:r>
                <m:t>p</m:t>
              </m:r>
            </m:e>
            <m:sub>
              <m:r>
                <m:t>t</m:t>
              </m:r>
            </m:sub>
            <m:sup>
              <m:r>
                <m:rPr>
                  <m:sty m:val="p"/>
                </m:rPr>
                <m:t>z</m:t>
              </m:r>
            </m:sup>
          </m:sSubSup>
          <m:r>
            <m:rPr>
              <m:sty m:val="p"/>
            </m:rPr>
            <m:t>,</m:t>
          </m:r>
          <m:r>
            <m:t>  </m:t>
          </m:r>
          <m:sSub>
            <m:e>
              <m:acc>
                <m:accPr>
                  <m:chr m:val="̂"/>
                </m:accPr>
                <m:e>
                  <m:r>
                    <m:t>f</m:t>
                  </m:r>
                </m:e>
              </m:acc>
            </m:e>
            <m:sub>
              <m:r>
                <m:t>t</m:t>
              </m:r>
            </m:sub>
          </m:sSub>
          <m:r>
            <m:rPr>
              <m:sty m:val="p"/>
            </m:rPr>
            <m:t>=</m:t>
          </m:r>
          <m:r>
            <m:t>B</m:t>
          </m:r>
          <m:sSubSup>
            <m:e>
              <m:r>
                <m:t>A</m:t>
              </m:r>
            </m:e>
            <m:sub>
              <m:r>
                <m:rPr>
                  <m:sty m:val="p"/>
                </m:rPr>
                <m:t>z</m:t>
              </m:r>
            </m:sub>
            <m:sup>
              <m:r>
                <m:rPr>
                  <m:sty m:val="p"/>
                  <m:scr m:val="sans-serif"/>
                </m:rPr>
                <m:t>T</m:t>
              </m:r>
            </m:sup>
          </m:sSubSup>
          <m:sSub>
            <m:e>
              <m:acc>
                <m:accPr>
                  <m:chr m:val="̂"/>
                </m:accPr>
                <m:e>
                  <m:r>
                    <m:t>θ</m:t>
                  </m:r>
                </m:e>
              </m:acc>
            </m:e>
            <m:sub>
              <m:r>
                <m:t>t</m:t>
              </m:r>
            </m:sub>
          </m:sSub>
          <m:r>
            <m:rPr>
              <m:sty m:val="p"/>
            </m:rPr>
            <m:t>.</m:t>
          </m:r>
        </m:oMath>
      </m:oMathPara>
      <w:r>
        <w:rPr>
          <w:color w:val="374151"/>
          <w:sz w:val="18"/>
        </w:rPr>
        <w:tab/>
        <w:t>(15)</w:t>
      </w:r>
    </w:p>
    <w:p>
      <w:pPr>
        <w:pStyle w:val="FirstParagraph"/>
      </w:pPr>
      <w:r>
        <w:t xml:space="preserve">Sei</w:t>
      </w:r>
      <w:r>
        <w:t xml:space="preserve"> </w:t>
      </w:r>
      <m:oMath>
        <m:r>
          <m:t>C</m:t>
        </m:r>
      </m:oMath>
      <w:r>
        <w:t xml:space="preserve"> </w:t>
      </w:r>
      <w:r>
        <w:t xml:space="preserve">eine Basis des Zyklenraums</w:t>
      </w:r>
      <w:r>
        <w:t xml:space="preserve"> </w:t>
      </w:r>
      <m:oMath>
        <m:r>
          <m:rPr>
            <m:sty m:val="p"/>
          </m:rPr>
          <m:t>ker</m:t>
        </m:r>
        <m:sSub>
          <m:e>
            <m:r>
              <m:t>A</m:t>
            </m:r>
          </m:e>
          <m:sub>
            <m:r>
              <m:rPr>
                <m:sty m:val="p"/>
              </m:rPr>
              <m:t>z</m:t>
            </m:r>
          </m:sub>
        </m:sSub>
      </m:oMath>
      <w:r>
        <w:t xml:space="preserve">. Bei einem zusammenhängenden reduzierten Graphen besitzt der Zyklenraum die Dimension</w:t>
      </w:r>
      <w:r>
        <w:t xml:space="preserve"> </w:t>
      </w:r>
      <m:oMath>
        <m:r>
          <m:t>r</m:t>
        </m:r>
        <m:r>
          <m:rPr>
            <m:sty m:val="p"/>
          </m:rPr>
          <m:t>−</m:t>
        </m:r>
        <m:r>
          <m:t>k</m:t>
        </m:r>
        <m:r>
          <m:rPr>
            <m:sty m:val="p"/>
          </m:rPr>
          <m:t>+</m:t>
        </m:r>
        <m:r>
          <m:t>1</m:t>
        </m:r>
      </m:oMath>
      <w:r>
        <w:t xml:space="preserve">. Aus</w:t>
      </w:r>
      <w:r>
        <w:t xml:space="preserve"> </w:t>
      </w:r>
      <m:oMath>
        <m:r>
          <m:t>X</m:t>
        </m:r>
        <m:sSub>
          <m:e>
            <m:acc>
              <m:accPr>
                <m:chr m:val="̂"/>
              </m:accPr>
              <m:e>
                <m:r>
                  <m:t>f</m:t>
                </m:r>
              </m:e>
            </m:acc>
          </m:e>
          <m:sub>
            <m:r>
              <m:t>t</m:t>
            </m:r>
          </m:sub>
        </m:sSub>
        <m:r>
          <m:rPr>
            <m:sty m:val="p"/>
          </m:rPr>
          <m:t>=</m:t>
        </m:r>
        <m:sSubSup>
          <m:e>
            <m:r>
              <m:t>A</m:t>
            </m:r>
          </m:e>
          <m:sub>
            <m:r>
              <m:rPr>
                <m:sty m:val="p"/>
              </m:rPr>
              <m:t>z</m:t>
            </m:r>
          </m:sub>
          <m:sup>
            <m:r>
              <m:rPr>
                <m:sty m:val="p"/>
                <m:scr m:val="sans-serif"/>
              </m:rPr>
              <m:t>T</m:t>
            </m:r>
          </m:sup>
        </m:sSubSup>
        <m:sSub>
          <m:e>
            <m:acc>
              <m:accPr>
                <m:chr m:val="̂"/>
              </m:accPr>
              <m:e>
                <m:r>
                  <m:t>θ</m:t>
                </m:r>
              </m:e>
            </m:acc>
          </m:e>
          <m:sub>
            <m:r>
              <m:t>t</m:t>
            </m:r>
          </m:sub>
        </m:sSub>
      </m:oMath>
      <w:r>
        <w:t xml:space="preserve"> </w:t>
      </w:r>
      <w:r>
        <w:t xml:space="preserve">folgt die Maschengleichung</w:t>
      </w:r>
    </w:p>
    <w:p>
      <w:pPr>
        <w:pStyle w:val="BodyText"/>
        <w:tabs>
          <w:tab w:pos="8856" w:val="right"/>
        </w:tabs>
      </w:pPr>
      <m:oMathPara>
        <m:oMathParaPr>
          <m:jc m:val="center"/>
        </m:oMathParaPr>
        <m:oMath>
          <m:borderBox>
            <m:e>
              <m:sSup>
                <m:e>
                  <m:r>
                    <m:t>C</m:t>
                  </m:r>
                </m:e>
                <m:sup>
                  <m:r>
                    <m:rPr>
                      <m:sty m:val="p"/>
                      <m:scr m:val="sans-serif"/>
                    </m:rPr>
                    <m:t>T</m:t>
                  </m:r>
                </m:sup>
              </m:sSup>
              <m:r>
                <m:t>X</m:t>
              </m:r>
              <m:sSub>
                <m:e>
                  <m:acc>
                    <m:accPr>
                      <m:chr m:val="̂"/>
                    </m:accPr>
                    <m:e>
                      <m:r>
                        <m:t>f</m:t>
                      </m:r>
                    </m:e>
                  </m:acc>
                </m:e>
                <m:sub>
                  <m:r>
                    <m:t>t</m:t>
                  </m:r>
                </m:sub>
              </m:sSub>
              <m:r>
                <m:rPr>
                  <m:sty m:val="p"/>
                </m:rPr>
                <m:t>=</m:t>
              </m:r>
              <m:r>
                <m:t>0</m:t>
              </m:r>
              <m:r>
                <m:rPr>
                  <m:sty m:val="p"/>
                </m:rPr>
                <m:t>.</m:t>
              </m:r>
            </m:e>
          </m:borderBox>
        </m:oMath>
      </m:oMathPara>
      <w:r>
        <w:rPr>
          <w:color w:val="374151"/>
          <w:sz w:val="18"/>
        </w:rPr>
        <w:tab/>
        <w:t>(16)</w:t>
      </w:r>
    </w:p>
    <w:p>
      <w:pPr>
        <w:pStyle w:val="FirstParagraph"/>
      </w:pPr>
      <w:r>
        <w:t xml:space="preserve">ENTSO-E druckt ausdrücklich die entsprechende Regel „Summe aus Impedanz mal Fluss je Masche gleich null“ als lineare Nebenbedingung in der DC-Approximation ab [Q1, S. 49]. Die Matrixschreibweise (16) ergänzt nur die Wahl einer konsistenten Maschenorientierung und eines unabhängigen Zyklensatzes. Das Kirchhoffsche Knotenstrom-/Leistungsbilanzgesetz wird in der Quelle als bereits respektiert bezeichnet. [Q1, S. 27]</w:t>
      </w:r>
    </w:p>
    <w:bookmarkEnd w:id="49"/>
    <w:bookmarkStart w:id="50" w:name="X51b846af2f25d40b642227ec5faf48e1e023834"/>
    <w:p>
      <w:pPr>
        <w:pStyle w:val="Heading2"/>
      </w:pPr>
      <w:r>
        <w:t xml:space="preserve">7.3 Nullbilanz-Flusskorrekturen: präzise Interpretation [D/R]</w:t>
      </w:r>
    </w:p>
    <w:p>
      <w:pPr>
        <w:pStyle w:val="FirstParagraph"/>
      </w:pPr>
      <w:r>
        <w:t xml:space="preserve">Der Anhang verlangt pro äquivalenter Verbindung einen</w:t>
      </w:r>
      <w:r>
        <w:t xml:space="preserve"> </w:t>
      </w:r>
      <w:r>
        <w:rPr>
          <w:b/>
          <w:bCs/>
        </w:rPr>
        <w:t xml:space="preserve">Initial- bzw. Strukturflusskorrekturparameter</w:t>
      </w:r>
      <w:r>
        <w:t xml:space="preserve">. Begründung: Nach der Aggregation kann eine Zone netto ausgeglichen sein, obwohl räumlich getrennte Erzeuger und Lasten zu physikalischen Austausch- oder Kreisflüssen beitragen. Ferner werden im Output „No-Load Flows“ bei</w:t>
      </w:r>
      <w:r>
        <w:t xml:space="preserve"> </w:t>
      </w:r>
      <w:r>
        <w:rPr>
          <w:b/>
          <w:bCs/>
        </w:rPr>
        <w:t xml:space="preserve">null Austausch zwischen Zonen</w:t>
      </w:r>
      <w:r>
        <w:t xml:space="preserve"> </w:t>
      </w:r>
      <w:r>
        <w:t xml:space="preserve">ausgewiesen. [Q1, S. 28 und 48]</w:t>
      </w:r>
    </w:p>
    <w:p>
      <w:pPr>
        <w:pStyle w:val="BodyText"/>
      </w:pPr>
      <w:r>
        <w:t xml:space="preserve">Eine in sich konsistente Rekonstruktion ist der additive Ansatz</w:t>
      </w:r>
    </w:p>
    <w:p>
      <w:pPr>
        <w:pStyle w:val="BodyText"/>
        <w:tabs>
          <w:tab w:pos="8856" w:val="right"/>
        </w:tabs>
      </w:pPr>
      <m:oMathPara>
        <m:oMathParaPr>
          <m:jc m:val="center"/>
        </m:oMathParaPr>
        <m:oMath>
          <m:borderBox>
            <m:e>
              <m:sSub>
                <m:e>
                  <m:acc>
                    <m:accPr>
                      <m:chr m:val="̂"/>
                    </m:accPr>
                    <m:e>
                      <m:r>
                        <m:t>f</m:t>
                      </m:r>
                    </m:e>
                  </m:acc>
                </m:e>
                <m:sub>
                  <m:r>
                    <m:t>t</m:t>
                  </m:r>
                </m:sub>
              </m:sSub>
              <m:r>
                <m:rPr>
                  <m:sty m:val="p"/>
                </m:rPr>
                <m:t>=</m:t>
              </m:r>
              <m:r>
                <m:t>B</m:t>
              </m:r>
              <m:sSubSup>
                <m:e>
                  <m:r>
                    <m:t>A</m:t>
                  </m:r>
                </m:e>
                <m:sub>
                  <m:r>
                    <m:rPr>
                      <m:sty m:val="p"/>
                    </m:rPr>
                    <m:t>z</m:t>
                  </m:r>
                </m:sub>
                <m:sup>
                  <m:r>
                    <m:rPr>
                      <m:sty m:val="p"/>
                      <m:scr m:val="sans-serif"/>
                    </m:rPr>
                    <m:t>T</m:t>
                  </m:r>
                </m:sup>
              </m:sSubSup>
              <m:sSub>
                <m:e>
                  <m:acc>
                    <m:accPr>
                      <m:chr m:val="̂"/>
                    </m:accPr>
                    <m:e>
                      <m:r>
                        <m:t>θ</m:t>
                      </m:r>
                    </m:e>
                  </m:acc>
                </m:e>
                <m:sub>
                  <m:r>
                    <m:t>t</m:t>
                  </m:r>
                </m:sub>
              </m:sSub>
              <m:r>
                <m:rPr>
                  <m:sty m:val="p"/>
                </m:rPr>
                <m:t>+</m:t>
              </m:r>
              <m:sSup>
                <m:e>
                  <m:r>
                    <m:t>c</m:t>
                  </m:r>
                </m:e>
                <m:sup>
                  <m:r>
                    <m:t>0</m:t>
                  </m:r>
                </m:sup>
              </m:sSup>
              <m:r>
                <m:rPr>
                  <m:sty m:val="p"/>
                </m:rPr>
                <m:t>,</m:t>
              </m:r>
            </m:e>
          </m:borderBox>
          <m:r>
            <m:t>  </m:t>
          </m:r>
          <m:sSub>
            <m:e>
              <m:r>
                <m:t>A</m:t>
              </m:r>
            </m:e>
            <m:sub>
              <m:r>
                <m:rPr>
                  <m:sty m:val="p"/>
                </m:rPr>
                <m:t>z</m:t>
              </m:r>
            </m:sub>
          </m:sSub>
          <m:sSup>
            <m:e>
              <m:r>
                <m:t>c</m:t>
              </m:r>
            </m:e>
            <m:sup>
              <m:r>
                <m:t>0</m:t>
              </m:r>
            </m:sup>
          </m:sSup>
          <m:r>
            <m:rPr>
              <m:sty m:val="p"/>
            </m:rPr>
            <m:t>=</m:t>
          </m:r>
          <m:r>
            <m:t>0</m:t>
          </m:r>
          <m:r>
            <m:rPr>
              <m:sty m:val="p"/>
            </m:rPr>
            <m:t>.</m:t>
          </m:r>
        </m:oMath>
      </m:oMathPara>
      <w:r>
        <w:rPr>
          <w:color w:val="374151"/>
          <w:sz w:val="18"/>
        </w:rPr>
        <w:tab/>
        <w:t>(17)</w:t>
      </w:r>
    </w:p>
    <w:p>
      <w:pPr>
        <w:pStyle w:val="FirstParagraph"/>
      </w:pPr>
      <w:r>
        <w:t xml:space="preserve">Die Zusatzbedingung</w:t>
      </w:r>
      <w:r>
        <w:t xml:space="preserve"> </w:t>
      </w:r>
      <m:oMath>
        <m:sSub>
          <m:e>
            <m:r>
              <m:t>A</m:t>
            </m:r>
          </m:e>
          <m:sub>
            <m:r>
              <m:rPr>
                <m:sty m:val="p"/>
              </m:rPr>
              <m:t>z</m:t>
            </m:r>
          </m:sub>
        </m:sSub>
        <m:sSup>
          <m:e>
            <m:r>
              <m:t>c</m:t>
            </m:r>
          </m:e>
          <m:sup>
            <m:r>
              <m:t>0</m:t>
            </m:r>
          </m:sup>
        </m:sSup>
        <m:r>
          <m:rPr>
            <m:sty m:val="p"/>
          </m:rPr>
          <m:t>=</m:t>
        </m:r>
        <m:r>
          <m:t>0</m:t>
        </m:r>
      </m:oMath>
      <w:r>
        <w:t xml:space="preserve"> </w:t>
      </w:r>
      <w:r>
        <w:t xml:space="preserve">ist keine wörtlich publizierte ENTSO-E-Gleichung, sondern die notwendige</w:t>
      </w:r>
      <w:r>
        <w:t xml:space="preserve"> </w:t>
      </w:r>
      <w:r>
        <w:rPr>
          <w:b/>
          <w:bCs/>
        </w:rPr>
        <w:t xml:space="preserve">Bilanzbedingung</w:t>
      </w:r>
      <w:r>
        <w:t xml:space="preserve">, wenn</w:t>
      </w:r>
      <w:r>
        <w:t xml:space="preserve"> </w:t>
      </w:r>
      <m:oMath>
        <m:sSup>
          <m:e>
            <m:r>
              <m:t>c</m:t>
            </m:r>
          </m:e>
          <m:sup>
            <m:r>
              <m:t>0</m:t>
            </m:r>
          </m:sup>
        </m:sSup>
      </m:oMath>
      <w:r>
        <w:t xml:space="preserve"> </w:t>
      </w:r>
      <w:r>
        <w:t xml:space="preserve">bei null Zonen-Nettoeinspeisung als stationärer Nullbilanzfluss auftreten und die zonale Knotenbilanz unverändert bleiben soll. In einem zusammenhängenden System kann</w:t>
      </w:r>
      <w:r>
        <w:t xml:space="preserve"> </w:t>
      </w:r>
      <m:oMath>
        <m:sSup>
          <m:e>
            <m:r>
              <m:t>c</m:t>
            </m:r>
          </m:e>
          <m:sup>
            <m:r>
              <m:t>0</m:t>
            </m:r>
          </m:sup>
        </m:sSup>
      </m:oMath>
      <w:r>
        <w:t xml:space="preserve"> </w:t>
      </w:r>
      <w:r>
        <w:t xml:space="preserve">daher als</w:t>
      </w:r>
      <w:r>
        <w:t xml:space="preserve"> </w:t>
      </w:r>
      <m:oMath>
        <m:sSup>
          <m:e>
            <m:r>
              <m:t>c</m:t>
            </m:r>
          </m:e>
          <m:sup>
            <m:r>
              <m:t>0</m:t>
            </m:r>
          </m:sup>
        </m:sSup>
        <m:r>
          <m:rPr>
            <m:sty m:val="p"/>
          </m:rPr>
          <m:t>=</m:t>
        </m:r>
        <m:r>
          <m:t>C</m:t>
        </m:r>
        <m:r>
          <m:t>η</m:t>
        </m:r>
      </m:oMath>
      <w:r>
        <w:t xml:space="preserve"> </w:t>
      </w:r>
      <w:r>
        <w:t xml:space="preserve">für geeignete Kreisflusskoeffizienten</w:t>
      </w:r>
      <w:r>
        <w:t xml:space="preserve"> </w:t>
      </w:r>
      <m:oMath>
        <m:r>
          <m:t>η</m:t>
        </m:r>
      </m:oMath>
      <w:r>
        <w:t xml:space="preserve"> </w:t>
      </w:r>
      <w:r>
        <w:t xml:space="preserve">parametrisiert werden. [R]</w:t>
      </w:r>
    </w:p>
    <w:p>
      <w:pPr>
        <w:pStyle w:val="BodyText"/>
      </w:pPr>
      <w:r>
        <w:t xml:space="preserve">Für (17) folgt</w:t>
      </w:r>
    </w:p>
    <w:p>
      <w:pPr>
        <w:pStyle w:val="BodyText"/>
        <w:tabs>
          <w:tab w:pos="8856" w:val="right"/>
        </w:tabs>
      </w:pPr>
      <m:oMathPara>
        <m:oMathParaPr>
          <m:jc m:val="center"/>
        </m:oMathParaPr>
        <m:oMath>
          <m:sSub>
            <m:e>
              <m:r>
                <m:t>A</m:t>
              </m:r>
            </m:e>
            <m:sub>
              <m:r>
                <m:rPr>
                  <m:sty m:val="p"/>
                </m:rPr>
                <m:t>z</m:t>
              </m:r>
            </m:sub>
          </m:sSub>
          <m:sSub>
            <m:e>
              <m:acc>
                <m:accPr>
                  <m:chr m:val="̂"/>
                </m:accPr>
                <m:e>
                  <m:r>
                    <m:t>f</m:t>
                  </m:r>
                </m:e>
              </m:acc>
            </m:e>
            <m:sub>
              <m:r>
                <m:t>t</m:t>
              </m:r>
            </m:sub>
          </m:sSub>
          <m:r>
            <m:rPr>
              <m:sty m:val="p"/>
            </m:rPr>
            <m:t>=</m:t>
          </m:r>
          <m:sSubSup>
            <m:e>
              <m:r>
                <m:t>p</m:t>
              </m:r>
            </m:e>
            <m:sub>
              <m:r>
                <m:t>t</m:t>
              </m:r>
            </m:sub>
            <m:sup>
              <m:r>
                <m:rPr>
                  <m:sty m:val="p"/>
                </m:rPr>
                <m:t>z</m:t>
              </m:r>
            </m:sup>
          </m:sSubSup>
          <m:r>
            <m:t> </m:t>
          </m:r>
          <m:r>
            <m:rPr>
              <m:sty m:val="p"/>
            </m:rPr>
            <m:t>⇔</m:t>
          </m:r>
          <m:r>
            <m:t> </m:t>
          </m:r>
          <m:sSub>
            <m:e>
              <m:r>
                <m:t>L</m:t>
              </m:r>
            </m:e>
            <m:sub>
              <m:r>
                <m:rPr>
                  <m:sty m:val="p"/>
                </m:rPr>
                <m:t>z</m:t>
              </m:r>
            </m:sub>
          </m:sSub>
          <m:sSub>
            <m:e>
              <m:acc>
                <m:accPr>
                  <m:chr m:val="̂"/>
                </m:accPr>
                <m:e>
                  <m:r>
                    <m:t>θ</m:t>
                  </m:r>
                </m:e>
              </m:acc>
            </m:e>
            <m:sub>
              <m:r>
                <m:t>t</m:t>
              </m:r>
            </m:sub>
          </m:sSub>
          <m:r>
            <m:rPr>
              <m:sty m:val="p"/>
            </m:rPr>
            <m:t>=</m:t>
          </m:r>
          <m:sSubSup>
            <m:e>
              <m:r>
                <m:t>p</m:t>
              </m:r>
            </m:e>
            <m:sub>
              <m:r>
                <m:t>t</m:t>
              </m:r>
            </m:sub>
            <m:sup>
              <m:r>
                <m:rPr>
                  <m:sty m:val="p"/>
                </m:rPr>
                <m:t>z</m:t>
              </m:r>
            </m:sup>
          </m:sSubSup>
          <m:r>
            <m:t> </m:t>
          </m:r>
          <m:r>
            <m:rPr>
              <m:nor/>
              <m:sty m:val="p"/>
            </m:rPr>
            <m:t>(unter </m:t>
          </m:r>
          <m:sSub>
            <m:e>
              <m:r>
                <m:t>A</m:t>
              </m:r>
            </m:e>
            <m:sub>
              <m:r>
                <m:rPr>
                  <m:sty m:val="p"/>
                </m:rPr>
                <m:t>z</m:t>
              </m:r>
            </m:sub>
          </m:sSub>
          <m:sSup>
            <m:e>
              <m:r>
                <m:t>c</m:t>
              </m:r>
            </m:e>
            <m:sup>
              <m:r>
                <m:t>0</m:t>
              </m:r>
            </m:sup>
          </m:sSup>
          <m:r>
            <m:rPr>
              <m:sty m:val="p"/>
            </m:rPr>
            <m:t>=</m:t>
          </m:r>
          <m:r>
            <m:t>0</m:t>
          </m:r>
          <m:r>
            <m:rPr>
              <m:nor/>
              <m:sty m:val="p"/>
            </m:rPr>
            <m:t>)</m:t>
          </m:r>
          <m:r>
            <m:rPr>
              <m:sty m:val="p"/>
            </m:rPr>
            <m:t>,</m:t>
          </m:r>
        </m:oMath>
      </m:oMathPara>
      <w:r>
        <w:rPr>
          <w:color w:val="374151"/>
          <w:sz w:val="18"/>
        </w:rPr>
        <w:tab/>
        <w:t>(18)</w:t>
      </w:r>
    </w:p>
    <w:p>
      <w:pPr>
        <w:pStyle w:val="FirstParagraph"/>
      </w:pPr>
      <w:r>
        <w:t xml:space="preserve">und die zugehörige modifizierte Maschenbeziehung lautet</w:t>
      </w:r>
    </w:p>
    <w:p>
      <w:pPr>
        <w:pStyle w:val="BodyText"/>
        <w:tabs>
          <w:tab w:pos="8856" w:val="right"/>
        </w:tabs>
      </w:pPr>
      <m:oMathPara>
        <m:oMathParaPr>
          <m:jc m:val="center"/>
        </m:oMathParaPr>
        <m:oMath>
          <m:borderBox>
            <m:e>
              <m:sSup>
                <m:e>
                  <m:r>
                    <m:t>C</m:t>
                  </m:r>
                </m:e>
                <m:sup>
                  <m:r>
                    <m:rPr>
                      <m:sty m:val="p"/>
                      <m:scr m:val="sans-serif"/>
                    </m:rPr>
                    <m:t>T</m:t>
                  </m:r>
                </m:sup>
              </m:sSup>
              <m:r>
                <m:t>X</m:t>
              </m:r>
              <m:d>
                <m:dPr>
                  <m:begChr m:val="("/>
                  <m:endChr m:val=")"/>
                  <m:sepChr m:val=""/>
                  <m:grow/>
                </m:dPr>
                <m:e>
                  <m:sSub>
                    <m:e>
                      <m:acc>
                        <m:accPr>
                          <m:chr m:val="̂"/>
                        </m:accPr>
                        <m:e>
                          <m:r>
                            <m:t>f</m:t>
                          </m:r>
                        </m:e>
                      </m:acc>
                    </m:e>
                    <m:sub>
                      <m:r>
                        <m:t>t</m:t>
                      </m:r>
                    </m:sub>
                  </m:sSub>
                  <m:r>
                    <m:rPr>
                      <m:sty m:val="p"/>
                    </m:rPr>
                    <m:t>−</m:t>
                  </m:r>
                  <m:sSup>
                    <m:e>
                      <m:r>
                        <m:t>c</m:t>
                      </m:r>
                    </m:e>
                    <m:sup>
                      <m:r>
                        <m:t>0</m:t>
                      </m:r>
                    </m:sup>
                  </m:sSup>
                </m:e>
              </m:d>
              <m:r>
                <m:rPr>
                  <m:sty m:val="p"/>
                </m:rPr>
                <m:t>=</m:t>
              </m:r>
              <m:r>
                <m:t>0</m:t>
              </m:r>
              <m:r>
                <m:rPr>
                  <m:sty m:val="p"/>
                </m:rPr>
                <m:t>.</m:t>
              </m:r>
            </m:e>
          </m:borderBox>
        </m:oMath>
      </m:oMathPara>
      <w:r>
        <w:rPr>
          <w:color w:val="374151"/>
          <w:sz w:val="18"/>
        </w:rPr>
        <w:tab/>
        <w:t>(19)</w:t>
      </w:r>
    </w:p>
    <w:p>
      <w:pPr>
        <w:pStyle w:val="FirstParagraph"/>
      </w:pPr>
      <w:r>
        <w:rPr>
          <w:b/>
          <w:bCs/>
        </w:rPr>
        <w:t xml:space="preserve">Wichtige Spezifikationslücke [U].</w:t>
      </w:r>
      <w:r>
        <w:t xml:space="preserve"> </w:t>
      </w:r>
      <w:r>
        <w:t xml:space="preserve">Die Quelle stellt einerseits die unmodifizierte Maschengleichung (16), andererseits strukturelle Flusskorrekturen und Nullbilanz-Flüsse dar. Sie führt keine gemeinsame, vollständige Gleichung für</w:t>
      </w:r>
      <w:r>
        <w:t xml:space="preserve"> </w:t>
      </w:r>
      <w:r>
        <w:rPr>
          <w:b/>
          <w:bCs/>
        </w:rPr>
        <w:t xml:space="preserve">beide</w:t>
      </w:r>
      <w:r>
        <w:t xml:space="preserve"> </w:t>
      </w:r>
      <w:r>
        <w:t xml:space="preserve">Elemente auf. (17)–(19) sind eine fachlich konsistente Modellvariante, jedoch keine belegte Implementierungsentscheidung. Alternativ könnte eine interne Software Offsets auf anderen Variablenebenen realisieren.</w:t>
      </w:r>
    </w:p>
    <w:p>
      <w:pPr>
        <w:pStyle w:val="BodyText"/>
      </w:pPr>
      <w:r>
        <w:rPr>
          <w:b/>
          <w:bCs/>
        </w:rPr>
        <w:t xml:space="preserve">Konsequenz:</w:t>
      </w:r>
      <w:r>
        <w:t xml:space="preserve"> </w:t>
      </w:r>
      <w:r>
        <w:t xml:space="preserve">Für einen reduzierten</w:t>
      </w:r>
      <w:r>
        <w:t xml:space="preserve"> </w:t>
      </w:r>
      <w:r>
        <w:rPr>
          <w:b/>
          <w:bCs/>
        </w:rPr>
        <w:t xml:space="preserve">Baumgraphen</w:t>
      </w:r>
      <w:r>
        <w:t xml:space="preserve"> </w:t>
      </w:r>
      <w:r>
        <w:t xml:space="preserve">ohne Zyklus und ohne gesonderte äußere Einspeisungen ist</w:t>
      </w:r>
      <w:r>
        <w:t xml:space="preserve"> </w:t>
      </w:r>
      <m:oMath>
        <m:r>
          <m:rPr>
            <m:sty m:val="p"/>
          </m:rPr>
          <m:t>ker</m:t>
        </m:r>
        <m:sSub>
          <m:e>
            <m:r>
              <m:t>A</m:t>
            </m:r>
          </m:e>
          <m:sub>
            <m:r>
              <m:rPr>
                <m:sty m:val="p"/>
              </m:rPr>
              <m:t>z</m:t>
            </m:r>
          </m:sub>
        </m:sSub>
        <m:r>
          <m:rPr>
            <m:sty m:val="p"/>
          </m:rPr>
          <m:t>=</m:t>
        </m:r>
        <m:r>
          <m:rPr>
            <m:sty m:val="p"/>
          </m:rPr>
          <m:t>{</m:t>
        </m:r>
        <m:r>
          <m:t>0</m:t>
        </m:r>
        <m:r>
          <m:rPr>
            <m:sty m:val="p"/>
          </m:rPr>
          <m:t>}</m:t>
        </m:r>
      </m:oMath>
      <w:r>
        <w:t xml:space="preserve">; daher muss ein bilanzerhaltender Nullbilanzfluss</w:t>
      </w:r>
      <w:r>
        <w:t xml:space="preserve"> </w:t>
      </w:r>
      <m:oMath>
        <m:sSup>
          <m:e>
            <m:r>
              <m:t>c</m:t>
            </m:r>
          </m:e>
          <m:sup>
            <m:r>
              <m:t>0</m:t>
            </m:r>
          </m:sup>
        </m:sSup>
      </m:oMath>
      <w:r>
        <w:t xml:space="preserve"> </w:t>
      </w:r>
      <w:r>
        <w:t xml:space="preserve">in (17) verschwinden. Nur bei vorhandenen Zyklen können nichttriviale stationäre Kreisflusskorrekturen auftreten. [A]</w:t>
      </w:r>
    </w:p>
    <w:bookmarkEnd w:id="50"/>
    <w:bookmarkStart w:id="51" w:name="Xc2bf371fb1e4c76bf965e695dbd1d2a32bed311"/>
    <w:p>
      <w:pPr>
        <w:pStyle w:val="Heading2"/>
      </w:pPr>
      <w:r>
        <w:t xml:space="preserve">7.4 Mathematisch mögliche Flussabbildung mit Nullbilanz-Offset [R]</w:t>
      </w:r>
    </w:p>
    <w:p>
      <w:pPr>
        <w:pStyle w:val="FirstParagraph"/>
      </w:pPr>
      <w:r>
        <w:t xml:space="preserve">Unter dem Modell (17) und der bilanzierten Einspeisung</w:t>
      </w:r>
      <w:r>
        <w:t xml:space="preserve"> </w:t>
      </w:r>
      <m:oMath>
        <m:sSubSup>
          <m:e>
            <m:r>
              <m:t>p</m:t>
            </m:r>
          </m:e>
          <m:sub>
            <m:r>
              <m:t>t</m:t>
            </m:r>
          </m:sub>
          <m:sup>
            <m:r>
              <m:rPr>
                <m:sty m:val="p"/>
              </m:rPr>
              <m:t>z</m:t>
            </m:r>
          </m:sup>
        </m:sSubSup>
      </m:oMath>
      <w:r>
        <w:t xml:space="preserve"> </w:t>
      </w:r>
      <w:r>
        <w:t xml:space="preserve">ergibt sich</w:t>
      </w:r>
    </w:p>
    <w:p>
      <w:pPr>
        <w:pStyle w:val="BodyText"/>
        <w:tabs>
          <w:tab w:pos="8856" w:val="right"/>
        </w:tabs>
      </w:pPr>
      <m:oMathPara>
        <m:oMathParaPr>
          <m:jc m:val="center"/>
        </m:oMathParaPr>
        <m:oMath>
          <m:sSub>
            <m:e>
              <m:acc>
                <m:accPr>
                  <m:chr m:val="̂"/>
                </m:accPr>
                <m:e>
                  <m:r>
                    <m:t>f</m:t>
                  </m:r>
                </m:e>
              </m:acc>
            </m:e>
            <m:sub>
              <m:r>
                <m:t>t</m:t>
              </m:r>
            </m:sub>
          </m:sSub>
          <m:d>
            <m:dPr>
              <m:begChr m:val="("/>
              <m:endChr m:val=")"/>
              <m:sepChr m:val=""/>
              <m:grow/>
            </m:dPr>
            <m:e>
              <m:r>
                <m:t>X</m:t>
              </m:r>
              <m:r>
                <m:rPr>
                  <m:sty m:val="p"/>
                </m:rPr>
                <m:t>,</m:t>
              </m:r>
              <m:sSup>
                <m:e>
                  <m:r>
                    <m:t>c</m:t>
                  </m:r>
                </m:e>
                <m:sup>
                  <m:r>
                    <m:t>0</m:t>
                  </m:r>
                </m:sup>
              </m:sSup>
            </m:e>
          </m:d>
          <m:r>
            <m:rPr>
              <m:sty m:val="p"/>
            </m:rPr>
            <m:t>=</m:t>
          </m:r>
          <m:r>
            <m:t>B</m:t>
          </m:r>
          <m:sSubSup>
            <m:e>
              <m:r>
                <m:t>A</m:t>
              </m:r>
            </m:e>
            <m:sub>
              <m:r>
                <m:rPr>
                  <m:sty m:val="p"/>
                </m:rPr>
                <m:t>z</m:t>
              </m:r>
            </m:sub>
            <m:sup>
              <m:r>
                <m:rPr>
                  <m:sty m:val="p"/>
                  <m:scr m:val="sans-serif"/>
                </m:rPr>
                <m:t>T</m:t>
              </m:r>
            </m:sup>
          </m:sSubSup>
          <m:r>
            <m:rPr>
              <m:sty m:val="p"/>
            </m:rPr>
            <m:t>(</m:t>
          </m:r>
          <m:sSub>
            <m:e>
              <m:r>
                <m:t>A</m:t>
              </m:r>
            </m:e>
            <m:sub>
              <m:r>
                <m:rPr>
                  <m:sty m:val="p"/>
                </m:rPr>
                <m:t>z</m:t>
              </m:r>
            </m:sub>
          </m:sSub>
          <m:r>
            <m:t>B</m:t>
          </m:r>
          <m:sSubSup>
            <m:e>
              <m:r>
                <m:t>A</m:t>
              </m:r>
            </m:e>
            <m:sub>
              <m:r>
                <m:rPr>
                  <m:sty m:val="p"/>
                </m:rPr>
                <m:t>z</m:t>
              </m:r>
            </m:sub>
            <m:sup>
              <m:r>
                <m:rPr>
                  <m:sty m:val="p"/>
                  <m:scr m:val="sans-serif"/>
                </m:rPr>
                <m:t>T</m:t>
              </m:r>
            </m:sup>
          </m:sSubSup>
          <m:sSup>
            <m:e>
              <m:r>
                <m:rPr>
                  <m:sty m:val="p"/>
                </m:rPr>
                <m:t>)</m:t>
              </m:r>
            </m:e>
            <m:sup>
              <m:r>
                <m:rPr>
                  <m:sty m:val="p"/>
                </m:rPr>
                <m:t>+</m:t>
              </m:r>
            </m:sup>
          </m:sSup>
          <m:sSubSup>
            <m:e>
              <m:r>
                <m:t>p</m:t>
              </m:r>
            </m:e>
            <m:sub>
              <m:r>
                <m:t>t</m:t>
              </m:r>
            </m:sub>
            <m:sup>
              <m:r>
                <m:rPr>
                  <m:sty m:val="p"/>
                </m:rPr>
                <m:t>z</m:t>
              </m:r>
            </m:sup>
          </m:sSubSup>
          <m:r>
            <m:rPr>
              <m:sty m:val="p"/>
            </m:rPr>
            <m:t>+</m:t>
          </m:r>
          <m:sSup>
            <m:e>
              <m:r>
                <m:t>c</m:t>
              </m:r>
            </m:e>
            <m:sup>
              <m:r>
                <m:t>0</m:t>
              </m:r>
            </m:sup>
          </m:sSup>
          <m:r>
            <m:rPr>
              <m:sty m:val="p"/>
            </m:rPr>
            <m:t>.</m:t>
          </m:r>
        </m:oMath>
      </m:oMathPara>
      <w:r>
        <w:rPr>
          <w:color w:val="374151"/>
          <w:sz w:val="18"/>
        </w:rPr>
        <w:tab/>
        <w:t>(20)</w:t>
      </w:r>
    </w:p>
    <w:p>
      <w:pPr>
        <w:pStyle w:val="FirstParagraph"/>
      </w:pPr>
      <w:r>
        <w:t xml:space="preserve">Die Pseudoinverse in (20) ist mit der Wahl von Referenzwinkeln sowie der Behandlung möglicherweise getrennter Netzkomponenten konsistent zu verwenden. Alternativ lässt sich das lineare Gleichungssystem ohne explizite Pseudoinversen durch Fixieren eines Referenzwinkels je Zusammenhangskomponente lösen.</w:t>
      </w:r>
    </w:p>
    <w:p>
      <w:pPr>
        <w:pStyle w:val="BodyText"/>
      </w:pPr>
      <w:r>
        <w:t xml:space="preserve">Der veröffentlichte Wortlaut legt nicht fest, ob</w:t>
      </w:r>
      <w:r>
        <w:t xml:space="preserve"> </w:t>
      </w:r>
      <m:oMath>
        <m:sSup>
          <m:e>
            <m:r>
              <m:t>c</m:t>
            </m:r>
          </m:e>
          <m:sup>
            <m:r>
              <m:t>0</m:t>
            </m:r>
          </m:sup>
        </m:sSup>
      </m:oMath>
      <w:r>
        <w:t xml:space="preserve"> </w:t>
      </w:r>
      <w:r>
        <w:t xml:space="preserve">über Wetterjahre unverändert ist, ob mehrere Szenario-Offsets</w:t>
      </w:r>
      <w:r>
        <w:t xml:space="preserve"> </w:t>
      </w:r>
      <m:oMath>
        <m:sSubSup>
          <m:e>
            <m:r>
              <m:t>c</m:t>
            </m:r>
          </m:e>
          <m:sub>
            <m:r>
              <m:t>s</m:t>
            </m:r>
          </m:sub>
          <m:sup>
            <m:r>
              <m:t>0</m:t>
            </m:r>
          </m:sup>
        </m:sSubSup>
      </m:oMath>
      <w:r>
        <w:t xml:space="preserve"> </w:t>
      </w:r>
      <w:r>
        <w:t xml:space="preserve">identifiziert werden oder ob interne Anlagenverteilungen in den zeitlichen Offsets variieren dürfen. Abbildung 4 nennt Ergebnisse je Szenario, spezifiziert diese Indexierung aber nicht. [U]</w:t>
      </w:r>
    </w:p>
    <w:bookmarkEnd w:id="51"/>
    <w:bookmarkStart w:id="52" w:name="X203ea789f9cbbb6f17115b1f470d83c11f22281"/>
    <w:p>
      <w:pPr>
        <w:pStyle w:val="Heading2"/>
      </w:pPr>
      <w:r>
        <w:t xml:space="preserve">7.5 Rekonstruierbare Zielfunktion der Parameteridentifikation [R/E]</w:t>
      </w:r>
    </w:p>
    <w:p>
      <w:pPr>
        <w:pStyle w:val="FirstParagraph"/>
      </w:pPr>
      <w:r>
        <w:t xml:space="preserve">Eine zu der beschriebenen Minimierung des Flussfehlers passende</w:t>
      </w:r>
      <w:r>
        <w:t xml:space="preserve"> </w:t>
      </w:r>
      <w:r>
        <w:rPr>
          <w:b/>
          <w:bCs/>
        </w:rPr>
        <w:t xml:space="preserve">mögliche</w:t>
      </w:r>
      <w:r>
        <w:t xml:space="preserve"> </w:t>
      </w:r>
      <w:r>
        <w:t xml:space="preserve">Optimierungsaufgabe ist</w:t>
      </w:r>
    </w:p>
    <w:p>
      <w:pPr>
        <w:pStyle w:val="BodyText"/>
        <w:tabs>
          <w:tab w:pos="8856" w:val="right"/>
        </w:tabs>
      </w:pPr>
      <m:oMathPara>
        <m:oMathParaPr>
          <m:jc m:val="center"/>
        </m:oMathParaPr>
        <m:oMath>
          <m:m>
            <m:mPr>
              <m:baseJc m:val="center"/>
              <m:plcHide m:val="on"/>
              <m:mcs>
                <m:mc>
                  <m:mcPr>
                    <m:mcJc m:val="right"/>
                    <m:count m:val="1"/>
                  </m:mcPr>
                </m:mc>
                <m:mc>
                  <m:mcPr>
                    <m:mcJc m:val="left"/>
                    <m:count m:val="1"/>
                  </m:mcPr>
                </m:mc>
              </m:mcs>
            </m:mPr>
            <m:mr>
              <m:e>
                <m:limLow>
                  <m:e>
                    <m:r>
                      <m:rPr>
                        <m:sty m:val="p"/>
                      </m:rPr>
                      <m:t>minimize</m:t>
                    </m:r>
                  </m:e>
                  <m:lim>
                    <m:r>
                      <m:t>X</m:t>
                    </m:r>
                    <m:r>
                      <m:rPr>
                        <m:sty m:val="p"/>
                      </m:rPr>
                      <m:t>,</m:t>
                    </m:r>
                    <m:sSup>
                      <m:e>
                        <m:r>
                          <m:t>c</m:t>
                        </m:r>
                      </m:e>
                      <m:sup>
                        <m:r>
                          <m:t>0</m:t>
                        </m:r>
                      </m:sup>
                    </m:sSup>
                    <m:r>
                      <m:rPr>
                        <m:sty m:val="p"/>
                      </m:rPr>
                      <m:t>,</m:t>
                    </m:r>
                    <m:r>
                      <m:rPr>
                        <m:sty m:val="p"/>
                      </m:rPr>
                      <m:t>{</m:t>
                    </m:r>
                    <m:sSub>
                      <m:e>
                        <m:acc>
                          <m:accPr>
                            <m:chr m:val="̂"/>
                          </m:accPr>
                          <m:e>
                            <m:r>
                              <m:t>θ</m:t>
                            </m:r>
                          </m:e>
                        </m:acc>
                      </m:e>
                      <m:sub>
                        <m:r>
                          <m:t>t</m:t>
                        </m:r>
                      </m:sub>
                    </m:sSub>
                    <m:r>
                      <m:rPr>
                        <m:sty m:val="p"/>
                      </m:rPr>
                      <m:t>}</m:t>
                    </m:r>
                  </m:lim>
                </m:limLow>
                <m:r>
                  <m:t> </m:t>
                </m:r>
              </m:e>
              <m:e>
                <m:nary>
                  <m:naryPr>
                    <m:chr m:val="∑"/>
                    <m:limLoc m:val="undOvr"/>
                    <m:subHide m:val="off"/>
                    <m:supHide m:val="on"/>
                  </m:naryPr>
                  <m:sub>
                    <m:r>
                      <m:t>s</m:t>
                    </m:r>
                    <m:r>
                      <m:rPr>
                        <m:sty m:val="p"/>
                      </m:rPr>
                      <m:t>∈</m:t>
                    </m:r>
                    <m:r>
                      <m:rPr>
                        <m:sty m:val="p"/>
                        <m:scr m:val="script"/>
                      </m:rPr>
                      <m:t>S</m:t>
                    </m:r>
                  </m:sub>
                  <m:sup>
                    <m:r>
                      <m:t>​</m:t>
                    </m:r>
                  </m:sup>
                  <m:e>
                    <m:nary>
                      <m:naryPr>
                        <m:chr m:val="∑"/>
                        <m:limLoc m:val="undOvr"/>
                        <m:subHide m:val="off"/>
                        <m:supHide m:val="on"/>
                      </m:naryPr>
                      <m:sub>
                        <m:r>
                          <m:t>t</m:t>
                        </m:r>
                        <m:r>
                          <m:rPr>
                            <m:sty m:val="p"/>
                          </m:rPr>
                          <m:t>∈</m:t>
                        </m:r>
                        <m:sSubSup>
                          <m:e>
                            <m:r>
                              <m:rPr>
                                <m:sty m:val="p"/>
                                <m:scr m:val="script"/>
                              </m:rPr>
                              <m:t>T</m:t>
                            </m:r>
                          </m:e>
                          <m:sub>
                            <m:r>
                              <m:t>s</m:t>
                            </m:r>
                          </m:sub>
                          <m:sup>
                            <m:r>
                              <m:rPr>
                                <m:sty m:val="p"/>
                              </m:rPr>
                              <m:t>c</m:t>
                            </m:r>
                            <m:r>
                              <m:rPr>
                                <m:sty m:val="p"/>
                              </m:rPr>
                              <m:t>a</m:t>
                            </m:r>
                            <m:r>
                              <m:rPr>
                                <m:sty m:val="p"/>
                              </m:rPr>
                              <m:t>l</m:t>
                            </m:r>
                          </m:sup>
                        </m:sSubSup>
                      </m:sub>
                      <m:sup>
                        <m:r>
                          <m:t>​</m:t>
                        </m:r>
                      </m:sup>
                      <m:e>
                        <m:sSub>
                          <m:e>
                            <m:r>
                              <m:t>ω</m:t>
                            </m:r>
                          </m:e>
                          <m:sub>
                            <m:r>
                              <m:t>s</m:t>
                            </m:r>
                            <m:r>
                              <m:rPr>
                                <m:sty m:val="p"/>
                              </m:rPr>
                              <m:t>,</m:t>
                            </m:r>
                            <m:r>
                              <m:t>t</m:t>
                            </m:r>
                          </m:sub>
                        </m:sSub>
                      </m:e>
                    </m:nary>
                  </m:e>
                </m:nary>
                <m:sSubSup>
                  <m:e>
                    <m:d>
                      <m:dPr>
                        <m:begChr m:val="∥"/>
                        <m:endChr m:val="∥"/>
                        <m:sepChr m:val=""/>
                        <m:grow/>
                      </m:dPr>
                      <m:e>
                        <m:sSubSup>
                          <m:e>
                            <m:r>
                              <m:t>W</m:t>
                            </m:r>
                          </m:e>
                          <m:sub>
                            <m:r>
                              <m:t>s</m:t>
                            </m:r>
                            <m:r>
                              <m:rPr>
                                <m:sty m:val="p"/>
                              </m:rPr>
                              <m:t>,</m:t>
                            </m:r>
                            <m:r>
                              <m:t>t</m:t>
                            </m:r>
                          </m:sub>
                          <m:sup>
                            <m:r>
                              <m:t>1</m:t>
                            </m:r>
                            <m:r>
                              <m:rPr>
                                <m:sty m:val="p"/>
                              </m:rPr>
                              <m:t>/</m:t>
                            </m:r>
                            <m:r>
                              <m:t>2</m:t>
                            </m:r>
                          </m:sup>
                        </m:sSubSup>
                        <m:d>
                          <m:dPr>
                            <m:begChr m:val="("/>
                            <m:endChr m:val=")"/>
                            <m:sepChr m:val=""/>
                            <m:grow/>
                          </m:dPr>
                          <m:e>
                            <m:sSub>
                              <m:e>
                                <m:acc>
                                  <m:accPr>
                                    <m:chr m:val="̂"/>
                                  </m:accPr>
                                  <m:e>
                                    <m:r>
                                      <m:t>f</m:t>
                                    </m:r>
                                  </m:e>
                                </m:acc>
                              </m:e>
                              <m:sub>
                                <m:r>
                                  <m:t>s</m:t>
                                </m:r>
                                <m:r>
                                  <m:rPr>
                                    <m:sty m:val="p"/>
                                  </m:rPr>
                                  <m:t>,</m:t>
                                </m:r>
                                <m:r>
                                  <m:t>t</m:t>
                                </m:r>
                              </m:sub>
                            </m:sSub>
                            <m:r>
                              <m:rPr>
                                <m:sty m:val="p"/>
                              </m:rPr>
                              <m:t>−</m:t>
                            </m:r>
                            <m:sSubSup>
                              <m:e>
                                <m:r>
                                  <m:t>f</m:t>
                                </m:r>
                              </m:e>
                              <m:sub>
                                <m:r>
                                  <m:t>s</m:t>
                                </m:r>
                                <m:r>
                                  <m:rPr>
                                    <m:sty m:val="p"/>
                                  </m:rPr>
                                  <m:t>,</m:t>
                                </m:r>
                                <m:r>
                                  <m:t>t</m:t>
                                </m:r>
                              </m:sub>
                              <m:sup>
                                <m:r>
                                  <m:rPr>
                                    <m:sty m:val="p"/>
                                  </m:rPr>
                                  <m:t>⋆</m:t>
                                </m:r>
                              </m:sup>
                            </m:sSubSup>
                          </m:e>
                        </m:d>
                      </m:e>
                    </m:d>
                  </m:e>
                  <m:sub>
                    <m:r>
                      <m:t>2</m:t>
                    </m:r>
                  </m:sub>
                  <m:sup>
                    <m:r>
                      <m:t>2</m:t>
                    </m:r>
                  </m:sup>
                </m:sSubSup>
                <m:r>
                  <m:rPr>
                    <m:sty m:val="p"/>
                  </m:rPr>
                  <m:t>,</m:t>
                </m:r>
              </m:e>
            </m:mr>
            <m:mr>
              <m:e>
                <m:r>
                  <m:rPr>
                    <m:nor/>
                    <m:sty m:val="p"/>
                  </m:rPr>
                  <m:t>unter</m:t>
                </m:r>
                <m:r>
                  <m:t> </m:t>
                </m:r>
              </m:e>
              <m:e>
                <m:sSub>
                  <m:e>
                    <m:acc>
                      <m:accPr>
                        <m:chr m:val="̂"/>
                      </m:accPr>
                      <m:e>
                        <m:r>
                          <m:t>f</m:t>
                        </m:r>
                      </m:e>
                    </m:acc>
                  </m:e>
                  <m:sub>
                    <m:r>
                      <m:t>s</m:t>
                    </m:r>
                    <m:r>
                      <m:rPr>
                        <m:sty m:val="p"/>
                      </m:rPr>
                      <m:t>,</m:t>
                    </m:r>
                    <m:r>
                      <m:t>t</m:t>
                    </m:r>
                  </m:sub>
                </m:sSub>
                <m:r>
                  <m:rPr>
                    <m:sty m:val="p"/>
                  </m:rPr>
                  <m:t>=</m:t>
                </m:r>
                <m:sSup>
                  <m:e>
                    <m:r>
                      <m:t>X</m:t>
                    </m:r>
                  </m:e>
                  <m:sup>
                    <m:r>
                      <m:rPr>
                        <m:sty m:val="p"/>
                      </m:rPr>
                      <m:t>−</m:t>
                    </m:r>
                    <m:r>
                      <m:t>1</m:t>
                    </m:r>
                  </m:sup>
                </m:sSup>
                <m:sSubSup>
                  <m:e>
                    <m:r>
                      <m:t>A</m:t>
                    </m:r>
                  </m:e>
                  <m:sub>
                    <m:r>
                      <m:rPr>
                        <m:sty m:val="p"/>
                      </m:rPr>
                      <m:t>z</m:t>
                    </m:r>
                  </m:sub>
                  <m:sup>
                    <m:r>
                      <m:rPr>
                        <m:sty m:val="p"/>
                        <m:scr m:val="sans-serif"/>
                      </m:rPr>
                      <m:t>T</m:t>
                    </m:r>
                  </m:sup>
                </m:sSubSup>
                <m:sSub>
                  <m:e>
                    <m:acc>
                      <m:accPr>
                        <m:chr m:val="̂"/>
                      </m:accPr>
                      <m:e>
                        <m:r>
                          <m:t>θ</m:t>
                        </m:r>
                      </m:e>
                    </m:acc>
                  </m:e>
                  <m:sub>
                    <m:r>
                      <m:t>s</m:t>
                    </m:r>
                    <m:r>
                      <m:rPr>
                        <m:sty m:val="p"/>
                      </m:rPr>
                      <m:t>,</m:t>
                    </m:r>
                    <m:r>
                      <m:t>t</m:t>
                    </m:r>
                  </m:sub>
                </m:sSub>
                <m:r>
                  <m:rPr>
                    <m:sty m:val="p"/>
                  </m:rPr>
                  <m:t>+</m:t>
                </m:r>
                <m:sSup>
                  <m:e>
                    <m:r>
                      <m:t>c</m:t>
                    </m:r>
                  </m:e>
                  <m:sup>
                    <m:r>
                      <m:t>0</m:t>
                    </m:r>
                  </m:sup>
                </m:sSup>
                <m:r>
                  <m:rPr>
                    <m:sty m:val="p"/>
                  </m:rPr>
                  <m:t>,</m:t>
                </m:r>
              </m:e>
            </m:mr>
            <m:mr>
              <m:e/>
              <m:e>
                <m:sSub>
                  <m:e>
                    <m:r>
                      <m:t>A</m:t>
                    </m:r>
                  </m:e>
                  <m:sub>
                    <m:r>
                      <m:rPr>
                        <m:sty m:val="p"/>
                      </m:rPr>
                      <m:t>z</m:t>
                    </m:r>
                  </m:sub>
                </m:sSub>
                <m:sSub>
                  <m:e>
                    <m:acc>
                      <m:accPr>
                        <m:chr m:val="̂"/>
                      </m:accPr>
                      <m:e>
                        <m:r>
                          <m:t>f</m:t>
                        </m:r>
                      </m:e>
                    </m:acc>
                  </m:e>
                  <m:sub>
                    <m:r>
                      <m:t>s</m:t>
                    </m:r>
                    <m:r>
                      <m:rPr>
                        <m:sty m:val="p"/>
                      </m:rPr>
                      <m:t>,</m:t>
                    </m:r>
                    <m:r>
                      <m:t>t</m:t>
                    </m:r>
                  </m:sub>
                </m:sSub>
                <m:r>
                  <m:rPr>
                    <m:sty m:val="p"/>
                  </m:rPr>
                  <m:t>=</m:t>
                </m:r>
                <m:r>
                  <m:t>P</m:t>
                </m:r>
                <m:sSubSup>
                  <m:e>
                    <m:r>
                      <m:t>p</m:t>
                    </m:r>
                  </m:e>
                  <m:sub>
                    <m:r>
                      <m:t>s</m:t>
                    </m:r>
                    <m:r>
                      <m:rPr>
                        <m:sty m:val="p"/>
                      </m:rPr>
                      <m:t>,</m:t>
                    </m:r>
                    <m:r>
                      <m:t>t</m:t>
                    </m:r>
                  </m:sub>
                  <m:sup>
                    <m:r>
                      <m:rPr>
                        <m:sty m:val="p"/>
                      </m:rPr>
                      <m:t>d</m:t>
                    </m:r>
                  </m:sup>
                </m:sSubSup>
                <m:r>
                  <m:rPr>
                    <m:sty m:val="p"/>
                  </m:rPr>
                  <m:t>,</m:t>
                </m:r>
              </m:e>
            </m:mr>
            <m:mr>
              <m:e/>
              <m:e>
                <m:sSub>
                  <m:e>
                    <m:r>
                      <m:t>A</m:t>
                    </m:r>
                  </m:e>
                  <m:sub>
                    <m:r>
                      <m:rPr>
                        <m:sty m:val="p"/>
                      </m:rPr>
                      <m:t>z</m:t>
                    </m:r>
                  </m:sub>
                </m:sSub>
                <m:sSup>
                  <m:e>
                    <m:r>
                      <m:t>c</m:t>
                    </m:r>
                  </m:e>
                  <m:sup>
                    <m:r>
                      <m:t>0</m:t>
                    </m:r>
                  </m:sup>
                </m:sSup>
                <m:r>
                  <m:rPr>
                    <m:sty m:val="p"/>
                  </m:rPr>
                  <m:t>=</m:t>
                </m:r>
                <m:r>
                  <m:t>0</m:t>
                </m:r>
                <m:r>
                  <m:rPr>
                    <m:sty m:val="p"/>
                  </m:rPr>
                  <m:t>,</m:t>
                </m:r>
                <m:r>
                  <m:t>  </m:t>
                </m:r>
                <m:sSubSup>
                  <m:e>
                    <m:r>
                      <m:t>x</m:t>
                    </m:r>
                  </m:e>
                  <m:sub>
                    <m:r>
                      <m:t>e</m:t>
                    </m:r>
                  </m:sub>
                  <m:sup>
                    <m:r>
                      <m:rPr>
                        <m:sty m:val="p"/>
                      </m:rPr>
                      <m:t>e</m:t>
                    </m:r>
                    <m:r>
                      <m:rPr>
                        <m:sty m:val="p"/>
                      </m:rPr>
                      <m:t>q</m:t>
                    </m:r>
                  </m:sup>
                </m:sSubSup>
                <m:r>
                  <m:rPr>
                    <m:sty m:val="p"/>
                  </m:rPr>
                  <m:t>&gt;</m:t>
                </m:r>
                <m:r>
                  <m:t>0</m:t>
                </m:r>
                <m:r>
                  <m:t> </m:t>
                </m:r>
                <m:r>
                  <m:rPr>
                    <m:sty m:val="p"/>
                  </m:rPr>
                  <m:t>∀</m:t>
                </m:r>
                <m:r>
                  <m:t>e</m:t>
                </m:r>
                <m:r>
                  <m:rPr>
                    <m:sty m:val="p"/>
                  </m:rPr>
                  <m:t>.</m:t>
                </m:r>
              </m:e>
            </m:mr>
          </m:m>
        </m:oMath>
      </m:oMathPara>
      <w:r>
        <w:rPr>
          <w:color w:val="374151"/>
          <w:sz w:val="18"/>
        </w:rPr>
        <w:tab/>
        <w:t>(21)</w:t>
      </w:r>
    </w:p>
    <w:p>
      <w:pPr>
        <w:pStyle w:val="FirstParagraph"/>
      </w:pPr>
      <m:oMath>
        <m:sSub>
          <m:e>
            <m:r>
              <m:t>W</m:t>
            </m:r>
          </m:e>
          <m:sub>
            <m:r>
              <m:t>s</m:t>
            </m:r>
            <m:r>
              <m:rPr>
                <m:sty m:val="p"/>
              </m:rPr>
              <m:t>,</m:t>
            </m:r>
            <m:r>
              <m:t>t</m:t>
            </m:r>
          </m:sub>
        </m:sSub>
      </m:oMath>
      <w:r>
        <w:t xml:space="preserve"> </w:t>
      </w:r>
      <w:r>
        <w:t xml:space="preserve">ist eine positive semidefinite Gewichtungsmatrix der Interzonenverbindungen. Gleichung (21) erläutert, welche Bestandteile eine Implementierung haben</w:t>
      </w:r>
      <w:r>
        <w:t xml:space="preserve"> </w:t>
      </w:r>
      <w:r>
        <w:rPr>
          <w:i/>
          <w:iCs/>
        </w:rPr>
        <w:t xml:space="preserve">könnte</w:t>
      </w:r>
      <w:r>
        <w:t xml:space="preserve">. Sie ist</w:t>
      </w:r>
      <w:r>
        <w:t xml:space="preserve"> </w:t>
      </w:r>
      <w:r>
        <w:rPr>
          <w:b/>
          <w:bCs/>
        </w:rPr>
        <w:t xml:space="preserve">nicht</w:t>
      </w:r>
      <w:r>
        <w:t xml:space="preserve"> </w:t>
      </w:r>
      <w:r>
        <w:t xml:space="preserve">die von ENTSO-E veröffentlichte Zielfunktion; in [Q1] fehlen gerade die Entscheidung über den Fehlerterm (Quadrat-/Absolutfehler oder andere Form),</w:t>
      </w:r>
      <w:r>
        <w:t xml:space="preserve"> </w:t>
      </w:r>
      <m:oMath>
        <m:sSub>
          <m:e>
            <m:r>
              <m:t>W</m:t>
            </m:r>
          </m:e>
          <m:sub>
            <m:r>
              <m:t>s</m:t>
            </m:r>
            <m:r>
              <m:rPr>
                <m:sty m:val="p"/>
              </m:rPr>
              <m:t>,</m:t>
            </m:r>
            <m:r>
              <m:t>t</m:t>
            </m:r>
          </m:sub>
        </m:sSub>
      </m:oMath>
      <w:r>
        <w:t xml:space="preserve">,</w:t>
      </w:r>
      <w:r>
        <w:t xml:space="preserve"> </w:t>
      </w:r>
      <m:oMath>
        <m:sSub>
          <m:e>
            <m:r>
              <m:t>ω</m:t>
            </m:r>
          </m:e>
          <m:sub>
            <m:r>
              <m:t>s</m:t>
            </m:r>
            <m:r>
              <m:rPr>
                <m:sty m:val="p"/>
              </m:rPr>
              <m:t>,</m:t>
            </m:r>
            <m:r>
              <m:t>t</m:t>
            </m:r>
          </m:sub>
        </m:sSub>
      </m:oMath>
      <w:r>
        <w:t xml:space="preserve">, die Parametergrenzen und die methodische Behandlung von Mehrdeutigkeiten. [Q1, S. 27 und 48–49]</w:t>
      </w:r>
    </w:p>
    <w:p>
      <w:pPr>
        <w:pStyle w:val="BodyText"/>
      </w:pPr>
      <w:r>
        <w:t xml:space="preserve">Eine weitere optionale Stabilisierung [E] wäre</w:t>
      </w:r>
    </w:p>
    <w:p>
      <w:pPr>
        <w:pStyle w:val="BodyText"/>
        <w:tabs>
          <w:tab w:pos="8856" w:val="right"/>
        </w:tabs>
      </w:pPr>
      <m:oMathPara>
        <m:oMathParaPr>
          <m:jc m:val="center"/>
        </m:oMathParaPr>
        <m:oMath>
          <m:sSub>
            <m:e>
              <m:r>
                <m:t>J</m:t>
              </m:r>
            </m:e>
            <m:sub>
              <m:r>
                <m:rPr>
                  <m:sty m:val="p"/>
                </m:rPr>
                <m:t>r</m:t>
              </m:r>
              <m:r>
                <m:rPr>
                  <m:sty m:val="p"/>
                </m:rPr>
                <m:t>e</m:t>
              </m:r>
              <m:r>
                <m:rPr>
                  <m:sty m:val="p"/>
                </m:rPr>
                <m:t>g</m:t>
              </m:r>
            </m:sub>
          </m:sSub>
          <m:d>
            <m:dPr>
              <m:begChr m:val="("/>
              <m:endChr m:val=")"/>
              <m:sepChr m:val=""/>
              <m:grow/>
            </m:dPr>
            <m:e>
              <m:r>
                <m:t>X</m:t>
              </m:r>
              <m:r>
                <m:rPr>
                  <m:sty m:val="p"/>
                </m:rPr>
                <m:t>,</m:t>
              </m:r>
              <m:sSup>
                <m:e>
                  <m:r>
                    <m:t>c</m:t>
                  </m:r>
                </m:e>
                <m:sup>
                  <m:r>
                    <m:t>0</m:t>
                  </m:r>
                </m:sup>
              </m:sSup>
            </m:e>
          </m:d>
          <m:r>
            <m:rPr>
              <m:sty m:val="p"/>
            </m:rPr>
            <m:t>=</m:t>
          </m:r>
          <m:sSub>
            <m:e>
              <m:r>
                <m:t>λ</m:t>
              </m:r>
            </m:e>
            <m:sub>
              <m:r>
                <m:t>x</m:t>
              </m:r>
            </m:sub>
          </m:sSub>
          <m:r>
            <m:rPr>
              <m:sty m:val="p"/>
            </m:rPr>
            <m:t>∥</m:t>
          </m:r>
          <m:r>
            <m:rPr>
              <m:sty m:val="p"/>
            </m:rPr>
            <m:t>log</m:t>
          </m:r>
          <m:r>
            <m:t>x</m:t>
          </m:r>
          <m:r>
            <m:rPr>
              <m:sty m:val="p"/>
            </m:rPr>
            <m:t>−</m:t>
          </m:r>
          <m:r>
            <m:rPr>
              <m:sty m:val="p"/>
            </m:rPr>
            <m:t>log</m:t>
          </m:r>
          <m:sSup>
            <m:e>
              <m:r>
                <m:t>x</m:t>
              </m:r>
            </m:e>
            <m:sup>
              <m:r>
                <m:rPr>
                  <m:sty m:val="p"/>
                </m:rPr>
                <m:t>r</m:t>
              </m:r>
              <m:r>
                <m:rPr>
                  <m:sty m:val="p"/>
                </m:rPr>
                <m:t>e</m:t>
              </m:r>
              <m:r>
                <m:rPr>
                  <m:sty m:val="p"/>
                </m:rPr>
                <m:t>f</m:t>
              </m:r>
            </m:sup>
          </m:sSup>
          <m:sSubSup>
            <m:e>
              <m:r>
                <m:rPr>
                  <m:sty m:val="p"/>
                </m:rPr>
                <m:t>∥</m:t>
              </m:r>
            </m:e>
            <m:sub>
              <m:r>
                <m:t>2</m:t>
              </m:r>
            </m:sub>
            <m:sup>
              <m:r>
                <m:t>2</m:t>
              </m:r>
            </m:sup>
          </m:sSubSup>
          <m:r>
            <m:rPr>
              <m:sty m:val="p"/>
            </m:rPr>
            <m:t>+</m:t>
          </m:r>
          <m:sSub>
            <m:e>
              <m:r>
                <m:t>λ</m:t>
              </m:r>
            </m:e>
            <m:sub>
              <m:r>
                <m:t>c</m:t>
              </m:r>
            </m:sub>
          </m:sSub>
          <m:r>
            <m:rPr>
              <m:sty m:val="p"/>
            </m:rPr>
            <m:t>∥</m:t>
          </m:r>
          <m:sSup>
            <m:e>
              <m:r>
                <m:t>c</m:t>
              </m:r>
            </m:e>
            <m:sup>
              <m:r>
                <m:t>0</m:t>
              </m:r>
            </m:sup>
          </m:sSup>
          <m:sSubSup>
            <m:e>
              <m:r>
                <m:rPr>
                  <m:sty m:val="p"/>
                </m:rPr>
                <m:t>∥</m:t>
              </m:r>
            </m:e>
            <m:sub>
              <m:r>
                <m:t>2</m:t>
              </m:r>
            </m:sub>
            <m:sup>
              <m:r>
                <m:t>2</m:t>
              </m:r>
            </m:sup>
          </m:sSubSup>
          <m:r>
            <m:rPr>
              <m:sty m:val="p"/>
            </m:rPr>
            <m:t>.</m:t>
          </m:r>
        </m:oMath>
      </m:oMathPara>
      <w:r>
        <w:rPr>
          <w:color w:val="374151"/>
          <w:sz w:val="18"/>
        </w:rPr>
        <w:tab/>
        <w:t>(22)</w:t>
      </w:r>
    </w:p>
    <w:p>
      <w:pPr>
        <w:pStyle w:val="FirstParagraph"/>
      </w:pPr>
      <w:r>
        <w:t xml:space="preserve">Diese Form fordert eine externe Referenz</w:t>
      </w:r>
      <w:r>
        <w:t xml:space="preserve"> </w:t>
      </w:r>
      <m:oMath>
        <m:sSup>
          <m:e>
            <m:r>
              <m:t>x</m:t>
            </m:r>
          </m:e>
          <m:sup>
            <m:r>
              <m:rPr>
                <m:sty m:val="p"/>
              </m:rPr>
              <m:t>r</m:t>
            </m:r>
            <m:r>
              <m:rPr>
                <m:sty m:val="p"/>
              </m:rPr>
              <m:t>e</m:t>
            </m:r>
            <m:r>
              <m:rPr>
                <m:sty m:val="p"/>
              </m:rPr>
              <m:t>f</m:t>
            </m:r>
          </m:sup>
        </m:sSup>
      </m:oMath>
      <w:r>
        <w:t xml:space="preserve"> </w:t>
      </w:r>
      <w:r>
        <w:t xml:space="preserve">und eigene Hyperparameter;</w:t>
      </w:r>
      <w:r>
        <w:t xml:space="preserve"> </w:t>
      </w:r>
      <w:r>
        <w:rPr>
          <w:b/>
          <w:bCs/>
        </w:rPr>
        <w:t xml:space="preserve">keines</w:t>
      </w:r>
      <w:r>
        <w:t xml:space="preserve"> </w:t>
      </w:r>
      <w:r>
        <w:t xml:space="preserve">dieser Elemente wird im Methodikdokument als verbindlich angegeben.</w:t>
      </w:r>
    </w:p>
    <w:bookmarkEnd w:id="52"/>
    <w:bookmarkStart w:id="53" w:name="Xe901a6080651b92623f49568e570037affc261b"/>
    <w:p>
      <w:pPr>
        <w:pStyle w:val="Heading2"/>
      </w:pPr>
      <w:r>
        <w:t xml:space="preserve">7.6 Formale Nichtidentifizierbarkeit aller Impedanz-Skalierungen [A]</w:t>
      </w:r>
    </w:p>
    <w:p>
      <w:pPr>
        <w:pStyle w:val="FirstParagraph"/>
      </w:pPr>
      <w:r>
        <w:rPr>
          <w:b/>
          <w:bCs/>
        </w:rPr>
        <w:t xml:space="preserve">Satz.</w:t>
      </w:r>
      <w:r>
        <w:t xml:space="preserve"> </w:t>
      </w:r>
      <w:r>
        <w:t xml:space="preserve">Unter dem DC-Modell (15) bleibt die Abbildung von bilanzierten Einspeisungen zu Leitungsflüssen unverändert, wenn</w:t>
      </w:r>
      <w:r>
        <w:t xml:space="preserve"> </w:t>
      </w:r>
      <w:r>
        <w:rPr>
          <w:b/>
          <w:bCs/>
        </w:rPr>
        <w:t xml:space="preserve">sämtliche</w:t>
      </w:r>
      <w:r>
        <w:t xml:space="preserve"> </w:t>
      </w:r>
      <w:r>
        <w:t xml:space="preserve">Reaktanzen einer zusammenhängenden reduzierten AC-Komponente durch denselben positiven Faktor</w:t>
      </w:r>
      <w:r>
        <w:t xml:space="preserve"> </w:t>
      </w:r>
      <m:oMath>
        <m:r>
          <m:t>α</m:t>
        </m:r>
      </m:oMath>
      <w:r>
        <w:t xml:space="preserve"> </w:t>
      </w:r>
      <w:r>
        <w:t xml:space="preserve">multipliziert werden.</w:t>
      </w:r>
    </w:p>
    <w:p>
      <w:pPr>
        <w:pStyle w:val="BodyText"/>
      </w:pPr>
      <w:r>
        <w:rPr>
          <w:b/>
          <w:bCs/>
        </w:rPr>
        <w:t xml:space="preserve">Beweis.</w:t>
      </w:r>
      <w:r>
        <w:t xml:space="preserve"> </w:t>
      </w:r>
      <w:r>
        <w:t xml:space="preserve">Setze</w:t>
      </w:r>
      <w:r>
        <w:t xml:space="preserve"> </w:t>
      </w:r>
      <m:oMath>
        <m:r>
          <m:t>X</m:t>
        </m:r>
        <m:r>
          <m:rPr>
            <m:sty m:val="p"/>
          </m:rPr>
          <m:t>′</m:t>
        </m:r>
        <m:r>
          <m:rPr>
            <m:sty m:val="p"/>
          </m:rPr>
          <m:t>=</m:t>
        </m:r>
        <m:r>
          <m:t>α</m:t>
        </m:r>
        <m:r>
          <m:t>X</m:t>
        </m:r>
      </m:oMath>
      <w:r>
        <w:t xml:space="preserve">, somit</w:t>
      </w:r>
      <w:r>
        <w:t xml:space="preserve"> </w:t>
      </w:r>
      <m:oMath>
        <m:r>
          <m:t>B</m:t>
        </m:r>
        <m:r>
          <m:rPr>
            <m:sty m:val="p"/>
          </m:rPr>
          <m:t>′</m:t>
        </m:r>
        <m:r>
          <m:rPr>
            <m:sty m:val="p"/>
          </m:rPr>
          <m:t>=</m:t>
        </m:r>
        <m:r>
          <m:t>X</m:t>
        </m:r>
        <m:sSup>
          <m:e>
            <m:r>
              <m:rPr>
                <m:sty m:val="p"/>
              </m:rPr>
              <m:t>′</m:t>
            </m:r>
          </m:e>
          <m:sup>
            <m:r>
              <m:rPr>
                <m:sty m:val="p"/>
              </m:rPr>
              <m:t>−</m:t>
            </m:r>
            <m:r>
              <m:t>1</m:t>
            </m:r>
          </m:sup>
        </m:sSup>
        <m:r>
          <m:rPr>
            <m:sty m:val="p"/>
          </m:rPr>
          <m:t>=</m:t>
        </m:r>
        <m:r>
          <m:t>B</m:t>
        </m:r>
        <m:r>
          <m:rPr>
            <m:sty m:val="p"/>
          </m:rPr>
          <m:t>/</m:t>
        </m:r>
        <m:r>
          <m:t>α</m:t>
        </m:r>
      </m:oMath>
      <w:r>
        <w:t xml:space="preserve"> </w:t>
      </w:r>
      <w:r>
        <w:t xml:space="preserve">und</w:t>
      </w:r>
    </w:p>
    <w:p>
      <w:pPr>
        <w:pStyle w:val="BodyText"/>
        <w:tabs>
          <w:tab w:pos="8856" w:val="right"/>
        </w:tabs>
      </w:pPr>
      <m:oMathPara>
        <m:oMathParaPr>
          <m:jc m:val="center"/>
        </m:oMathParaPr>
        <m:oMath>
          <m:sSub>
            <m:e>
              <m:r>
                <m:t>L</m:t>
              </m:r>
            </m:e>
            <m:sub>
              <m:r>
                <m:rPr>
                  <m:sty m:val="p"/>
                </m:rPr>
                <m:t>z</m:t>
              </m:r>
            </m:sub>
          </m:sSub>
          <m:r>
            <m:rPr>
              <m:sty m:val="p"/>
            </m:rPr>
            <m:t>′</m:t>
          </m:r>
          <m:r>
            <m:rPr>
              <m:sty m:val="p"/>
            </m:rPr>
            <m:t>=</m:t>
          </m:r>
          <m:sSub>
            <m:e>
              <m:r>
                <m:t>A</m:t>
              </m:r>
            </m:e>
            <m:sub>
              <m:r>
                <m:rPr>
                  <m:sty m:val="p"/>
                </m:rPr>
                <m:t>z</m:t>
              </m:r>
            </m:sub>
          </m:sSub>
          <m:r>
            <m:t>B</m:t>
          </m:r>
          <m:r>
            <m:rPr>
              <m:sty m:val="p"/>
            </m:rPr>
            <m:t>′</m:t>
          </m:r>
          <m:sSubSup>
            <m:e>
              <m:r>
                <m:t>A</m:t>
              </m:r>
            </m:e>
            <m:sub>
              <m:r>
                <m:rPr>
                  <m:sty m:val="p"/>
                </m:rPr>
                <m:t>z</m:t>
              </m:r>
            </m:sub>
            <m:sup>
              <m:r>
                <m:rPr>
                  <m:sty m:val="p"/>
                  <m:scr m:val="sans-serif"/>
                </m:rPr>
                <m:t>T</m:t>
              </m:r>
            </m:sup>
          </m:sSubSup>
          <m:r>
            <m:rPr>
              <m:sty m:val="p"/>
            </m:rPr>
            <m:t>=</m:t>
          </m:r>
          <m:f>
            <m:fPr>
              <m:type m:val="bar"/>
            </m:fPr>
            <m:num>
              <m:r>
                <m:t>1</m:t>
              </m:r>
            </m:num>
            <m:den>
              <m:r>
                <m:t>α</m:t>
              </m:r>
            </m:den>
          </m:f>
          <m:sSub>
            <m:e>
              <m:r>
                <m:t>L</m:t>
              </m:r>
            </m:e>
            <m:sub>
              <m:r>
                <m:rPr>
                  <m:sty m:val="p"/>
                </m:rPr>
                <m:t>z</m:t>
              </m:r>
            </m:sub>
          </m:sSub>
          <m:r>
            <m:rPr>
              <m:sty m:val="p"/>
            </m:rPr>
            <m:t>.</m:t>
          </m:r>
        </m:oMath>
      </m:oMathPara>
      <w:r>
        <w:rPr>
          <w:color w:val="374151"/>
          <w:sz w:val="18"/>
        </w:rPr>
        <w:tab/>
        <w:t>(23)</w:t>
      </w:r>
    </w:p>
    <w:p>
      <w:pPr>
        <w:pStyle w:val="FirstParagraph"/>
      </w:pPr>
      <w:r>
        <w:t xml:space="preserve">Für ein gegebenes bilanziertes</w:t>
      </w:r>
      <w:r>
        <w:t xml:space="preserve"> </w:t>
      </w:r>
      <m:oMath>
        <m:r>
          <m:t>p</m:t>
        </m:r>
      </m:oMath>
      <w:r>
        <w:t xml:space="preserve"> </w:t>
      </w:r>
      <w:r>
        <w:t xml:space="preserve">kann der zu</w:t>
      </w:r>
      <w:r>
        <w:t xml:space="preserve"> </w:t>
      </w:r>
      <m:oMath>
        <m:r>
          <m:t>X</m:t>
        </m:r>
      </m:oMath>
      <w:r>
        <w:t xml:space="preserve"> </w:t>
      </w:r>
      <w:r>
        <w:t xml:space="preserve">gehörige Winkelvektor</w:t>
      </w:r>
      <w:r>
        <w:t xml:space="preserve"> </w:t>
      </w:r>
      <m:oMath>
        <m:acc>
          <m:accPr>
            <m:chr m:val="̂"/>
          </m:accPr>
          <m:e>
            <m:r>
              <m:t>θ</m:t>
            </m:r>
          </m:e>
        </m:acc>
      </m:oMath>
      <w:r>
        <w:t xml:space="preserve"> </w:t>
      </w:r>
      <w:r>
        <w:t xml:space="preserve">durch</w:t>
      </w:r>
      <w:r>
        <w:t xml:space="preserve"> </w:t>
      </w:r>
      <m:oMath>
        <m:acc>
          <m:accPr>
            <m:chr m:val="̂"/>
          </m:accPr>
          <m:e>
            <m:r>
              <m:t>θ</m:t>
            </m:r>
          </m:e>
        </m:acc>
        <m:r>
          <m:rPr>
            <m:sty m:val="p"/>
          </m:rPr>
          <m:t>′</m:t>
        </m:r>
        <m:r>
          <m:rPr>
            <m:sty m:val="p"/>
          </m:rPr>
          <m:t>=</m:t>
        </m:r>
        <m:r>
          <m:t>α</m:t>
        </m:r>
        <m:acc>
          <m:accPr>
            <m:chr m:val="̂"/>
          </m:accPr>
          <m:e>
            <m:r>
              <m:t>θ</m:t>
            </m:r>
          </m:e>
        </m:acc>
      </m:oMath>
      <w:r>
        <w:t xml:space="preserve"> </w:t>
      </w:r>
      <w:r>
        <w:t xml:space="preserve">ersetzt werden. Dann gilt</w:t>
      </w:r>
    </w:p>
    <w:p>
      <w:pPr>
        <w:pStyle w:val="BodyText"/>
        <w:tabs>
          <w:tab w:pos="8856" w:val="right"/>
        </w:tabs>
      </w:pPr>
      <m:oMathPara>
        <m:oMathParaPr>
          <m:jc m:val="center"/>
        </m:oMathParaPr>
        <m:oMath>
          <m:r>
            <m:t>B</m:t>
          </m:r>
          <m:r>
            <m:rPr>
              <m:sty m:val="p"/>
            </m:rPr>
            <m:t>′</m:t>
          </m:r>
          <m:sSubSup>
            <m:e>
              <m:r>
                <m:t>A</m:t>
              </m:r>
            </m:e>
            <m:sub>
              <m:r>
                <m:rPr>
                  <m:sty m:val="p"/>
                </m:rPr>
                <m:t>z</m:t>
              </m:r>
            </m:sub>
            <m:sup>
              <m:r>
                <m:rPr>
                  <m:sty m:val="p"/>
                  <m:scr m:val="sans-serif"/>
                </m:rPr>
                <m:t>T</m:t>
              </m:r>
            </m:sup>
          </m:sSubSup>
          <m:acc>
            <m:accPr>
              <m:chr m:val="̂"/>
            </m:accPr>
            <m:e>
              <m:r>
                <m:t>θ</m:t>
              </m:r>
            </m:e>
          </m:acc>
          <m:r>
            <m:rPr>
              <m:sty m:val="p"/>
            </m:rPr>
            <m:t>′</m:t>
          </m:r>
          <m:r>
            <m:rPr>
              <m:sty m:val="p"/>
            </m:rPr>
            <m:t>=</m:t>
          </m:r>
          <m:f>
            <m:fPr>
              <m:type m:val="bar"/>
            </m:fPr>
            <m:num>
              <m:r>
                <m:t>B</m:t>
              </m:r>
            </m:num>
            <m:den>
              <m:r>
                <m:t>α</m:t>
              </m:r>
            </m:den>
          </m:f>
          <m:sSubSup>
            <m:e>
              <m:r>
                <m:t>A</m:t>
              </m:r>
            </m:e>
            <m:sub>
              <m:r>
                <m:rPr>
                  <m:sty m:val="p"/>
                </m:rPr>
                <m:t>z</m:t>
              </m:r>
            </m:sub>
            <m:sup>
              <m:r>
                <m:rPr>
                  <m:sty m:val="p"/>
                  <m:scr m:val="sans-serif"/>
                </m:rPr>
                <m:t>T</m:t>
              </m:r>
            </m:sup>
          </m:sSubSup>
          <m:d>
            <m:dPr>
              <m:begChr m:val="("/>
              <m:endChr m:val=")"/>
              <m:sepChr m:val=""/>
              <m:grow/>
            </m:dPr>
            <m:e>
              <m:r>
                <m:t>α</m:t>
              </m:r>
              <m:acc>
                <m:accPr>
                  <m:chr m:val="̂"/>
                </m:accPr>
                <m:e>
                  <m:r>
                    <m:t>θ</m:t>
                  </m:r>
                </m:e>
              </m:acc>
            </m:e>
          </m:d>
          <m:r>
            <m:rPr>
              <m:sty m:val="p"/>
            </m:rPr>
            <m:t>=</m:t>
          </m:r>
          <m:r>
            <m:t>B</m:t>
          </m:r>
          <m:sSubSup>
            <m:e>
              <m:r>
                <m:t>A</m:t>
              </m:r>
            </m:e>
            <m:sub>
              <m:r>
                <m:rPr>
                  <m:sty m:val="p"/>
                </m:rPr>
                <m:t>z</m:t>
              </m:r>
            </m:sub>
            <m:sup>
              <m:r>
                <m:rPr>
                  <m:sty m:val="p"/>
                  <m:scr m:val="sans-serif"/>
                </m:rPr>
                <m:t>T</m:t>
              </m:r>
            </m:sup>
          </m:sSubSup>
          <m:acc>
            <m:accPr>
              <m:chr m:val="̂"/>
            </m:accPr>
            <m:e>
              <m:r>
                <m:t>θ</m:t>
              </m:r>
            </m:e>
          </m:acc>
          <m:r>
            <m:rPr>
              <m:sty m:val="p"/>
            </m:rPr>
            <m:t>=</m:t>
          </m:r>
          <m:acc>
            <m:accPr>
              <m:chr m:val="̂"/>
            </m:accPr>
            <m:e>
              <m:r>
                <m:t>f</m:t>
              </m:r>
            </m:e>
          </m:acc>
          <m:r>
            <m:rPr>
              <m:sty m:val="p"/>
            </m:rPr>
            <m:t>.</m:t>
          </m:r>
        </m:oMath>
      </m:oMathPara>
      <w:r>
        <w:rPr>
          <w:color w:val="374151"/>
          <w:sz w:val="18"/>
        </w:rPr>
        <w:tab/>
        <w:t>(24)</w:t>
      </w:r>
    </w:p>
    <w:p>
      <w:pPr>
        <w:pStyle w:val="FirstParagraph"/>
      </w:pPr>
      <w:r>
        <w:t xml:space="preserve">Damit sind sämtliche Wirkleistungsflüsse und ihre quadratischen Fitfehler identisch.</w:t>
      </w:r>
      <w:r>
        <w:t xml:space="preserve"> </w:t>
      </w:r>
      <m:oMath>
        <m:r>
          <m:rPr>
            <m:sty m:val="p"/>
          </m:rPr>
          <m:t>▫</m:t>
        </m:r>
      </m:oMath>
    </w:p>
    <w:p>
      <w:pPr>
        <w:pStyle w:val="BodyText"/>
      </w:pPr>
      <w:r>
        <w:rPr>
          <w:b/>
          <w:bCs/>
        </w:rPr>
        <w:t xml:space="preserve">Bedeutung:</w:t>
      </w:r>
      <w:r>
        <w:t xml:space="preserve"> </w:t>
      </w:r>
      <w:r>
        <w:t xml:space="preserve">Selbst eine vollständige stündliche Zeitreihe fehlerfreier Fluss- und Einspeisungsdaten identifiziert den</w:t>
      </w:r>
      <w:r>
        <w:t xml:space="preserve"> </w:t>
      </w:r>
      <w:r>
        <w:rPr>
          <w:i/>
          <w:iCs/>
        </w:rPr>
        <w:t xml:space="preserve">absoluten gemeinsamen Maßstab</w:t>
      </w:r>
      <w:r>
        <w:t xml:space="preserve"> </w:t>
      </w:r>
      <w:r>
        <w:t xml:space="preserve">der Reaktanzen nicht. Zusätzliche Nicht-Eindeutigkeiten können aus den Zone-internen Freiheitsgraden und den Korrekturoffsets entstehen. Ohne Fixierung einer Referenzreaktanz, einer Normierung oder einer physikalisch begründeten Regularisierung ist das Parameterset deshalb nicht eindeutig. Aus [Q1, S. 48–49] lässt sich keine solche Normalisierungsregel entnehmen. [U]</w:t>
      </w:r>
    </w:p>
    <w:p>
      <w:pPr>
        <w:pStyle w:val="BodyText"/>
      </w:pPr>
      <w:r>
        <w:t xml:space="preserve">Dies ist kein bloß numerisches Solversymptom, sondern eine</w:t>
      </w:r>
      <w:r>
        <w:t xml:space="preserve"> </w:t>
      </w:r>
      <w:r>
        <w:rPr>
          <w:b/>
          <w:bCs/>
        </w:rPr>
        <w:t xml:space="preserve">strukturelle Symmetrie</w:t>
      </w:r>
      <w:r>
        <w:t xml:space="preserve"> </w:t>
      </w:r>
      <w:r>
        <w:t xml:space="preserve">der zugrunde gelegten Flussgleichungen. Sie berührt die Reproduzierbarkeit der numerischen Impedanzwerte, nicht unmittelbar die Möglichkeit einer guten Flussapproximation.</w:t>
      </w:r>
    </w:p>
    <w:bookmarkEnd w:id="53"/>
    <w:bookmarkStart w:id="54" w:name="einfluss-von-hvdc-und-pst-du"/>
    <w:p>
      <w:pPr>
        <w:pStyle w:val="Heading2"/>
      </w:pPr>
      <w:r>
        <w:t xml:space="preserve">7.7 Einfluss von HVDC und PST [D/U]</w:t>
      </w:r>
    </w:p>
    <w:p>
      <w:pPr>
        <w:pStyle w:val="FirstParagraph"/>
      </w:pPr>
      <w:r>
        <w:t xml:space="preserve">Zur robusteren Ermittlung des passiven AC-Impedanznetzes sollen die Sollwerte interner HVDC-Verbindungen auf</w:t>
      </w:r>
      <w:r>
        <w:t xml:space="preserve"> </w:t>
      </w:r>
      <w:r>
        <w:rPr>
          <w:b/>
          <w:bCs/>
        </w:rPr>
        <w:t xml:space="preserve">null</w:t>
      </w:r>
      <w:r>
        <w:t xml:space="preserve"> </w:t>
      </w:r>
      <w:r>
        <w:t xml:space="preserve">und die Phasenschiebertransformatoren (PST) in</w:t>
      </w:r>
      <w:r>
        <w:t xml:space="preserve"> </w:t>
      </w:r>
      <w:r>
        <w:rPr>
          <w:b/>
          <w:bCs/>
        </w:rPr>
        <w:t xml:space="preserve">Neutralstellung</w:t>
      </w:r>
      <w:r>
        <w:t xml:space="preserve"> </w:t>
      </w:r>
      <w:r>
        <w:t xml:space="preserve">gesetzt werden. [Q1, S. 49]</w:t>
      </w:r>
    </w:p>
    <w:p>
      <w:pPr>
        <w:pStyle w:val="BodyText"/>
      </w:pPr>
      <w:r>
        <w:t xml:space="preserve">Die Reduktions-Outputs nennen anschließend explizit (i) den</w:t>
      </w:r>
      <w:r>
        <w:t xml:space="preserve"> </w:t>
      </w:r>
      <w:r>
        <w:rPr>
          <w:b/>
          <w:bCs/>
        </w:rPr>
        <w:t xml:space="preserve">Einfluss von HVDC-Systemen auf Nullbilanzflüsse</w:t>
      </w:r>
      <w:r>
        <w:t xml:space="preserve"> </w:t>
      </w:r>
      <w:r>
        <w:t xml:space="preserve">und (ii) die durch PST erreichbaren</w:t>
      </w:r>
      <w:r>
        <w:t xml:space="preserve"> </w:t>
      </w:r>
      <w:r>
        <w:rPr>
          <w:b/>
          <w:bCs/>
        </w:rPr>
        <w:t xml:space="preserve">Wirkleistungsanpassungen in MW</w:t>
      </w:r>
      <w:r>
        <w:t xml:space="preserve">. [Q1, S. 28] Das Dokument formuliert aber keine vollständigen HVDC-/PST-Sensitivitätsmatrizen oder die Kopplung ihrer Stellgrößen an (17)–(19).</w:t>
      </w:r>
    </w:p>
    <w:p>
      <w:pPr>
        <w:pStyle w:val="BodyText"/>
      </w:pPr>
      <w:r>
        <w:t xml:space="preserve">Eine mögliche, noch zu qualifizierende Erweiterung wäre [E]</w:t>
      </w:r>
    </w:p>
    <w:p>
      <w:pPr>
        <w:pStyle w:val="BodyText"/>
        <w:tabs>
          <w:tab w:pos="8856" w:val="right"/>
        </w:tabs>
      </w:pPr>
      <m:oMathPara>
        <m:oMathParaPr>
          <m:jc m:val="center"/>
        </m:oMathParaPr>
        <m:oMath>
          <m:sSub>
            <m:e>
              <m:r>
                <m:t>A</m:t>
              </m:r>
            </m:e>
            <m:sub>
              <m:r>
                <m:rPr>
                  <m:sty m:val="p"/>
                </m:rPr>
                <m:t>z</m:t>
              </m:r>
            </m:sub>
          </m:sSub>
          <m:sSub>
            <m:e>
              <m:acc>
                <m:accPr>
                  <m:chr m:val="̂"/>
                </m:accPr>
                <m:e>
                  <m:r>
                    <m:t>f</m:t>
                  </m:r>
                </m:e>
              </m:acc>
            </m:e>
            <m:sub>
              <m:r>
                <m:t>t</m:t>
              </m:r>
            </m:sub>
          </m:sSub>
          <m:r>
            <m:rPr>
              <m:sty m:val="p"/>
            </m:rPr>
            <m:t>=</m:t>
          </m:r>
          <m:sSubSup>
            <m:e>
              <m:r>
                <m:t>p</m:t>
              </m:r>
            </m:e>
            <m:sub>
              <m:r>
                <m:t>t</m:t>
              </m:r>
            </m:sub>
            <m:sup>
              <m:r>
                <m:rPr>
                  <m:sty m:val="p"/>
                </m:rPr>
                <m:t>z</m:t>
              </m:r>
            </m:sup>
          </m:sSubSup>
          <m:r>
            <m:rPr>
              <m:sty m:val="p"/>
            </m:rPr>
            <m:t>+</m:t>
          </m:r>
          <m:sSub>
            <m:e>
              <m:r>
                <m:t>D</m:t>
              </m:r>
            </m:e>
            <m:sub>
              <m:r>
                <m:rPr>
                  <m:sty m:val="p"/>
                </m:rPr>
                <m:t>d</m:t>
              </m:r>
              <m:r>
                <m:rPr>
                  <m:sty m:val="p"/>
                </m:rPr>
                <m:t>c</m:t>
              </m:r>
            </m:sub>
          </m:sSub>
          <m:sSub>
            <m:e>
              <m:r>
                <m:t>h</m:t>
              </m:r>
            </m:e>
            <m:sub>
              <m:r>
                <m:t>t</m:t>
              </m:r>
            </m:sub>
          </m:sSub>
          <m:r>
            <m:rPr>
              <m:sty m:val="p"/>
            </m:rPr>
            <m:t>,</m:t>
          </m:r>
          <m:r>
            <m:t>  </m:t>
          </m:r>
          <m:sSub>
            <m:e>
              <m:acc>
                <m:accPr>
                  <m:chr m:val="̂"/>
                </m:accPr>
                <m:e>
                  <m:r>
                    <m:t>f</m:t>
                  </m:r>
                </m:e>
              </m:acc>
            </m:e>
            <m:sub>
              <m:r>
                <m:t>t</m:t>
              </m:r>
            </m:sub>
          </m:sSub>
          <m:r>
            <m:rPr>
              <m:sty m:val="p"/>
            </m:rPr>
            <m:t>=</m:t>
          </m:r>
          <m:r>
            <m:t>B</m:t>
          </m:r>
          <m:d>
            <m:dPr>
              <m:begChr m:val="("/>
              <m:endChr m:val=")"/>
              <m:sepChr m:val=""/>
              <m:grow/>
            </m:dPr>
            <m:e>
              <m:sSubSup>
                <m:e>
                  <m:r>
                    <m:t>A</m:t>
                  </m:r>
                </m:e>
                <m:sub>
                  <m:r>
                    <m:rPr>
                      <m:sty m:val="p"/>
                    </m:rPr>
                    <m:t>z</m:t>
                  </m:r>
                </m:sub>
                <m:sup>
                  <m:r>
                    <m:rPr>
                      <m:sty m:val="p"/>
                      <m:scr m:val="sans-serif"/>
                    </m:rPr>
                    <m:t>T</m:t>
                  </m:r>
                </m:sup>
              </m:sSubSup>
              <m:sSub>
                <m:e>
                  <m:acc>
                    <m:accPr>
                      <m:chr m:val="̂"/>
                    </m:accPr>
                    <m:e>
                      <m:r>
                        <m:t>θ</m:t>
                      </m:r>
                    </m:e>
                  </m:acc>
                </m:e>
                <m:sub>
                  <m:r>
                    <m:t>t</m:t>
                  </m:r>
                </m:sub>
              </m:sSub>
              <m:r>
                <m:rPr>
                  <m:sty m:val="p"/>
                </m:rPr>
                <m:t>−</m:t>
              </m:r>
              <m:sSub>
                <m:e>
                  <m:r>
                    <m:t>ψ</m:t>
                  </m:r>
                </m:e>
                <m:sub>
                  <m:r>
                    <m:t>t</m:t>
                  </m:r>
                </m:sub>
              </m:sSub>
            </m:e>
          </m:d>
          <m:r>
            <m:rPr>
              <m:sty m:val="p"/>
            </m:rPr>
            <m:t>+</m:t>
          </m:r>
          <m:sSup>
            <m:e>
              <m:r>
                <m:t>c</m:t>
              </m:r>
            </m:e>
            <m:sup>
              <m:r>
                <m:t>0</m:t>
              </m:r>
            </m:sup>
          </m:sSup>
          <m:r>
            <m:rPr>
              <m:sty m:val="p"/>
            </m:rPr>
            <m:t>,</m:t>
          </m:r>
        </m:oMath>
      </m:oMathPara>
      <w:r>
        <w:rPr>
          <w:color w:val="374151"/>
          <w:sz w:val="18"/>
        </w:rPr>
        <w:tab/>
        <w:t>(25)</w:t>
      </w:r>
    </w:p>
    <w:p>
      <w:pPr>
        <w:pStyle w:val="FirstParagraph"/>
      </w:pPr>
      <w:r>
        <w:t xml:space="preserve">mit HVDC-Terminal-Injektionen</w:t>
      </w:r>
      <w:r>
        <w:t xml:space="preserve"> </w:t>
      </w:r>
      <m:oMath>
        <m:sSub>
          <m:e>
            <m:r>
              <m:t>D</m:t>
            </m:r>
          </m:e>
          <m:sub>
            <m:r>
              <m:rPr>
                <m:sty m:val="p"/>
              </m:rPr>
              <m:t>d</m:t>
            </m:r>
            <m:r>
              <m:rPr>
                <m:sty m:val="p"/>
              </m:rPr>
              <m:t>c</m:t>
            </m:r>
          </m:sub>
        </m:sSub>
        <m:sSub>
          <m:e>
            <m:r>
              <m:t>h</m:t>
            </m:r>
          </m:e>
          <m:sub>
            <m:r>
              <m:t>t</m:t>
            </m:r>
          </m:sub>
        </m:sSub>
      </m:oMath>
      <w:r>
        <w:t xml:space="preserve"> </w:t>
      </w:r>
      <w:r>
        <w:t xml:space="preserve">und PST-Phasenverschiebungen</w:t>
      </w:r>
      <w:r>
        <w:t xml:space="preserve"> </w:t>
      </w:r>
      <m:oMath>
        <m:sSub>
          <m:e>
            <m:r>
              <m:t>ψ</m:t>
            </m:r>
          </m:e>
          <m:sub>
            <m:r>
              <m:t>t</m:t>
            </m:r>
          </m:sub>
        </m:sSub>
      </m:oMath>
      <w:r>
        <w:t xml:space="preserve">. Dies darf</w:t>
      </w:r>
      <w:r>
        <w:t xml:space="preserve"> </w:t>
      </w:r>
      <w:r>
        <w:rPr>
          <w:b/>
          <w:bCs/>
        </w:rPr>
        <w:t xml:space="preserve">nicht</w:t>
      </w:r>
      <w:r>
        <w:t xml:space="preserve"> </w:t>
      </w:r>
      <w:r>
        <w:t xml:space="preserve">als Originalimplementierung interpretiert werden; insbesondere ist die von ENTSO-E ausgegebene PST-Leistungsfähigkeit keine eindeutig spezifizierte Umrechnung zu</w:t>
      </w:r>
      <w:r>
        <w:t xml:space="preserve"> </w:t>
      </w:r>
      <m:oMath>
        <m:sSub>
          <m:e>
            <m:r>
              <m:t>ψ</m:t>
            </m:r>
          </m:e>
          <m:sub>
            <m:r>
              <m:t>t</m:t>
            </m:r>
          </m:sub>
        </m:sSub>
      </m:oMath>
      <w:r>
        <w:t xml:space="preserve">.</w:t>
      </w:r>
    </w:p>
    <w:bookmarkEnd w:id="54"/>
    <w:bookmarkEnd w:id="55"/>
    <w:bookmarkStart w:id="61" w:name="X9d0bb8f20a09542af57d226d1c190e4e2f3b457"/>
    <w:p>
      <w:pPr>
        <w:pStyle w:val="Heading1"/>
      </w:pPr>
      <w:r>
        <w:t xml:space="preserve">8. Äquivalente Übertragungskapazitäten unter N-1</w:t>
      </w:r>
    </w:p>
    <w:bookmarkStart w:id="56" w:name="begriff-und-physikalische-bedeutung-d"/>
    <w:p>
      <w:pPr>
        <w:pStyle w:val="Heading2"/>
      </w:pPr>
      <w:r>
        <w:t xml:space="preserve">8.1 Begriff und physikalische Bedeutung [D]</w:t>
      </w:r>
    </w:p>
    <w:p>
      <w:pPr>
        <w:pStyle w:val="FirstParagraph"/>
      </w:pPr>
      <w:r>
        <w:t xml:space="preserve">Die Ersatzkapazität einer reduzierten Verbindung wird nicht aus der Summe ursprünglicher Leitungskapazitäten gebildet. Die physikalischen Leitungen zwischen zwei Zonen, deren synchronisierte Flüsse sowie</w:t>
      </w:r>
      <w:r>
        <w:t xml:space="preserve"> </w:t>
      </w:r>
      <w:r>
        <w:rPr>
          <w:b/>
          <w:bCs/>
        </w:rPr>
        <w:t xml:space="preserve">LODF</w:t>
      </w:r>
      <w:r>
        <w:t xml:space="preserve">-basierte Lastflussänderungen unter Leitungsausfällen bestimmen, welcher Gesamtfluss noch mit dem N-1-Sicherheitskriterium vereinbar ist. [Q1, S. 27 und 50]</w:t>
      </w:r>
    </w:p>
    <w:p>
      <w:pPr>
        <w:pStyle w:val="BodyText"/>
      </w:pPr>
      <w:r>
        <w:t xml:space="preserve">Pro Verbindung werden vier Werte berichtet:</w:t>
      </w:r>
    </w:p>
    <w:p>
      <w:pPr>
        <w:pStyle w:val="BodyText"/>
        <w:tabs>
          <w:tab w:pos="8856" w:val="right"/>
        </w:tabs>
      </w:pPr>
      <m:oMathPara>
        <m:oMathParaPr>
          <m:jc m:val="center"/>
        </m:oMathParaPr>
        <m:oMath>
          <m:r>
            <m:rPr>
              <m:sty m:val="p"/>
            </m:rPr>
            <m:t>(</m:t>
          </m:r>
          <m:sSub>
            <m:e>
              <m:r>
                <m:t>K</m:t>
              </m:r>
            </m:e>
            <m:sub>
              <m:r>
                <m:t>e</m:t>
              </m:r>
              <m:r>
                <m:rPr>
                  <m:sty m:val="p"/>
                </m:rPr>
                <m:t>,</m:t>
              </m:r>
              <m:r>
                <m:t>σ</m:t>
              </m:r>
              <m:r>
                <m:rPr>
                  <m:sty m:val="p"/>
                </m:rPr>
                <m:t>,</m:t>
              </m:r>
              <m:r>
                <m:t>d</m:t>
              </m:r>
            </m:sub>
          </m:sSub>
          <m:sSub>
            <m:e>
              <m:r>
                <m:rPr>
                  <m:sty m:val="p"/>
                </m:rPr>
                <m:t>)</m:t>
              </m:r>
            </m:e>
            <m:sub>
              <m:r>
                <m:t>σ</m:t>
              </m:r>
              <m:r>
                <m:rPr>
                  <m:sty m:val="p"/>
                </m:rPr>
                <m:t>∈</m:t>
              </m:r>
              <m:r>
                <m:rPr>
                  <m:sty m:val="p"/>
                </m:rPr>
                <m:t>{</m:t>
              </m:r>
              <m:r>
                <m:rPr>
                  <m:sty m:val="p"/>
                </m:rPr>
                <m:t>S</m:t>
              </m:r>
              <m:r>
                <m:rPr>
                  <m:sty m:val="p"/>
                </m:rPr>
                <m:t>o</m:t>
              </m:r>
              <m:r>
                <m:rPr>
                  <m:sty m:val="p"/>
                </m:rPr>
                <m:t>m</m:t>
              </m:r>
              <m:r>
                <m:rPr>
                  <m:sty m:val="p"/>
                </m:rPr>
                <m:t>m</m:t>
              </m:r>
              <m:r>
                <m:rPr>
                  <m:sty m:val="p"/>
                </m:rPr>
                <m:t>e</m:t>
              </m:r>
              <m:r>
                <m:rPr>
                  <m:sty m:val="p"/>
                </m:rPr>
                <m:t>r</m:t>
              </m:r>
              <m:r>
                <m:rPr>
                  <m:sty m:val="p"/>
                </m:rPr>
                <m:t>,</m:t>
              </m:r>
              <m:r>
                <m:rPr>
                  <m:sty m:val="p"/>
                </m:rPr>
                <m:t>W</m:t>
              </m:r>
              <m:r>
                <m:rPr>
                  <m:sty m:val="p"/>
                </m:rPr>
                <m:t>i</m:t>
              </m:r>
              <m:r>
                <m:rPr>
                  <m:sty m:val="p"/>
                </m:rPr>
                <m:t>n</m:t>
              </m:r>
              <m:r>
                <m:rPr>
                  <m:sty m:val="p"/>
                </m:rPr>
                <m:t>t</m:t>
              </m:r>
              <m:r>
                <m:rPr>
                  <m:sty m:val="p"/>
                </m:rPr>
                <m:t>e</m:t>
              </m:r>
              <m:r>
                <m:rPr>
                  <m:sty m:val="p"/>
                </m:rPr>
                <m:t>r</m:t>
              </m:r>
              <m:r>
                <m:rPr>
                  <m:sty m:val="p"/>
                </m:rPr>
                <m:t>}</m:t>
              </m:r>
              <m:r>
                <m:rPr>
                  <m:sty m:val="p"/>
                </m:rPr>
                <m:t>,</m:t>
              </m:r>
              <m:r>
                <m:t> </m:t>
              </m:r>
              <m:r>
                <m:t>d</m:t>
              </m:r>
              <m:r>
                <m:rPr>
                  <m:sty m:val="p"/>
                </m:rPr>
                <m:t>∈</m:t>
              </m:r>
              <m:r>
                <m:rPr>
                  <m:sty m:val="p"/>
                </m:rPr>
                <m:t>{</m:t>
              </m:r>
              <m:r>
                <m:rPr>
                  <m:sty m:val="p"/>
                </m:rPr>
                <m:t>+</m:t>
              </m:r>
              <m:r>
                <m:rPr>
                  <m:sty m:val="p"/>
                </m:rPr>
                <m:t>,</m:t>
              </m:r>
              <m:r>
                <m:rPr>
                  <m:sty m:val="p"/>
                </m:rPr>
                <m:t>−</m:t>
              </m:r>
              <m:r>
                <m:rPr>
                  <m:sty m:val="p"/>
                </m:rPr>
                <m:t>}</m:t>
              </m:r>
            </m:sub>
          </m:sSub>
          <m:r>
            <m:rPr>
              <m:sty m:val="p"/>
            </m:rPr>
            <m:t>.</m:t>
          </m:r>
        </m:oMath>
      </m:oMathPara>
      <w:r>
        <w:rPr>
          <w:color w:val="374151"/>
          <w:sz w:val="18"/>
        </w:rPr>
        <w:tab/>
        <w:t>(26)</w:t>
      </w:r>
    </w:p>
    <w:p>
      <w:pPr>
        <w:pStyle w:val="FirstParagraph"/>
      </w:pPr>
      <w:r>
        <w:t xml:space="preserve">Der Text verwendet „direct“ und „indirect“ beziehungsweise beide Transport-Richtungen; das Vorzeichen in (26) ist lediglich eine formal festgelegte Orientierung. Die saisonalen Definitionen und die Details physikalischer thermischer Grenzwerte sind nicht in einer vollständigen Datenschnittstelle spezifiziert. [U]</w:t>
      </w:r>
    </w:p>
    <w:bookmarkEnd w:id="56"/>
    <w:bookmarkStart w:id="57" w:name="lodf-abbildung-eines-einzelausfalls-r"/>
    <w:p>
      <w:pPr>
        <w:pStyle w:val="Heading2"/>
      </w:pPr>
      <w:r>
        <w:t xml:space="preserve">8.2 LODF-Abbildung eines Einzelausfalls [R]</w:t>
      </w:r>
    </w:p>
    <w:p>
      <w:pPr>
        <w:pStyle w:val="FirstParagraph"/>
      </w:pPr>
      <w:r>
        <w:t xml:space="preserve">Für eine intakte Leitung</w:t>
      </w:r>
      <w:r>
        <w:t xml:space="preserve"> </w:t>
      </w:r>
      <m:oMath>
        <m:r>
          <m:rPr>
            <m:sty m:val="p"/>
          </m:rPr>
          <m:t>ℓ</m:t>
        </m:r>
        <m:r>
          <m:rPr>
            <m:sty m:val="p"/>
          </m:rPr>
          <m:t>≠</m:t>
        </m:r>
        <m:r>
          <m:t>o</m:t>
        </m:r>
      </m:oMath>
      <w:r>
        <w:t xml:space="preserve"> </w:t>
      </w:r>
      <w:r>
        <w:t xml:space="preserve">und den Ausfall</w:t>
      </w:r>
      <w:r>
        <w:t xml:space="preserve"> </w:t>
      </w:r>
      <m:oMath>
        <m:r>
          <m:t>o</m:t>
        </m:r>
      </m:oMath>
      <w:r>
        <w:t xml:space="preserve"> </w:t>
      </w:r>
      <w:r>
        <w:t xml:space="preserve">lautet die übliche lineare Abbildung [R]:</w:t>
      </w:r>
    </w:p>
    <w:p>
      <w:pPr>
        <w:pStyle w:val="BodyText"/>
        <w:tabs>
          <w:tab w:pos="8856" w:val="right"/>
        </w:tabs>
      </w:pPr>
      <m:oMathPara>
        <m:oMathParaPr>
          <m:jc m:val="center"/>
        </m:oMathParaPr>
        <m:oMath>
          <m:sSubSup>
            <m:e>
              <m:r>
                <m:t>f</m:t>
              </m:r>
            </m:e>
            <m:sub>
              <m:r>
                <m:rPr>
                  <m:sty m:val="p"/>
                </m:rPr>
                <m:t>ℓ</m:t>
              </m:r>
              <m:r>
                <m:rPr>
                  <m:sty m:val="p"/>
                </m:rPr>
                <m:t>,</m:t>
              </m:r>
              <m:r>
                <m:t>t</m:t>
              </m:r>
            </m:sub>
            <m:sup>
              <m:d>
                <m:dPr>
                  <m:begChr m:val="("/>
                  <m:endChr m:val=")"/>
                  <m:sepChr m:val=""/>
                  <m:grow/>
                </m:dPr>
                <m:e>
                  <m:r>
                    <m:t>o</m:t>
                  </m:r>
                </m:e>
              </m:d>
            </m:sup>
          </m:sSubSup>
          <m:r>
            <m:rPr>
              <m:sty m:val="p"/>
            </m:rPr>
            <m:t>≈</m:t>
          </m:r>
          <m:sSubSup>
            <m:e>
              <m:r>
                <m:t>f</m:t>
              </m:r>
            </m:e>
            <m:sub>
              <m:r>
                <m:rPr>
                  <m:sty m:val="p"/>
                </m:rPr>
                <m:t>ℓ</m:t>
              </m:r>
              <m:r>
                <m:rPr>
                  <m:sty m:val="p"/>
                </m:rPr>
                <m:t>,</m:t>
              </m:r>
              <m:r>
                <m:t>t</m:t>
              </m:r>
            </m:sub>
            <m:sup>
              <m:r>
                <m:rPr>
                  <m:sty m:val="p"/>
                </m:rPr>
                <m:t>d</m:t>
              </m:r>
            </m:sup>
          </m:sSubSup>
          <m:r>
            <m:rPr>
              <m:sty m:val="p"/>
            </m:rPr>
            <m:t>+</m:t>
          </m:r>
          <m:sSub>
            <m:e>
              <m:r>
                <m:rPr>
                  <m:sty m:val="p"/>
                </m:rPr>
                <m:t>LODF</m:t>
              </m:r>
            </m:e>
            <m:sub>
              <m:r>
                <m:rPr>
                  <m:sty m:val="p"/>
                </m:rPr>
                <m:t>ℓ</m:t>
              </m:r>
              <m:r>
                <m:t>o</m:t>
              </m:r>
            </m:sub>
          </m:sSub>
          <m:sSubSup>
            <m:e>
              <m:r>
                <m:t>f</m:t>
              </m:r>
            </m:e>
            <m:sub>
              <m:r>
                <m:t>o</m:t>
              </m:r>
              <m:r>
                <m:rPr>
                  <m:sty m:val="p"/>
                </m:rPr>
                <m:t>,</m:t>
              </m:r>
              <m:r>
                <m:t>t</m:t>
              </m:r>
            </m:sub>
            <m:sup>
              <m:r>
                <m:rPr>
                  <m:sty m:val="p"/>
                </m:rPr>
                <m:t>d</m:t>
              </m:r>
            </m:sup>
          </m:sSubSup>
          <m:r>
            <m:rPr>
              <m:sty m:val="p"/>
            </m:rPr>
            <m:t>.</m:t>
          </m:r>
        </m:oMath>
      </m:oMathPara>
      <w:r>
        <w:rPr>
          <w:color w:val="374151"/>
          <w:sz w:val="18"/>
        </w:rPr>
        <w:tab/>
        <w:t>(27)</w:t>
      </w:r>
    </w:p>
    <w:p>
      <w:pPr>
        <w:pStyle w:val="FirstParagraph"/>
      </w:pPr>
      <w:r>
        <w:t xml:space="preserve">Der Ausfallzweig</w:t>
      </w:r>
      <w:r>
        <w:t xml:space="preserve"> </w:t>
      </w:r>
      <m:oMath>
        <m:r>
          <m:t>o</m:t>
        </m:r>
      </m:oMath>
      <w:r>
        <w:t xml:space="preserve"> </w:t>
      </w:r>
      <w:r>
        <w:t xml:space="preserve">selbst wird nach dem Ausfall nicht als verbleibender Strompfad bewertet. Die Berechnung von</w:t>
      </w:r>
      <w:r>
        <w:t xml:space="preserve"> </w:t>
      </w:r>
      <m:oMath>
        <m:sSub>
          <m:e>
            <m:r>
              <m:rPr>
                <m:sty m:val="p"/>
              </m:rPr>
              <m:t>LODF</m:t>
            </m:r>
          </m:e>
          <m:sub>
            <m:r>
              <m:rPr>
                <m:sty m:val="p"/>
              </m:rPr>
              <m:t>ℓ</m:t>
            </m:r>
            <m:r>
              <m:t>o</m:t>
            </m:r>
          </m:sub>
        </m:sSub>
      </m:oMath>
      <w:r>
        <w:t xml:space="preserve"> </w:t>
      </w:r>
      <w:r>
        <w:t xml:space="preserve">setzt eine definierte Referenztopologie voraus; sogenannte Inselungsfälle benötigen eine Sonderbehandlung. [E] Die ENTSO-E-Quelle nennt LODFs als Methode, spezifiziert aber weder alle Kontingenzen noch deren numerische Auswahlregeln. [U]</w:t>
      </w:r>
    </w:p>
    <w:p>
      <w:pPr>
        <w:pStyle w:val="BodyText"/>
      </w:pPr>
      <w:r>
        <w:t xml:space="preserve">Für ein physikalisches Leitungsbündel</w:t>
      </w:r>
      <w:r>
        <w:t xml:space="preserve"> </w:t>
      </w:r>
      <m:oMath>
        <m:sSub>
          <m:e>
            <m:r>
              <m:t>E</m:t>
            </m:r>
          </m:e>
          <m:sub>
            <m:r>
              <m:t>e</m:t>
            </m:r>
          </m:sub>
        </m:sSub>
        <m:r>
          <m:rPr>
            <m:sty m:val="p"/>
          </m:rPr>
          <m:t>⊂</m:t>
        </m:r>
        <m:sSup>
          <m:e>
            <m:r>
              <m:t>E</m:t>
            </m:r>
          </m:e>
          <m:sup>
            <m:r>
              <m:rPr>
                <m:sty m:val="p"/>
              </m:rPr>
              <m:t>d</m:t>
            </m:r>
          </m:sup>
        </m:sSup>
      </m:oMath>
      <w:r>
        <w:t xml:space="preserve"> </w:t>
      </w:r>
      <w:r>
        <w:t xml:space="preserve">der reduzierten Verbindung</w:t>
      </w:r>
      <w:r>
        <w:t xml:space="preserve"> </w:t>
      </w:r>
      <m:oMath>
        <m:r>
          <m:t>e</m:t>
        </m:r>
      </m:oMath>
      <w:r>
        <w:t xml:space="preserve"> </w:t>
      </w:r>
      <w:r>
        <w:t xml:space="preserve">lässt sich die maximale verbleibende N-1-Auslastung schematisch darstellen als</w:t>
      </w:r>
    </w:p>
    <w:p>
      <w:pPr>
        <w:pStyle w:val="BodyText"/>
        <w:tabs>
          <w:tab w:pos="8856" w:val="right"/>
        </w:tabs>
      </w:pPr>
      <m:oMathPara>
        <m:oMathParaPr>
          <m:jc m:val="center"/>
        </m:oMathParaPr>
        <m:oMath>
          <m:sSubSup>
            <m:e>
              <m:r>
                <m:t>ρ</m:t>
              </m:r>
            </m:e>
            <m:sub>
              <m:r>
                <m:t>e</m:t>
              </m:r>
              <m:r>
                <m:rPr>
                  <m:sty m:val="p"/>
                </m:rPr>
                <m:t>,</m:t>
              </m:r>
              <m:r>
                <m:t>t</m:t>
              </m:r>
            </m:sub>
            <m:sup>
              <m:r>
                <m:t>N</m:t>
              </m:r>
              <m:r>
                <m:rPr>
                  <m:sty m:val="p"/>
                </m:rPr>
                <m:t>−</m:t>
              </m:r>
              <m:r>
                <m:t>1</m:t>
              </m:r>
            </m:sup>
          </m:sSubSup>
          <m:r>
            <m:rPr>
              <m:sty m:val="p"/>
            </m:rPr>
            <m:t>=</m:t>
          </m:r>
          <m:limLow>
            <m:e>
              <m:r>
                <m:rPr>
                  <m:sty m:val="p"/>
                </m:rPr>
                <m:t>max</m:t>
              </m:r>
            </m:e>
            <m:lim>
              <m:m>
                <m:mPr>
                  <m:baseJc m:val="center"/>
                  <m:plcHide m:val="on"/>
                  <m:mcs>
                    <m:mc>
                      <m:mcPr>
                        <m:mcJc m:val="center"/>
                        <m:count m:val="1"/>
                      </m:mcPr>
                    </m:mc>
                  </m:mcs>
                </m:mPr>
                <m:mr>
                  <m:e>
                    <m:r>
                      <m:rPr>
                        <m:sty m:val="p"/>
                      </m:rPr>
                      <m:t>ℓ</m:t>
                    </m:r>
                    <m:r>
                      <m:rPr>
                        <m:sty m:val="p"/>
                      </m:rPr>
                      <m:t>∈</m:t>
                    </m:r>
                    <m:sSub>
                      <m:e>
                        <m:r>
                          <m:t>E</m:t>
                        </m:r>
                      </m:e>
                      <m:sub>
                        <m:r>
                          <m:t>e</m:t>
                        </m:r>
                      </m:sub>
                    </m:sSub>
                    <m:r>
                      <m:rPr>
                        <m:sty m:val="p"/>
                      </m:rPr>
                      <m:t>,</m:t>
                    </m:r>
                    <m:r>
                      <m:t> </m:t>
                    </m:r>
                    <m:r>
                      <m:t>o</m:t>
                    </m:r>
                    <m:r>
                      <m:rPr>
                        <m:sty m:val="p"/>
                      </m:rPr>
                      <m:t>∈</m:t>
                    </m:r>
                    <m:sSub>
                      <m:e>
                        <m:r>
                          <m:rPr>
                            <m:sty m:val="p"/>
                            <m:scr m:val="script"/>
                          </m:rPr>
                          <m:t>O</m:t>
                        </m:r>
                      </m:e>
                      <m:sub>
                        <m:r>
                          <m:t>e</m:t>
                        </m:r>
                      </m:sub>
                    </m:sSub>
                  </m:e>
                </m:mr>
                <m:mr>
                  <m:e>
                    <m:r>
                      <m:rPr>
                        <m:sty m:val="p"/>
                      </m:rPr>
                      <m:t>ℓ</m:t>
                    </m:r>
                    <m:r>
                      <m:rPr>
                        <m:sty m:val="p"/>
                      </m:rPr>
                      <m:t>≠</m:t>
                    </m:r>
                    <m:r>
                      <m:t>o</m:t>
                    </m:r>
                  </m:e>
                </m:mr>
              </m:m>
            </m:lim>
          </m:limLow>
          <m:f>
            <m:fPr>
              <m:type m:val="bar"/>
            </m:fPr>
            <m:num>
              <m:d>
                <m:dPr>
                  <m:begChr m:val="|"/>
                  <m:endChr m:val="|"/>
                  <m:sepChr m:val=""/>
                  <m:grow/>
                </m:dPr>
                <m:e>
                  <m:sSubSup>
                    <m:e>
                      <m:r>
                        <m:t>f</m:t>
                      </m:r>
                    </m:e>
                    <m:sub>
                      <m:r>
                        <m:rPr>
                          <m:sty m:val="p"/>
                        </m:rPr>
                        <m:t>ℓ</m:t>
                      </m:r>
                      <m:r>
                        <m:rPr>
                          <m:sty m:val="p"/>
                        </m:rPr>
                        <m:t>,</m:t>
                      </m:r>
                      <m:r>
                        <m:t>t</m:t>
                      </m:r>
                    </m:sub>
                    <m:sup>
                      <m:d>
                        <m:dPr>
                          <m:begChr m:val="("/>
                          <m:endChr m:val=")"/>
                          <m:sepChr m:val=""/>
                          <m:grow/>
                        </m:dPr>
                        <m:e>
                          <m:r>
                            <m:t>o</m:t>
                          </m:r>
                        </m:e>
                      </m:d>
                    </m:sup>
                  </m:sSubSup>
                </m:e>
              </m:d>
            </m:num>
            <m:den>
              <m:sSub>
                <m:e>
                  <m:bar>
                    <m:barPr>
                      <m:pos m:val="top"/>
                    </m:barPr>
                    <m:e>
                      <m:r>
                        <m:t>F</m:t>
                      </m:r>
                    </m:e>
                  </m:bar>
                </m:e>
                <m:sub>
                  <m:r>
                    <m:rPr>
                      <m:sty m:val="p"/>
                    </m:rPr>
                    <m:t>ℓ</m:t>
                  </m:r>
                  <m:r>
                    <m:rPr>
                      <m:sty m:val="p"/>
                    </m:rPr>
                    <m:t>,</m:t>
                  </m:r>
                  <m:r>
                    <m:t>σ</m:t>
                  </m:r>
                  <m:d>
                    <m:dPr>
                      <m:begChr m:val="("/>
                      <m:endChr m:val=")"/>
                      <m:sepChr m:val=""/>
                      <m:grow/>
                    </m:dPr>
                    <m:e>
                      <m:r>
                        <m:t>t</m:t>
                      </m:r>
                    </m:e>
                  </m:d>
                </m:sub>
              </m:sSub>
            </m:den>
          </m:f>
          <m:r>
            <m:rPr>
              <m:sty m:val="p"/>
            </m:rPr>
            <m:t>.</m:t>
          </m:r>
        </m:oMath>
      </m:oMathPara>
      <w:r>
        <w:rPr>
          <w:color w:val="374151"/>
          <w:sz w:val="18"/>
        </w:rPr>
        <w:tab/>
        <w:t>(28)</w:t>
      </w:r>
    </w:p>
    <w:p>
      <w:pPr>
        <w:pStyle w:val="FirstParagraph"/>
      </w:pPr>
      <w:r>
        <w:t xml:space="preserve">Diese mathematische Konstruktion entspricht dem beschriebenen Konzept „höchste Belastung eines betroffenen Stromkreises unter N-1“, ist aber</w:t>
      </w:r>
      <w:r>
        <w:t xml:space="preserve"> </w:t>
      </w:r>
      <w:r>
        <w:rPr>
          <w:b/>
          <w:bCs/>
        </w:rPr>
        <w:t xml:space="preserve">keine</w:t>
      </w:r>
      <w:r>
        <w:t xml:space="preserve"> </w:t>
      </w:r>
      <w:r>
        <w:t xml:space="preserve">veröffentlichte vollständige Festlegung der Menge</w:t>
      </w:r>
      <w:r>
        <w:t xml:space="preserve"> </w:t>
      </w:r>
      <m:oMath>
        <m:sSub>
          <m:e>
            <m:r>
              <m:rPr>
                <m:sty m:val="p"/>
                <m:scr m:val="script"/>
              </m:rPr>
              <m:t>O</m:t>
            </m:r>
          </m:e>
          <m:sub>
            <m:r>
              <m:t>e</m:t>
            </m:r>
          </m:sub>
        </m:sSub>
      </m:oMath>
      <w:r>
        <w:t xml:space="preserve">. Genau diese Menge kann auch sogenannte</w:t>
      </w:r>
      <w:r>
        <w:t xml:space="preserve"> </w:t>
      </w:r>
      <w:r>
        <w:rPr>
          <w:i/>
          <w:iCs/>
        </w:rPr>
        <w:t xml:space="preserve">critical branch–critical outage</w:t>
      </w:r>
      <w:r>
        <w:t xml:space="preserve">-Paare (CBCO) und betriebliche Ausschlüsse reflektieren. [Q1, S. 47]</w:t>
      </w:r>
    </w:p>
    <w:bookmarkEnd w:id="57"/>
    <w:bookmarkStart w:id="58" w:name="X1148a09b815826813a1117ae2711a49671cc17c"/>
    <w:p>
      <w:pPr>
        <w:pStyle w:val="Heading2"/>
      </w:pPr>
      <w:r>
        <w:t xml:space="preserve">8.3 Zusammenhang zwischen Zonengrenzfluss und Sicherheitsauslastung [D/R]</w:t>
      </w:r>
    </w:p>
    <w:p>
      <w:pPr>
        <w:pStyle w:val="FirstParagraph"/>
      </w:pPr>
      <w:r>
        <w:t xml:space="preserve">Für jede Stunde wird der physikalisch aggregierte Grenzfluss</w:t>
      </w:r>
    </w:p>
    <w:p>
      <w:pPr>
        <w:pStyle w:val="BodyText"/>
        <w:tabs>
          <w:tab w:pos="8856" w:val="right"/>
        </w:tabs>
      </w:pPr>
      <m:oMathPara>
        <m:oMathParaPr>
          <m:jc m:val="center"/>
        </m:oMathParaPr>
        <m:oMath>
          <m:sSub>
            <m:e>
              <m:r>
                <m:t>q</m:t>
              </m:r>
            </m:e>
            <m:sub>
              <m:r>
                <m:t>e</m:t>
              </m:r>
              <m:r>
                <m:rPr>
                  <m:sty m:val="p"/>
                </m:rPr>
                <m:t>,</m:t>
              </m:r>
              <m:r>
                <m:t>t</m:t>
              </m:r>
            </m:sub>
          </m:sSub>
          <m:r>
            <m:rPr>
              <m:sty m:val="p"/>
            </m:rPr>
            <m:t>=</m:t>
          </m:r>
          <m:d>
            <m:dPr>
              <m:begChr m:val="|"/>
              <m:endChr m:val="|"/>
              <m:sepChr m:val=""/>
              <m:grow/>
            </m:dPr>
            <m:e>
              <m:nary>
                <m:naryPr>
                  <m:chr m:val="∑"/>
                  <m:limLoc m:val="undOvr"/>
                  <m:subHide m:val="off"/>
                  <m:supHide m:val="on"/>
                </m:naryPr>
                <m:sub>
                  <m:r>
                    <m:rPr>
                      <m:sty m:val="p"/>
                    </m:rPr>
                    <m:t>ℓ</m:t>
                  </m:r>
                  <m:r>
                    <m:rPr>
                      <m:sty m:val="p"/>
                    </m:rPr>
                    <m:t>∈</m:t>
                  </m:r>
                  <m:sSub>
                    <m:e>
                      <m:r>
                        <m:t>E</m:t>
                      </m:r>
                    </m:e>
                    <m:sub>
                      <m:r>
                        <m:t>e</m:t>
                      </m:r>
                    </m:sub>
                  </m:sSub>
                </m:sub>
                <m:sup>
                  <m:r>
                    <m:t>​</m:t>
                  </m:r>
                </m:sup>
                <m:e>
                  <m:sSub>
                    <m:e>
                      <m:r>
                        <m:t>γ</m:t>
                      </m:r>
                    </m:e>
                    <m:sub>
                      <m:r>
                        <m:t>e</m:t>
                      </m:r>
                      <m:r>
                        <m:rPr>
                          <m:sty m:val="p"/>
                        </m:rPr>
                        <m:t>ℓ</m:t>
                      </m:r>
                    </m:sub>
                  </m:sSub>
                </m:e>
              </m:nary>
              <m:sSubSup>
                <m:e>
                  <m:r>
                    <m:t>f</m:t>
                  </m:r>
                </m:e>
                <m:sub>
                  <m:r>
                    <m:rPr>
                      <m:sty m:val="p"/>
                    </m:rPr>
                    <m:t>ℓ</m:t>
                  </m:r>
                  <m:r>
                    <m:rPr>
                      <m:sty m:val="p"/>
                    </m:rPr>
                    <m:t>,</m:t>
                  </m:r>
                  <m:r>
                    <m:t>t</m:t>
                  </m:r>
                </m:sub>
                <m:sup>
                  <m:r>
                    <m:rPr>
                      <m:sty m:val="p"/>
                    </m:rPr>
                    <m:t>d</m:t>
                  </m:r>
                </m:sup>
              </m:sSubSup>
            </m:e>
          </m:d>
          <m:r>
            <m:rPr>
              <m:sty m:val="p"/>
            </m:rPr>
            <m:t>=</m:t>
          </m:r>
          <m:d>
            <m:dPr>
              <m:begChr m:val="|"/>
              <m:endChr m:val="|"/>
              <m:sepChr m:val=""/>
              <m:grow/>
            </m:dPr>
            <m:e>
              <m:sSubSup>
                <m:e>
                  <m:r>
                    <m:t>f</m:t>
                  </m:r>
                </m:e>
                <m:sub>
                  <m:r>
                    <m:t>e</m:t>
                  </m:r>
                  <m:r>
                    <m:rPr>
                      <m:sty m:val="p"/>
                    </m:rPr>
                    <m:t>,</m:t>
                  </m:r>
                  <m:r>
                    <m:t>t</m:t>
                  </m:r>
                </m:sub>
                <m:sup>
                  <m:r>
                    <m:rPr>
                      <m:sty m:val="p"/>
                    </m:rPr>
                    <m:t>⋆</m:t>
                  </m:r>
                </m:sup>
              </m:sSubSup>
            </m:e>
          </m:d>
        </m:oMath>
      </m:oMathPara>
      <w:r>
        <w:rPr>
          <w:color w:val="374151"/>
          <w:sz w:val="18"/>
        </w:rPr>
        <w:tab/>
        <w:t>(29)</w:t>
      </w:r>
    </w:p>
    <w:p>
      <w:pPr>
        <w:pStyle w:val="FirstParagraph"/>
      </w:pPr>
      <w:r>
        <w:t xml:space="preserve">mit der höchsten N-1-Belastung aus (28) gekoppelt. Die resultierenden Datenpaare</w:t>
      </w:r>
      <w:r>
        <w:t xml:space="preserve"> </w:t>
      </w:r>
      <m:oMath>
        <m:d>
          <m:dPr>
            <m:begChr m:val="("/>
            <m:endChr m:val=")"/>
            <m:sepChr m:val=""/>
            <m:grow/>
          </m:dPr>
          <m:e>
            <m:sSub>
              <m:e>
                <m:r>
                  <m:t>q</m:t>
                </m:r>
              </m:e>
              <m:sub>
                <m:r>
                  <m:t>e</m:t>
                </m:r>
                <m:r>
                  <m:rPr>
                    <m:sty m:val="p"/>
                  </m:rPr>
                  <m:t>,</m:t>
                </m:r>
                <m:r>
                  <m:t>t</m:t>
                </m:r>
              </m:sub>
            </m:sSub>
            <m:r>
              <m:rPr>
                <m:sty m:val="p"/>
              </m:rPr>
              <m:t>,</m:t>
            </m:r>
            <m:sSubSup>
              <m:e>
                <m:r>
                  <m:t>ρ</m:t>
                </m:r>
              </m:e>
              <m:sub>
                <m:r>
                  <m:t>e</m:t>
                </m:r>
                <m:r>
                  <m:rPr>
                    <m:sty m:val="p"/>
                  </m:rPr>
                  <m:t>,</m:t>
                </m:r>
                <m:r>
                  <m:t>t</m:t>
                </m:r>
              </m:sub>
              <m:sup>
                <m:r>
                  <m:t>N</m:t>
                </m:r>
                <m:r>
                  <m:rPr>
                    <m:sty m:val="p"/>
                  </m:rPr>
                  <m:t>−</m:t>
                </m:r>
                <m:r>
                  <m:t>1</m:t>
                </m:r>
              </m:sup>
            </m:sSubSup>
          </m:e>
        </m:d>
      </m:oMath>
      <w:r>
        <w:t xml:space="preserve"> </w:t>
      </w:r>
      <w:r>
        <w:t xml:space="preserve">werden nach</w:t>
      </w:r>
      <w:r>
        <w:t xml:space="preserve"> </w:t>
      </w:r>
      <w:r>
        <w:rPr>
          <w:b/>
          <w:bCs/>
        </w:rPr>
        <w:t xml:space="preserve">Sommer/Winter</w:t>
      </w:r>
      <w:r>
        <w:t xml:space="preserve"> </w:t>
      </w:r>
      <w:r>
        <w:t xml:space="preserve">und</w:t>
      </w:r>
      <w:r>
        <w:t xml:space="preserve"> </w:t>
      </w:r>
      <w:r>
        <w:rPr>
          <w:b/>
          <w:bCs/>
        </w:rPr>
        <w:t xml:space="preserve">Flussrichtung</w:t>
      </w:r>
      <w:r>
        <w:t xml:space="preserve"> </w:t>
      </w:r>
      <w:r>
        <w:t xml:space="preserve">getrennt und auf ausreichende Datendichte</w:t>
      </w:r>
      <w:r>
        <w:t xml:space="preserve"> </w:t>
      </w:r>
      <w:r>
        <w:rPr>
          <w:b/>
          <w:bCs/>
        </w:rPr>
        <w:t xml:space="preserve">um 100 %</w:t>
      </w:r>
      <w:r>
        <w:t xml:space="preserve"> </w:t>
      </w:r>
      <w:r>
        <w:t xml:space="preserve">geprüft. Die äquivalente Kapazität ist der Gesamtfluss am Schnittpunkt mit der Belastung</w:t>
      </w:r>
      <w:r>
        <w:t xml:space="preserve"> </w:t>
      </w:r>
      <m:oMath>
        <m:r>
          <m:t>ρ</m:t>
        </m:r>
        <m:r>
          <m:rPr>
            <m:sty m:val="p"/>
          </m:rPr>
          <m:t>=</m:t>
        </m:r>
        <m:r>
          <m:t>1</m:t>
        </m:r>
      </m:oMath>
      <w:r>
        <w:t xml:space="preserve">. [Q1, S. 50]</w:t>
      </w:r>
    </w:p>
    <w:p>
      <w:pPr>
        <w:pStyle w:val="BodyText"/>
      </w:pPr>
      <w:r>
        <w:t xml:space="preserve">Ohne eine nicht veröffentlichte Vorschrift zu erfinden, lässt sich die Datenkalibrierung allgemein als Schätzfunktion</w:t>
      </w:r>
      <w:r>
        <w:t xml:space="preserve"> </w:t>
      </w:r>
      <m:oMath>
        <m:sSub>
          <m:e>
            <m:acc>
              <m:accPr>
                <m:chr m:val="̂"/>
              </m:accPr>
              <m:e>
                <m:r>
                  <m:t>h</m:t>
                </m:r>
              </m:e>
            </m:acc>
          </m:e>
          <m:sub>
            <m:r>
              <m:t>e</m:t>
            </m:r>
            <m:r>
              <m:rPr>
                <m:sty m:val="p"/>
              </m:rPr>
              <m:t>,</m:t>
            </m:r>
            <m:r>
              <m:t>σ</m:t>
            </m:r>
            <m:r>
              <m:rPr>
                <m:sty m:val="p"/>
              </m:rPr>
              <m:t>,</m:t>
            </m:r>
            <m:r>
              <m:t>d</m:t>
            </m:r>
          </m:sub>
        </m:sSub>
        <m:d>
          <m:dPr>
            <m:begChr m:val="("/>
            <m:endChr m:val=")"/>
            <m:sepChr m:val=""/>
            <m:grow/>
          </m:dPr>
          <m:e>
            <m:r>
              <m:t>q</m:t>
            </m:r>
          </m:e>
        </m:d>
      </m:oMath>
      <w:r>
        <w:t xml:space="preserve"> </w:t>
      </w:r>
      <w:r>
        <w:t xml:space="preserve">notieren:</w:t>
      </w:r>
    </w:p>
    <w:p>
      <w:pPr>
        <w:pStyle w:val="BodyText"/>
        <w:tabs>
          <w:tab w:pos="8856" w:val="right"/>
        </w:tabs>
      </w:pPr>
      <m:oMathPara>
        <m:oMathParaPr>
          <m:jc m:val="center"/>
        </m:oMathParaPr>
        <m:oMath>
          <m:borderBox>
            <m:e>
              <m:sSub>
                <m:e>
                  <m:acc>
                    <m:accPr>
                      <m:chr m:val="̂"/>
                    </m:accPr>
                    <m:e>
                      <m:r>
                        <m:t>h</m:t>
                      </m:r>
                    </m:e>
                  </m:acc>
                </m:e>
                <m:sub>
                  <m:r>
                    <m:t>e</m:t>
                  </m:r>
                  <m:r>
                    <m:rPr>
                      <m:sty m:val="p"/>
                    </m:rPr>
                    <m:t>,</m:t>
                  </m:r>
                  <m:r>
                    <m:t>σ</m:t>
                  </m:r>
                  <m:r>
                    <m:rPr>
                      <m:sty m:val="p"/>
                    </m:rPr>
                    <m:t>,</m:t>
                  </m:r>
                  <m:r>
                    <m:t>d</m:t>
                  </m:r>
                </m:sub>
              </m:sSub>
              <m:d>
                <m:dPr>
                  <m:begChr m:val="("/>
                  <m:endChr m:val=")"/>
                  <m:sepChr m:val=""/>
                  <m:grow/>
                </m:dPr>
                <m:e>
                  <m:sSub>
                    <m:e>
                      <m:r>
                        <m:t>K</m:t>
                      </m:r>
                    </m:e>
                    <m:sub>
                      <m:r>
                        <m:t>e</m:t>
                      </m:r>
                      <m:r>
                        <m:rPr>
                          <m:sty m:val="p"/>
                        </m:rPr>
                        <m:t>,</m:t>
                      </m:r>
                      <m:r>
                        <m:t>σ</m:t>
                      </m:r>
                      <m:r>
                        <m:rPr>
                          <m:sty m:val="p"/>
                        </m:rPr>
                        <m:t>,</m:t>
                      </m:r>
                      <m:r>
                        <m:t>d</m:t>
                      </m:r>
                    </m:sub>
                  </m:sSub>
                </m:e>
              </m:d>
              <m:r>
                <m:rPr>
                  <m:sty m:val="p"/>
                </m:rPr>
                <m:t>=</m:t>
              </m:r>
              <m:r>
                <m:t>1</m:t>
              </m:r>
              <m:r>
                <m:rPr>
                  <m:sty m:val="p"/>
                </m:rPr>
                <m:t>.</m:t>
              </m:r>
            </m:e>
          </m:borderBox>
        </m:oMath>
      </m:oMathPara>
      <w:r>
        <w:rPr>
          <w:color w:val="374151"/>
          <w:sz w:val="18"/>
        </w:rPr>
        <w:tab/>
        <w:t>(30)</w:t>
      </w:r>
    </w:p>
    <w:p>
      <w:pPr>
        <w:pStyle w:val="FirstParagraph"/>
      </w:pPr>
      <w:r>
        <w:rPr>
          <w:b/>
          <w:bCs/>
        </w:rPr>
        <w:t xml:space="preserve">[U] Entscheidend:</w:t>
      </w:r>
      <w:r>
        <w:t xml:space="preserve"> </w:t>
      </w:r>
      <w:r>
        <w:t xml:space="preserve">Die Quelle gibt</w:t>
      </w:r>
      <w:r>
        <w:t xml:space="preserve"> </w:t>
      </w:r>
      <w:r>
        <w:rPr>
          <w:b/>
          <w:bCs/>
        </w:rPr>
        <w:t xml:space="preserve">keine allgemeine eindeutige Form von</w:t>
      </w:r>
      <w:r>
        <w:rPr>
          <w:b/>
          <w:bCs/>
        </w:rPr>
        <w:t xml:space="preserve"> </w:t>
      </w:r>
      <m:oMath>
        <m:acc>
          <m:accPr>
            <m:chr m:val="̂"/>
          </m:accPr>
          <m:e>
            <m:r>
              <m:t>h</m:t>
            </m:r>
          </m:e>
        </m:acc>
      </m:oMath>
      <w:r>
        <w:t xml:space="preserve"> </w:t>
      </w:r>
      <w:r>
        <w:t xml:space="preserve">an (Regressionstyp, Gewichtung, Intervall um 100 %, Umgang mit Ausreißern oder Gütemaß). Sie erwähnt lediglich, dass in einem</w:t>
      </w:r>
      <w:r>
        <w:t xml:space="preserve"> </w:t>
      </w:r>
      <w:r>
        <w:rPr>
          <w:b/>
          <w:bCs/>
        </w:rPr>
        <w:t xml:space="preserve">besonderen</w:t>
      </w:r>
      <w:r>
        <w:t xml:space="preserve"> </w:t>
      </w:r>
      <w:r>
        <w:t xml:space="preserve">Extremfall eine Gerade durch den Ursprung und den Mittelwert der Daten gelegt und bei 100 % geschnitten wird. Diese Sonderregel darf nicht auf alle Fälle verallgemeinert werden. [Q1, S. 51]</w:t>
      </w:r>
    </w:p>
    <w:bookmarkEnd w:id="58"/>
    <w:bookmarkStart w:id="59" w:name="veröffentlichte-sonderregeln-d"/>
    <w:p>
      <w:pPr>
        <w:pStyle w:val="Heading2"/>
      </w:pPr>
      <w:r>
        <w:t xml:space="preserve">8.4 Veröffentlichte Sonderregeln [D]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Beobachtung</w:t>
            </w:r>
          </w:p>
        </w:tc>
        <w:tc>
          <w:tcPr/>
          <w:p>
            <w:pPr>
              <w:pStyle w:val="Compact"/>
              <w:jc w:val="left"/>
            </w:pPr>
            <w:r>
              <w:t xml:space="preserve">In [Q1, S. 51] beschriebene Behandlung</w:t>
            </w:r>
          </w:p>
        </w:tc>
        <w:tc>
          <w:tcPr/>
          <w:p>
            <w:pPr>
              <w:pStyle w:val="Compact"/>
              <w:jc w:val="left"/>
            </w:pPr>
            <w:r>
              <w:t xml:space="preserve">Interpretation</w:t>
            </w:r>
          </w:p>
        </w:tc>
      </w:tr>
      <w:tr>
        <w:tc>
          <w:tcPr/>
          <w:p>
            <w:pPr>
              <w:pStyle w:val="Compact"/>
              <w:jc w:val="left"/>
            </w:pPr>
            <w:r>
              <w:t xml:space="preserve">In mehr als</w:t>
            </w:r>
            <w:r>
              <w:t xml:space="preserve"> </w:t>
            </w:r>
            <w:r>
              <w:rPr>
                <w:b/>
                <w:bCs/>
              </w:rPr>
              <w:t xml:space="preserve">99,5 %</w:t>
            </w:r>
            <w:r>
              <w:t xml:space="preserve"> </w:t>
            </w:r>
            <w:r>
              <w:t xml:space="preserve">der Stunden Fluss nur in einer Richtung</w:t>
            </w:r>
          </w:p>
        </w:tc>
        <w:tc>
          <w:tcPr/>
          <w:p>
            <w:pPr>
              <w:pStyle w:val="Compact"/>
              <w:jc w:val="left"/>
            </w:pPr>
            <w:r>
              <w:t xml:space="preserve">Für die unbeobachtete Gegenrichtung wird die Kapazität der dominanten Richtung übernommen.</w:t>
            </w:r>
          </w:p>
        </w:tc>
        <w:tc>
          <w:tcPr/>
          <w:p>
            <w:pPr>
              <w:pStyle w:val="Compact"/>
              <w:jc w:val="left"/>
            </w:pPr>
            <w:r>
              <w:t xml:space="preserve">Ersatzannahme, kein separat validierter Richtungswert</w:t>
            </w:r>
          </w:p>
        </w:tc>
      </w:tr>
      <w:tr>
        <w:tc>
          <w:tcPr/>
          <w:p>
            <w:pPr>
              <w:pStyle w:val="Compact"/>
              <w:jc w:val="left"/>
            </w:pPr>
            <w:r>
              <w:t xml:space="preserve">Zu wenige Datenpunkte mit Auslastung</w:t>
            </w:r>
            <w:r>
              <w:t xml:space="preserve"> </w:t>
            </w:r>
            <w:r>
              <w:rPr>
                <w:b/>
                <w:bCs/>
              </w:rPr>
              <w:t xml:space="preserve">&gt; 1 %</w:t>
            </w:r>
          </w:p>
        </w:tc>
        <w:tc>
          <w:tcPr/>
          <w:p>
            <w:pPr>
              <w:pStyle w:val="Compact"/>
              <w:jc w:val="left"/>
            </w:pPr>
            <w:r>
              <w:t xml:space="preserve">Es wird</w:t>
            </w:r>
            <w:r>
              <w:t xml:space="preserve"> </w:t>
            </w:r>
            <w:r>
              <w:rPr>
                <w:b/>
                <w:bCs/>
              </w:rPr>
              <w:t xml:space="preserve">kein</w:t>
            </w:r>
            <w:r>
              <w:t xml:space="preserve"> </w:t>
            </w:r>
            <w:r>
              <w:t xml:space="preserve">Kapazitätswert berechnet.</w:t>
            </w:r>
          </w:p>
        </w:tc>
        <w:tc>
          <w:tcPr/>
          <w:p>
            <w:pPr>
              <w:pStyle w:val="Compact"/>
              <w:jc w:val="left"/>
            </w:pPr>
            <w:r>
              <w:t xml:space="preserve">Unzureichende Informationslage</w:t>
            </w:r>
          </w:p>
        </w:tc>
      </w:tr>
      <w:tr>
        <w:tc>
          <w:tcPr/>
          <w:p>
            <w:pPr>
              <w:pStyle w:val="Compact"/>
              <w:jc w:val="left"/>
            </w:pPr>
            <w:r>
              <w:t xml:space="preserve">Mehr als</w:t>
            </w:r>
            <w:r>
              <w:t xml:space="preserve"> </w:t>
            </w:r>
            <w:r>
              <w:rPr>
                <w:b/>
                <w:bCs/>
              </w:rPr>
              <w:t xml:space="preserve">99,5 %</w:t>
            </w:r>
            <w:r>
              <w:t xml:space="preserve"> </w:t>
            </w:r>
            <w:r>
              <w:t xml:space="preserve">der Datenpunkte über</w:t>
            </w:r>
            <w:r>
              <w:t xml:space="preserve"> </w:t>
            </w:r>
            <w:r>
              <w:rPr>
                <w:b/>
                <w:bCs/>
              </w:rPr>
              <w:t xml:space="preserve">130 %</w:t>
            </w:r>
            <w:r>
              <w:t xml:space="preserve"> </w:t>
            </w:r>
            <w:r>
              <w:t xml:space="preserve">Auslastung</w:t>
            </w:r>
          </w:p>
        </w:tc>
        <w:tc>
          <w:tcPr/>
          <w:p>
            <w:pPr>
              <w:pStyle w:val="Compact"/>
              <w:jc w:val="left"/>
            </w:pPr>
            <w:r>
              <w:t xml:space="preserve">Gerade durch Ursprung und Datenmittelwert; Schnitt mit</w:t>
            </w:r>
            <w:r>
              <w:t xml:space="preserve"> </w:t>
            </w:r>
            <w:r>
              <w:rPr>
                <w:b/>
                <w:bCs/>
              </w:rPr>
              <w:t xml:space="preserve">100 %</w:t>
            </w:r>
            <w:r>
              <w:t xml:space="preserve">.</w:t>
            </w:r>
          </w:p>
        </w:tc>
        <w:tc>
          <w:tcPr/>
          <w:p>
            <w:pPr>
              <w:pStyle w:val="Compact"/>
              <w:jc w:val="left"/>
            </w:pPr>
            <w:r>
              <w:t xml:space="preserve">Nur expliziter Spezialfall</w:t>
            </w:r>
          </w:p>
        </w:tc>
      </w:tr>
      <w:tr>
        <w:tc>
          <w:tcPr/>
          <w:p>
            <w:pPr>
              <w:pStyle w:val="Compact"/>
              <w:jc w:val="left"/>
            </w:pPr>
            <w:r>
              <w:t xml:space="preserve">Starke Streuung, kein klarer Zusammenhang zwischen Gesamtfluss und kritischer Auslastung</w:t>
            </w:r>
          </w:p>
        </w:tc>
        <w:tc>
          <w:tcPr/>
          <w:p>
            <w:pPr>
              <w:pStyle w:val="Compact"/>
              <w:jc w:val="left"/>
            </w:pPr>
            <w:r>
              <w:t xml:space="preserve">Kapazität kann berechnet werden; Vorsicht bei Nutzung, ggf. Zonen neu zuschneiden oder zusätzliche Zonen bilden.</w:t>
            </w:r>
          </w:p>
        </w:tc>
        <w:tc>
          <w:tcPr/>
          <w:p>
            <w:pPr>
              <w:pStyle w:val="Compact"/>
              <w:jc w:val="left"/>
            </w:pPr>
            <w:r>
              <w:t xml:space="preserve">Schwache statistische Äquivalenz</w:t>
            </w:r>
          </w:p>
        </w:tc>
      </w:tr>
    </w:tbl>
    <w:p>
      <w:pPr>
        <w:pStyle w:val="BodyText"/>
      </w:pPr>
      <w:r>
        <w:t xml:space="preserve">Zudem erklärt der Anhang, dass bestimmte kritische Ausfälle, etwa 225-kV-Ausfälle oder durch netzbetreiberseitige topologische Maßnahmen beherrschte CBCOs, in Abhängigkeit von der betrachteten Qualität und Modellierbarkeit</w:t>
      </w:r>
      <w:r>
        <w:t xml:space="preserve"> </w:t>
      </w:r>
      <w:r>
        <w:rPr>
          <w:b/>
          <w:bCs/>
        </w:rPr>
        <w:t xml:space="preserve">nicht berücksichtigt</w:t>
      </w:r>
      <w:r>
        <w:t xml:space="preserve"> </w:t>
      </w:r>
      <w:r>
        <w:t xml:space="preserve">werden können. Dies ist eine dokumentierte methodische Freiheitsstelle; eine einheitliche veröffentlichte normative Ausschlussliste existiert im untersuchten Text nicht. [Q1, S. 47]</w:t>
      </w:r>
    </w:p>
    <w:bookmarkEnd w:id="59"/>
    <w:bookmarkStart w:id="60" w:name="X7a76c8ca94e75e552affae6dd77a501a242da85"/>
    <w:p>
      <w:pPr>
        <w:pStyle w:val="Heading2"/>
      </w:pPr>
      <w:r>
        <w:t xml:space="preserve">8.5 Warum eine einzige Ersatzkapazität keine vollständige N-1-Sicherheitsregion ist [A]</w:t>
      </w:r>
    </w:p>
    <w:p>
      <w:pPr>
        <w:pStyle w:val="FirstParagraph"/>
      </w:pPr>
      <w:r>
        <w:t xml:space="preserve">In einem vermaschten Netz hängt die Post-Contingency-Belastung nicht nur vom</w:t>
      </w:r>
      <w:r>
        <w:t xml:space="preserve"> </w:t>
      </w:r>
      <w:r>
        <w:rPr>
          <w:b/>
          <w:bCs/>
        </w:rPr>
        <w:t xml:space="preserve">einen</w:t>
      </w:r>
      <w:r>
        <w:t xml:space="preserve"> </w:t>
      </w:r>
      <w:r>
        <w:t xml:space="preserve">Grenzfluss</w:t>
      </w:r>
      <w:r>
        <w:t xml:space="preserve"> </w:t>
      </w:r>
      <m:oMath>
        <m:sSub>
          <m:e>
            <m:r>
              <m:t>q</m:t>
            </m:r>
          </m:e>
          <m:sub>
            <m:r>
              <m:t>e</m:t>
            </m:r>
          </m:sub>
        </m:sSub>
      </m:oMath>
      <w:r>
        <w:t xml:space="preserve"> </w:t>
      </w:r>
      <w:r>
        <w:t xml:space="preserve">ab, sondern von den gleichzeitigen Einspeisungen, Lasten und den Flüssen anderer Netzelemente. Mathematisch hat eine detaillierte Menge linearer N-1-Anforderungen unter festem Netz typischerweise die Form</w:t>
      </w:r>
    </w:p>
    <w:p>
      <w:pPr>
        <w:pStyle w:val="BodyText"/>
        <w:tabs>
          <w:tab w:pos="8856" w:val="right"/>
        </w:tabs>
      </w:pPr>
      <m:oMathPara>
        <m:oMathParaPr>
          <m:jc m:val="center"/>
        </m:oMathParaPr>
        <m:oMath>
          <m:sSub>
            <m:e>
              <m:r>
                <m:rPr>
                  <m:sty m:val="p"/>
                  <m:scr m:val="script"/>
                </m:rPr>
                <m:t>F</m:t>
              </m:r>
            </m:e>
            <m:sub>
              <m:r>
                <m:rPr>
                  <m:sty m:val="p"/>
                </m:rPr>
                <m:t>s</m:t>
              </m:r>
              <m:r>
                <m:rPr>
                  <m:sty m:val="p"/>
                </m:rPr>
                <m:t>e</m:t>
              </m:r>
              <m:r>
                <m:rPr>
                  <m:sty m:val="p"/>
                </m:rPr>
                <m:t>c</m:t>
              </m:r>
              <m:r>
                <m:rPr>
                  <m:sty m:val="p"/>
                </m:rPr>
                <m:t>u</m:t>
              </m:r>
              <m:r>
                <m:rPr>
                  <m:sty m:val="p"/>
                </m:rPr>
                <m:t>r</m:t>
              </m:r>
              <m:r>
                <m:rPr>
                  <m:sty m:val="p"/>
                </m:rPr>
                <m:t>e</m:t>
              </m:r>
            </m:sub>
          </m:sSub>
          <m:r>
            <m:rPr>
              <m:sty m:val="p"/>
            </m:rPr>
            <m:t>=</m:t>
          </m:r>
          <m:d>
            <m:dPr>
              <m:begChr m:val="{"/>
              <m:endChr m:val="}"/>
              <m:sepChr m:val=""/>
              <m:grow/>
            </m:dPr>
            <m:e>
              <m:r>
                <m:t>p</m:t>
              </m:r>
              <m:r>
                <m:rPr>
                  <m:sty m:val="p"/>
                </m:rPr>
                <m:t>:</m:t>
              </m:r>
              <m:r>
                <m:t> </m:t>
              </m:r>
              <m:d>
                <m:dPr>
                  <m:begChr m:val="|"/>
                  <m:endChr m:val="|"/>
                  <m:sepChr m:val=""/>
                  <m:grow/>
                </m:dPr>
                <m:e>
                  <m:sSub>
                    <m:e>
                      <m:r>
                        <m:t>H</m:t>
                      </m:r>
                    </m:e>
                    <m:sub>
                      <m:r>
                        <m:t>o</m:t>
                      </m:r>
                    </m:sub>
                  </m:sSub>
                  <m:r>
                    <m:t>p</m:t>
                  </m:r>
                </m:e>
              </m:d>
              <m:r>
                <m:rPr>
                  <m:sty m:val="p"/>
                </m:rPr>
                <m:t>≤</m:t>
              </m:r>
              <m:sSub>
                <m:e>
                  <m:bar>
                    <m:barPr>
                      <m:pos m:val="top"/>
                    </m:barPr>
                    <m:e>
                      <m:r>
                        <m:t>f</m:t>
                      </m:r>
                    </m:e>
                  </m:bar>
                </m:e>
                <m:sub>
                  <m:r>
                    <m:t>o</m:t>
                  </m:r>
                </m:sub>
              </m:sSub>
              <m:r>
                <m:rPr>
                  <m:sty m:val="p"/>
                </m:rPr>
                <m:t>,</m:t>
              </m:r>
              <m:r>
                <m:t> </m:t>
              </m:r>
              <m:r>
                <m:rPr>
                  <m:sty m:val="p"/>
                </m:rPr>
                <m:t>∀</m:t>
              </m:r>
              <m:r>
                <m:t>o</m:t>
              </m:r>
              <m:r>
                <m:rPr>
                  <m:sty m:val="p"/>
                </m:rPr>
                <m:t>∈</m:t>
              </m:r>
              <m:r>
                <m:rPr>
                  <m:sty m:val="p"/>
                  <m:scr m:val="script"/>
                </m:rPr>
                <m:t>O</m:t>
              </m:r>
            </m:e>
          </m:d>
          <m:r>
            <m:rPr>
              <m:sty m:val="p"/>
            </m:rPr>
            <m:t>,</m:t>
          </m:r>
        </m:oMath>
      </m:oMathPara>
      <w:r>
        <w:rPr>
          <w:color w:val="374151"/>
          <w:sz w:val="18"/>
        </w:rPr>
        <w:tab/>
        <w:t>(31)</w:t>
      </w:r>
    </w:p>
    <w:p>
      <w:pPr>
        <w:pStyle w:val="FirstParagraph"/>
      </w:pPr>
      <w:r>
        <w:t xml:space="preserve">also eine (gegebenenfalls umfangreiche)</w:t>
      </w:r>
      <w:r>
        <w:t xml:space="preserve"> </w:t>
      </w:r>
      <w:r>
        <w:rPr>
          <w:b/>
          <w:bCs/>
        </w:rPr>
        <w:t xml:space="preserve">mehrdimensionale</w:t>
      </w:r>
      <w:r>
        <w:t xml:space="preserve"> </w:t>
      </w:r>
      <w:r>
        <w:t xml:space="preserve">Menge von Ungleichungen. Eine reduzierte Ersatzkapazität auf einer einzelnen Verbindung entspricht hingegen einer Projektion der Form</w:t>
      </w:r>
    </w:p>
    <w:p>
      <w:pPr>
        <w:pStyle w:val="BodyText"/>
        <w:tabs>
          <w:tab w:pos="8856" w:val="right"/>
        </w:tabs>
      </w:pPr>
      <m:oMathPara>
        <m:oMathParaPr>
          <m:jc m:val="center"/>
        </m:oMathParaPr>
        <m:oMath>
          <m:r>
            <m:rPr>
              <m:sty m:val="p"/>
            </m:rPr>
            <m:t>−</m:t>
          </m:r>
          <m:sSub>
            <m:e>
              <m:r>
                <m:t>K</m:t>
              </m:r>
            </m:e>
            <m:sub>
              <m:r>
                <m:t>e</m:t>
              </m:r>
              <m:r>
                <m:rPr>
                  <m:sty m:val="p"/>
                </m:rPr>
                <m:t>,</m:t>
              </m:r>
              <m:r>
                <m:t>σ</m:t>
              </m:r>
              <m:r>
                <m:rPr>
                  <m:sty m:val="p"/>
                </m:rPr>
                <m:t>,</m:t>
              </m:r>
              <m:r>
                <m:rPr>
                  <m:sty m:val="p"/>
                </m:rPr>
                <m:t>−</m:t>
              </m:r>
            </m:sub>
          </m:sSub>
          <m:r>
            <m:rPr>
              <m:sty m:val="p"/>
            </m:rPr>
            <m:t>≤</m:t>
          </m:r>
          <m:sSub>
            <m:e>
              <m:acc>
                <m:accPr>
                  <m:chr m:val="̂"/>
                </m:accPr>
                <m:e>
                  <m:r>
                    <m:t>f</m:t>
                  </m:r>
                </m:e>
              </m:acc>
            </m:e>
            <m:sub>
              <m:r>
                <m:t>e</m:t>
              </m:r>
            </m:sub>
          </m:sSub>
          <m:r>
            <m:rPr>
              <m:sty m:val="p"/>
            </m:rPr>
            <m:t>≤</m:t>
          </m:r>
          <m:sSub>
            <m:e>
              <m:r>
                <m:t>K</m:t>
              </m:r>
            </m:e>
            <m:sub>
              <m:r>
                <m:t>e</m:t>
              </m:r>
              <m:r>
                <m:rPr>
                  <m:sty m:val="p"/>
                </m:rPr>
                <m:t>,</m:t>
              </m:r>
              <m:r>
                <m:t>σ</m:t>
              </m:r>
              <m:r>
                <m:rPr>
                  <m:sty m:val="p"/>
                </m:rPr>
                <m:t>,</m:t>
              </m:r>
              <m:r>
                <m:rPr>
                  <m:sty m:val="p"/>
                </m:rPr>
                <m:t>+</m:t>
              </m:r>
            </m:sub>
          </m:sSub>
          <m:r>
            <m:rPr>
              <m:sty m:val="p"/>
            </m:rPr>
            <m:t>.</m:t>
          </m:r>
        </m:oMath>
      </m:oMathPara>
      <w:r>
        <w:rPr>
          <w:color w:val="374151"/>
          <w:sz w:val="18"/>
        </w:rPr>
        <w:tab/>
        <w:t>(32)</w:t>
      </w:r>
    </w:p>
    <w:p>
      <w:pPr>
        <w:pStyle w:val="FirstParagraph"/>
      </w:pPr>
      <w:r>
        <w:t xml:space="preserve">Die Mengen (31) und (32) können ohne zusätzliche Voraussetzungen</w:t>
      </w:r>
      <w:r>
        <w:t xml:space="preserve"> </w:t>
      </w:r>
      <w:r>
        <w:rPr>
          <w:b/>
          <w:bCs/>
        </w:rPr>
        <w:t xml:space="preserve">nicht</w:t>
      </w:r>
      <w:r>
        <w:t xml:space="preserve"> </w:t>
      </w:r>
      <w:r>
        <w:t xml:space="preserve">allgemein äquivalent sein. Die Kapazitätskalibrierung nach dem veröffentlichten Verfahren approximiert die Sicherheit daher über die</w:t>
      </w:r>
      <w:r>
        <w:t xml:space="preserve"> </w:t>
      </w:r>
      <w:r>
        <w:rPr>
          <w:b/>
          <w:bCs/>
        </w:rPr>
        <w:t xml:space="preserve">beobachtete</w:t>
      </w:r>
      <w:r>
        <w:t xml:space="preserve"> </w:t>
      </w:r>
      <w:r>
        <w:t xml:space="preserve">Betriebszustandsverteilung. Eine universelle N-1-Garantie für beliebige, nicht untersuchte simultane Einspeiseverschiebungen wird durch [Q1] nicht bewiesen.</w:t>
      </w:r>
    </w:p>
    <w:p>
      <w:pPr>
        <w:pStyle w:val="BodyText"/>
      </w:pPr>
      <w:r>
        <w:t xml:space="preserve">Das ist eine Aussage über die Informationsreduktion und die mathematische Reichweite der dokumentierten Methode,</w:t>
      </w:r>
      <w:r>
        <w:t xml:space="preserve"> </w:t>
      </w:r>
      <w:r>
        <w:rPr>
          <w:b/>
          <w:bCs/>
        </w:rPr>
        <w:t xml:space="preserve">keine</w:t>
      </w:r>
      <w:r>
        <w:t xml:space="preserve"> </w:t>
      </w:r>
      <w:r>
        <w:t xml:space="preserve">Behauptung über tatsächlich beobachtete Sicherheitsverletzungen in ENTSO-E-Rechenläufen.</w:t>
      </w:r>
    </w:p>
    <w:bookmarkEnd w:id="60"/>
    <w:bookmarkEnd w:id="61"/>
    <w:bookmarkStart w:id="66" w:name="Xa5e95e6e25e08dad81c5a61b8d4a5b0d44d3b5d"/>
    <w:p>
      <w:pPr>
        <w:pStyle w:val="Heading1"/>
      </w:pPr>
      <w:r>
        <w:t xml:space="preserve">9. Daten-Disaggregation und Erhaltung zeitlicher Bilanzen</w:t>
      </w:r>
    </w:p>
    <w:bookmarkStart w:id="62" w:name="zuordnungslogik-d"/>
    <w:p>
      <w:pPr>
        <w:pStyle w:val="Heading2"/>
      </w:pPr>
      <w:r>
        <w:t xml:space="preserve">9.1 Zuordnungslogik [D]</w:t>
      </w:r>
    </w:p>
    <w:p>
      <w:pPr>
        <w:pStyle w:val="FirstParagraph"/>
      </w:pPr>
      <w:r>
        <w:t xml:space="preserve">Nach § 3.8.4 werden die Zonen der detaillierten Netzknoten über die Clusterdefinition gebildet. Die PEMMDB verknüpft Erzeuger, Speicher und weitere Anlagen mit ihren Anschlussknoten. Für variable Lasten liefern Netzbetreiber Aufteilungsschlüssel; industrielle Lasten werden anhand ihrer Anschlussstellen verortet. Bei erneuerbaren Anlagen sind der</w:t>
      </w:r>
      <w:r>
        <w:t xml:space="preserve"> </w:t>
      </w:r>
      <w:r>
        <w:rPr>
          <w:b/>
          <w:bCs/>
        </w:rPr>
        <w:t xml:space="preserve">elektrische Anschlussort</w:t>
      </w:r>
      <w:r>
        <w:t xml:space="preserve"> </w:t>
      </w:r>
      <w:r>
        <w:t xml:space="preserve">und die</w:t>
      </w:r>
      <w:r>
        <w:t xml:space="preserve"> </w:t>
      </w:r>
      <w:r>
        <w:rPr>
          <w:b/>
          <w:bCs/>
        </w:rPr>
        <w:t xml:space="preserve">meteorologische PECD-Region</w:t>
      </w:r>
      <w:r>
        <w:t xml:space="preserve"> </w:t>
      </w:r>
      <w:r>
        <w:t xml:space="preserve">voneinander zu unterscheiden und konsistent zusammenzuführen. Für thermische Erzeugung sollen Anzahl und installierte Kapazität der Anlagen konsistent bleiben. [Q1, S. 28–29]</w:t>
      </w:r>
    </w:p>
    <w:bookmarkEnd w:id="62"/>
    <w:bookmarkStart w:id="63" w:name="Xc52af451c9a80cd527d42cd91551c69a369875b"/>
    <w:p>
      <w:pPr>
        <w:pStyle w:val="Heading2"/>
      </w:pPr>
      <w:r>
        <w:t xml:space="preserve">9.2 Mathematische Bilanzbedingungen der zonalen Abbildung [R/E]</w:t>
      </w:r>
    </w:p>
    <w:p>
      <w:pPr>
        <w:pStyle w:val="FirstParagraph"/>
      </w:pPr>
      <w:r>
        <w:t xml:space="preserve">Sei</w:t>
      </w:r>
      <w:r>
        <w:t xml:space="preserve"> </w:t>
      </w:r>
      <m:oMath>
        <m:sSub>
          <m:e>
            <m:r>
              <m:t>d</m:t>
            </m:r>
          </m:e>
          <m:sub>
            <m:r>
              <m:t>n</m:t>
            </m:r>
            <m:r>
              <m:rPr>
                <m:sty m:val="p"/>
              </m:rPr>
              <m:t>,</m:t>
            </m:r>
            <m:r>
              <m:t>t</m:t>
            </m:r>
          </m:sub>
        </m:sSub>
      </m:oMath>
      <w:r>
        <w:t xml:space="preserve"> </w:t>
      </w:r>
      <w:r>
        <w:t xml:space="preserve">die Nachfrage und</w:t>
      </w:r>
      <w:r>
        <w:t xml:space="preserve"> </w:t>
      </w:r>
      <m:oMath>
        <m:sSub>
          <m:e>
            <m:r>
              <m:t>g</m:t>
            </m:r>
          </m:e>
          <m:sub>
            <m:r>
              <m:t>a</m:t>
            </m:r>
            <m:r>
              <m:rPr>
                <m:sty m:val="p"/>
              </m:rPr>
              <m:t>,</m:t>
            </m:r>
            <m:r>
              <m:t>t</m:t>
            </m:r>
          </m:sub>
        </m:sSub>
      </m:oMath>
      <w:r>
        <w:t xml:space="preserve"> </w:t>
      </w:r>
      <w:r>
        <w:t xml:space="preserve">die Erzeugung einer Anlage</w:t>
      </w:r>
      <w:r>
        <w:t xml:space="preserve"> </w:t>
      </w:r>
      <m:oMath>
        <m:r>
          <m:t>a</m:t>
        </m:r>
      </m:oMath>
      <w:r>
        <w:t xml:space="preserve"> </w:t>
      </w:r>
      <w:r>
        <w:t xml:space="preserve">am ursprünglichen Anschlussknoten</w:t>
      </w:r>
      <w:r>
        <w:t xml:space="preserve"> </w:t>
      </w:r>
      <m:oMath>
        <m:r>
          <m:t>n</m:t>
        </m:r>
        <m:d>
          <m:dPr>
            <m:begChr m:val="("/>
            <m:endChr m:val=")"/>
            <m:sepChr m:val=""/>
            <m:grow/>
          </m:dPr>
          <m:e>
            <m:r>
              <m:t>a</m:t>
            </m:r>
          </m:e>
        </m:d>
      </m:oMath>
      <w:r>
        <w:t xml:space="preserve">. Eine elektrisch anschlusstreue Aggregation liefert</w:t>
      </w:r>
    </w:p>
    <w:p>
      <w:pPr>
        <w:pStyle w:val="BodyText"/>
        <w:tabs>
          <w:tab w:pos="8856" w:val="right"/>
        </w:tabs>
      </w:pPr>
      <m:oMathPara>
        <m:oMathParaPr>
          <m:jc m:val="center"/>
        </m:oMathParaPr>
        <m:oMath>
          <m:sSub>
            <m:e>
              <m:r>
                <m:t>G</m:t>
              </m:r>
            </m:e>
            <m:sub>
              <m:r>
                <m:t>z</m:t>
              </m:r>
              <m:r>
                <m:rPr>
                  <m:sty m:val="p"/>
                </m:rPr>
                <m:t>,</m:t>
              </m:r>
              <m:r>
                <m:t>t</m:t>
              </m:r>
            </m:sub>
          </m:sSub>
          <m:r>
            <m:rPr>
              <m:sty m:val="p"/>
            </m:rPr>
            <m:t>=</m:t>
          </m:r>
          <m:nary>
            <m:naryPr>
              <m:chr m:val="∑"/>
              <m:limLoc m:val="undOvr"/>
              <m:subHide m:val="off"/>
              <m:supHide m:val="on"/>
            </m:naryPr>
            <m:sub>
              <m:r>
                <m:t>a</m:t>
              </m:r>
              <m:r>
                <m:rPr>
                  <m:sty m:val="p"/>
                </m:rPr>
                <m:t>:</m:t>
              </m:r>
              <m:r>
                <m:t> </m:t>
              </m:r>
              <m:r>
                <m:t>g</m:t>
              </m:r>
              <m:d>
                <m:dPr>
                  <m:begChr m:val="("/>
                  <m:endChr m:val=")"/>
                  <m:sepChr m:val=""/>
                  <m:grow/>
                </m:dPr>
                <m:e>
                  <m:r>
                    <m:t>n</m:t>
                  </m:r>
                  <m:d>
                    <m:dPr>
                      <m:begChr m:val="("/>
                      <m:endChr m:val=")"/>
                      <m:sepChr m:val=""/>
                      <m:grow/>
                    </m:dPr>
                    <m:e>
                      <m:r>
                        <m:t>a</m:t>
                      </m:r>
                    </m:e>
                  </m:d>
                </m:e>
              </m:d>
              <m:r>
                <m:rPr>
                  <m:sty m:val="p"/>
                </m:rPr>
                <m:t>=</m:t>
              </m:r>
              <m:r>
                <m:t>z</m:t>
              </m:r>
            </m:sub>
            <m:sup>
              <m:r>
                <m:t>​</m:t>
              </m:r>
            </m:sup>
            <m:e>
              <m:sSub>
                <m:e>
                  <m:r>
                    <m:t>g</m:t>
                  </m:r>
                </m:e>
                <m:sub>
                  <m:r>
                    <m:t>a</m:t>
                  </m:r>
                  <m:r>
                    <m:rPr>
                      <m:sty m:val="p"/>
                    </m:rPr>
                    <m:t>,</m:t>
                  </m:r>
                  <m:r>
                    <m:t>t</m:t>
                  </m:r>
                </m:sub>
              </m:sSub>
            </m:e>
          </m:nary>
          <m:r>
            <m:rPr>
              <m:sty m:val="p"/>
            </m:rPr>
            <m:t>,</m:t>
          </m:r>
          <m:r>
            <m:t> </m:t>
          </m:r>
          <m:sSub>
            <m:e>
              <m:r>
                <m:t>D</m:t>
              </m:r>
            </m:e>
            <m:sub>
              <m:r>
                <m:t>z</m:t>
              </m:r>
              <m:r>
                <m:rPr>
                  <m:sty m:val="p"/>
                </m:rPr>
                <m:t>,</m:t>
              </m:r>
              <m:r>
                <m:t>t</m:t>
              </m:r>
            </m:sub>
          </m:sSub>
          <m:r>
            <m:rPr>
              <m:sty m:val="p"/>
            </m:rPr>
            <m:t>=</m:t>
          </m:r>
          <m:nary>
            <m:naryPr>
              <m:chr m:val="∑"/>
              <m:limLoc m:val="undOvr"/>
              <m:subHide m:val="off"/>
              <m:supHide m:val="on"/>
            </m:naryPr>
            <m:sub>
              <m:r>
                <m:t>n</m:t>
              </m:r>
              <m:r>
                <m:rPr>
                  <m:sty m:val="p"/>
                </m:rPr>
                <m:t>:</m:t>
              </m:r>
              <m:r>
                <m:t> </m:t>
              </m:r>
              <m:r>
                <m:t>g</m:t>
              </m:r>
              <m:d>
                <m:dPr>
                  <m:begChr m:val="("/>
                  <m:endChr m:val=")"/>
                  <m:sepChr m:val=""/>
                  <m:grow/>
                </m:dPr>
                <m:e>
                  <m:r>
                    <m:t>n</m:t>
                  </m:r>
                </m:e>
              </m:d>
              <m:r>
                <m:rPr>
                  <m:sty m:val="p"/>
                </m:rPr>
                <m:t>=</m:t>
              </m:r>
              <m:r>
                <m:t>z</m:t>
              </m:r>
            </m:sub>
            <m:sup>
              <m:r>
                <m:t>​</m:t>
              </m:r>
            </m:sup>
            <m:e>
              <m:sSub>
                <m:e>
                  <m:r>
                    <m:t>d</m:t>
                  </m:r>
                </m:e>
                <m:sub>
                  <m:r>
                    <m:t>n</m:t>
                  </m:r>
                  <m:r>
                    <m:rPr>
                      <m:sty m:val="p"/>
                    </m:rPr>
                    <m:t>,</m:t>
                  </m:r>
                  <m:r>
                    <m:t>t</m:t>
                  </m:r>
                </m:sub>
              </m:sSub>
            </m:e>
          </m:nary>
          <m:r>
            <m:rPr>
              <m:sty m:val="p"/>
            </m:rPr>
            <m:t>,</m:t>
          </m:r>
          <m:r>
            <m:t> </m:t>
          </m:r>
          <m:sSub>
            <m:e>
              <m:r>
                <m:t>p</m:t>
              </m:r>
            </m:e>
            <m:sub>
              <m:r>
                <m:t>z</m:t>
              </m:r>
              <m:r>
                <m:rPr>
                  <m:sty m:val="p"/>
                </m:rPr>
                <m:t>,</m:t>
              </m:r>
              <m:r>
                <m:t>t</m:t>
              </m:r>
            </m:sub>
          </m:sSub>
          <m:r>
            <m:rPr>
              <m:sty m:val="p"/>
            </m:rPr>
            <m:t>=</m:t>
          </m:r>
          <m:sSub>
            <m:e>
              <m:r>
                <m:t>G</m:t>
              </m:r>
            </m:e>
            <m:sub>
              <m:r>
                <m:t>z</m:t>
              </m:r>
              <m:r>
                <m:rPr>
                  <m:sty m:val="p"/>
                </m:rPr>
                <m:t>,</m:t>
              </m:r>
              <m:r>
                <m:t>t</m:t>
              </m:r>
            </m:sub>
          </m:sSub>
          <m:r>
            <m:rPr>
              <m:sty m:val="p"/>
            </m:rPr>
            <m:t>−</m:t>
          </m:r>
          <m:sSub>
            <m:e>
              <m:r>
                <m:t>D</m:t>
              </m:r>
            </m:e>
            <m:sub>
              <m:r>
                <m:t>z</m:t>
              </m:r>
              <m:r>
                <m:rPr>
                  <m:sty m:val="p"/>
                </m:rPr>
                <m:t>,</m:t>
              </m:r>
              <m:r>
                <m:t>t</m:t>
              </m:r>
            </m:sub>
          </m:sSub>
          <m:r>
            <m:rPr>
              <m:sty m:val="p"/>
            </m:rPr>
            <m:t>+</m:t>
          </m:r>
          <m:sSubSup>
            <m:e>
              <m:r>
                <m:t>p</m:t>
              </m:r>
            </m:e>
            <m:sub>
              <m:r>
                <m:t>z</m:t>
              </m:r>
              <m:r>
                <m:rPr>
                  <m:sty m:val="p"/>
                </m:rPr>
                <m:t>,</m:t>
              </m:r>
              <m:r>
                <m:t>t</m:t>
              </m:r>
            </m:sub>
            <m:sup>
              <m:r>
                <m:rPr>
                  <m:sty m:val="p"/>
                </m:rPr>
                <m:t>o</m:t>
              </m:r>
              <m:r>
                <m:rPr>
                  <m:sty m:val="p"/>
                </m:rPr>
                <m:t>t</m:t>
              </m:r>
              <m:r>
                <m:rPr>
                  <m:sty m:val="p"/>
                </m:rPr>
                <m:t>h</m:t>
              </m:r>
              <m:r>
                <m:rPr>
                  <m:sty m:val="p"/>
                </m:rPr>
                <m:t>e</m:t>
              </m:r>
              <m:r>
                <m:rPr>
                  <m:sty m:val="p"/>
                </m:rPr>
                <m:t>r</m:t>
              </m:r>
            </m:sup>
          </m:sSubSup>
          <m:r>
            <m:rPr>
              <m:sty m:val="p"/>
            </m:rPr>
            <m:t>.</m:t>
          </m:r>
        </m:oMath>
      </m:oMathPara>
      <w:r>
        <w:rPr>
          <w:color w:val="374151"/>
          <w:sz w:val="18"/>
        </w:rPr>
        <w:tab/>
        <w:t>(33)</w:t>
      </w:r>
    </w:p>
    <w:p>
      <w:pPr>
        <w:pStyle w:val="FirstParagraph"/>
      </w:pPr>
      <w:r>
        <w:t xml:space="preserve">Damit gelten unter konsistenter Komponentenabgrenzung die elementaren Erhaltungsbeziehungen</w:t>
      </w:r>
    </w:p>
    <w:p>
      <w:pPr>
        <w:pStyle w:val="BodyText"/>
        <w:tabs>
          <w:tab w:pos="8856" w:val="right"/>
        </w:tabs>
      </w:pPr>
      <m:oMathPara>
        <m:oMathParaPr>
          <m:jc m:val="center"/>
        </m:oMathParaPr>
        <m:oMath>
          <m:nary>
            <m:naryPr>
              <m:chr m:val="∑"/>
              <m:limLoc m:val="undOvr"/>
              <m:subHide m:val="off"/>
              <m:supHide m:val="on"/>
            </m:naryPr>
            <m:sub>
              <m:r>
                <m:t>z</m:t>
              </m:r>
            </m:sub>
            <m:sup>
              <m:r>
                <m:t>​</m:t>
              </m:r>
            </m:sup>
            <m:e>
              <m:sSub>
                <m:e>
                  <m:r>
                    <m:t>G</m:t>
                  </m:r>
                </m:e>
                <m:sub>
                  <m:r>
                    <m:t>z</m:t>
                  </m:r>
                  <m:r>
                    <m:rPr>
                      <m:sty m:val="p"/>
                    </m:rPr>
                    <m:t>,</m:t>
                  </m:r>
                  <m:r>
                    <m:t>t</m:t>
                  </m:r>
                </m:sub>
              </m:sSub>
            </m:e>
          </m:nary>
          <m:r>
            <m:rPr>
              <m:sty m:val="p"/>
            </m:rPr>
            <m:t>=</m:t>
          </m:r>
          <m:nary>
            <m:naryPr>
              <m:chr m:val="∑"/>
              <m:limLoc m:val="undOvr"/>
              <m:subHide m:val="off"/>
              <m:supHide m:val="on"/>
            </m:naryPr>
            <m:sub>
              <m:r>
                <m:t>a</m:t>
              </m:r>
            </m:sub>
            <m:sup>
              <m:r>
                <m:t>​</m:t>
              </m:r>
            </m:sup>
            <m:e>
              <m:sSub>
                <m:e>
                  <m:r>
                    <m:t>g</m:t>
                  </m:r>
                </m:e>
                <m:sub>
                  <m:r>
                    <m:t>a</m:t>
                  </m:r>
                  <m:r>
                    <m:rPr>
                      <m:sty m:val="p"/>
                    </m:rPr>
                    <m:t>,</m:t>
                  </m:r>
                  <m:r>
                    <m:t>t</m:t>
                  </m:r>
                </m:sub>
              </m:sSub>
            </m:e>
          </m:nary>
          <m:r>
            <m:rPr>
              <m:sty m:val="p"/>
            </m:rPr>
            <m:t>,</m:t>
          </m:r>
          <m:r>
            <m:t>  </m:t>
          </m:r>
          <m:nary>
            <m:naryPr>
              <m:chr m:val="∑"/>
              <m:limLoc m:val="undOvr"/>
              <m:subHide m:val="off"/>
              <m:supHide m:val="on"/>
            </m:naryPr>
            <m:sub>
              <m:r>
                <m:t>z</m:t>
              </m:r>
            </m:sub>
            <m:sup>
              <m:r>
                <m:t>​</m:t>
              </m:r>
            </m:sup>
            <m:e>
              <m:sSub>
                <m:e>
                  <m:r>
                    <m:t>D</m:t>
                  </m:r>
                </m:e>
                <m:sub>
                  <m:r>
                    <m:t>z</m:t>
                  </m:r>
                  <m:r>
                    <m:rPr>
                      <m:sty m:val="p"/>
                    </m:rPr>
                    <m:t>,</m:t>
                  </m:r>
                  <m:r>
                    <m:t>t</m:t>
                  </m:r>
                </m:sub>
              </m:sSub>
            </m:e>
          </m:nary>
          <m:r>
            <m:rPr>
              <m:sty m:val="p"/>
            </m:rPr>
            <m:t>=</m:t>
          </m:r>
          <m:nary>
            <m:naryPr>
              <m:chr m:val="∑"/>
              <m:limLoc m:val="undOvr"/>
              <m:subHide m:val="off"/>
              <m:supHide m:val="on"/>
            </m:naryPr>
            <m:sub>
              <m:r>
                <m:t>n</m:t>
              </m:r>
            </m:sub>
            <m:sup>
              <m:r>
                <m:t>​</m:t>
              </m:r>
            </m:sup>
            <m:e>
              <m:sSub>
                <m:e>
                  <m:r>
                    <m:t>d</m:t>
                  </m:r>
                </m:e>
                <m:sub>
                  <m:r>
                    <m:t>n</m:t>
                  </m:r>
                  <m:r>
                    <m:rPr>
                      <m:sty m:val="p"/>
                    </m:rPr>
                    <m:t>,</m:t>
                  </m:r>
                  <m:r>
                    <m:t>t</m:t>
                  </m:r>
                </m:sub>
              </m:sSub>
            </m:e>
          </m:nary>
          <m:r>
            <m:rPr>
              <m:sty m:val="p"/>
            </m:rPr>
            <m:t>.</m:t>
          </m:r>
        </m:oMath>
      </m:oMathPara>
      <w:r>
        <w:rPr>
          <w:color w:val="374151"/>
          <w:sz w:val="18"/>
        </w:rPr>
        <w:tab/>
        <w:t>(34)</w:t>
      </w:r>
    </w:p>
    <w:p>
      <w:pPr>
        <w:pStyle w:val="FirstParagraph"/>
      </w:pPr>
      <w:r>
        <w:t xml:space="preserve">Wenn nur übergeordnete nationale Zeitreihen</w:t>
      </w:r>
      <w:r>
        <w:t xml:space="preserve"> </w:t>
      </w:r>
      <m:oMath>
        <m:sSub>
          <m:e>
            <m:r>
              <m:t>D</m:t>
            </m:r>
          </m:e>
          <m:sub>
            <m:r>
              <m:t>c</m:t>
            </m:r>
            <m:r>
              <m:rPr>
                <m:sty m:val="p"/>
              </m:rPr>
              <m:t>,</m:t>
            </m:r>
            <m:r>
              <m:t>t</m:t>
            </m:r>
          </m:sub>
        </m:sSub>
      </m:oMath>
      <w:r>
        <w:t xml:space="preserve"> </w:t>
      </w:r>
      <w:r>
        <w:t xml:space="preserve">vorliegen, kann die unbekannte Aufteilung schematisch durch zonale Schlüssel</w:t>
      </w:r>
      <w:r>
        <w:t xml:space="preserve"> </w:t>
      </w:r>
      <m:oMath>
        <m:sSub>
          <m:e>
            <m:r>
              <m:t>α</m:t>
            </m:r>
          </m:e>
          <m:sub>
            <m:r>
              <m:t>z</m:t>
            </m:r>
            <m:r>
              <m:rPr>
                <m:sty m:val="p"/>
              </m:rPr>
              <m:t>|</m:t>
            </m:r>
            <m:r>
              <m:t>c</m:t>
            </m:r>
            <m:r>
              <m:rPr>
                <m:sty m:val="p"/>
              </m:rPr>
              <m:t>,</m:t>
            </m:r>
            <m:r>
              <m:t>t</m:t>
            </m:r>
          </m:sub>
        </m:sSub>
      </m:oMath>
      <w:r>
        <w:t xml:space="preserve"> </w:t>
      </w:r>
      <w:r>
        <w:t xml:space="preserve">beschrieben werden:</w:t>
      </w:r>
    </w:p>
    <w:p>
      <w:pPr>
        <w:pStyle w:val="BodyText"/>
        <w:tabs>
          <w:tab w:pos="8856" w:val="right"/>
        </w:tabs>
      </w:pPr>
      <m:oMathPara>
        <m:oMathParaPr>
          <m:jc m:val="center"/>
        </m:oMathParaPr>
        <m:oMath>
          <m:sSub>
            <m:e>
              <m:r>
                <m:t>D</m:t>
              </m:r>
            </m:e>
            <m:sub>
              <m:r>
                <m:t>z</m:t>
              </m:r>
              <m:r>
                <m:rPr>
                  <m:sty m:val="p"/>
                </m:rPr>
                <m:t>,</m:t>
              </m:r>
              <m:r>
                <m:t>t</m:t>
              </m:r>
            </m:sub>
          </m:sSub>
          <m:r>
            <m:rPr>
              <m:sty m:val="p"/>
            </m:rPr>
            <m:t>=</m:t>
          </m:r>
          <m:sSub>
            <m:e>
              <m:r>
                <m:t>α</m:t>
              </m:r>
            </m:e>
            <m:sub>
              <m:r>
                <m:t>z</m:t>
              </m:r>
              <m:r>
                <m:rPr>
                  <m:sty m:val="p"/>
                </m:rPr>
                <m:t>|</m:t>
              </m:r>
              <m:r>
                <m:t>c</m:t>
              </m:r>
              <m:r>
                <m:rPr>
                  <m:sty m:val="p"/>
                </m:rPr>
                <m:t>,</m:t>
              </m:r>
              <m:r>
                <m:t>t</m:t>
              </m:r>
            </m:sub>
          </m:sSub>
          <m:sSub>
            <m:e>
              <m:r>
                <m:t>D</m:t>
              </m:r>
            </m:e>
            <m:sub>
              <m:r>
                <m:t>c</m:t>
              </m:r>
              <m:r>
                <m:rPr>
                  <m:sty m:val="p"/>
                </m:rPr>
                <m:t>,</m:t>
              </m:r>
              <m:r>
                <m:t>t</m:t>
              </m:r>
            </m:sub>
          </m:sSub>
          <m:r>
            <m:rPr>
              <m:sty m:val="p"/>
            </m:rPr>
            <m:t>,</m:t>
          </m:r>
          <m:r>
            <m:t>  </m:t>
          </m:r>
          <m:sSub>
            <m:e>
              <m:r>
                <m:t>α</m:t>
              </m:r>
            </m:e>
            <m:sub>
              <m:r>
                <m:t>z</m:t>
              </m:r>
              <m:r>
                <m:rPr>
                  <m:sty m:val="p"/>
                </m:rPr>
                <m:t>|</m:t>
              </m:r>
              <m:r>
                <m:t>c</m:t>
              </m:r>
              <m:r>
                <m:rPr>
                  <m:sty m:val="p"/>
                </m:rPr>
                <m:t>,</m:t>
              </m:r>
              <m:r>
                <m:t>t</m:t>
              </m:r>
            </m:sub>
          </m:sSub>
          <m:r>
            <m:rPr>
              <m:sty m:val="p"/>
            </m:rPr>
            <m:t>≥</m:t>
          </m:r>
          <m:r>
            <m:t>0</m:t>
          </m:r>
          <m:r>
            <m:rPr>
              <m:sty m:val="p"/>
            </m:rPr>
            <m:t>,</m:t>
          </m:r>
          <m:r>
            <m:t>  </m:t>
          </m:r>
          <m:nary>
            <m:naryPr>
              <m:chr m:val="∑"/>
              <m:limLoc m:val="undOvr"/>
              <m:subHide m:val="off"/>
              <m:supHide m:val="on"/>
            </m:naryPr>
            <m:sub>
              <m:r>
                <m:t>z</m:t>
              </m:r>
              <m:r>
                <m:rPr>
                  <m:sty m:val="p"/>
                </m:rPr>
                <m:t>⊂</m:t>
              </m:r>
              <m:r>
                <m:t>c</m:t>
              </m:r>
            </m:sub>
            <m:sup>
              <m:r>
                <m:t>​</m:t>
              </m:r>
            </m:sup>
            <m:e>
              <m:sSub>
                <m:e>
                  <m:r>
                    <m:t>α</m:t>
                  </m:r>
                </m:e>
                <m:sub>
                  <m:r>
                    <m:t>z</m:t>
                  </m:r>
                  <m:r>
                    <m:rPr>
                      <m:sty m:val="p"/>
                    </m:rPr>
                    <m:t>|</m:t>
                  </m:r>
                  <m:r>
                    <m:t>c</m:t>
                  </m:r>
                  <m:r>
                    <m:rPr>
                      <m:sty m:val="p"/>
                    </m:rPr>
                    <m:t>,</m:t>
                  </m:r>
                  <m:r>
                    <m:t>t</m:t>
                  </m:r>
                </m:sub>
              </m:sSub>
            </m:e>
          </m:nary>
          <m:r>
            <m:rPr>
              <m:sty m:val="p"/>
            </m:rPr>
            <m:t>=</m:t>
          </m:r>
          <m:r>
            <m:t>1</m:t>
          </m:r>
          <m:r>
            <m:rPr>
              <m:sty m:val="p"/>
            </m:rPr>
            <m:t>.</m:t>
          </m:r>
        </m:oMath>
      </m:oMathPara>
      <w:r>
        <w:rPr>
          <w:color w:val="374151"/>
          <w:sz w:val="18"/>
        </w:rPr>
        <w:tab/>
        <w:t>(35)</w:t>
      </w:r>
    </w:p>
    <w:p>
      <w:pPr>
        <w:pStyle w:val="FirstParagraph"/>
      </w:pPr>
      <w:r>
        <w:t xml:space="preserve">ENTSO-E nennt das Prinzip der vom TSO gelieferten Aufteilungsschlüssel, schreibt aber nicht fest, ob diese zeitlich konstant sind, technologiespezifisch variieren oder wie sie bei Änderungen der Laststruktur fortgeschrieben werden. [U] (35) ist eine</w:t>
      </w:r>
      <w:r>
        <w:t xml:space="preserve"> </w:t>
      </w:r>
      <w:r>
        <w:rPr>
          <w:b/>
          <w:bCs/>
        </w:rPr>
        <w:t xml:space="preserve">bilanzwahrende mögliche Formalisierung</w:t>
      </w:r>
      <w:r>
        <w:t xml:space="preserve">.</w:t>
      </w:r>
    </w:p>
    <w:bookmarkEnd w:id="63"/>
    <w:bookmarkStart w:id="64" w:name="technologie--und-wetterzuordnung-re"/>
    <w:p>
      <w:pPr>
        <w:pStyle w:val="Heading2"/>
      </w:pPr>
      <w:r>
        <w:t xml:space="preserve">9.3 Technologie- und Wetterzuordnung [R/E]</w:t>
      </w:r>
    </w:p>
    <w:p>
      <w:pPr>
        <w:pStyle w:val="FirstParagraph"/>
      </w:pPr>
      <w:r>
        <w:t xml:space="preserve">Für eine Wind- oder PV-Anlage</w:t>
      </w:r>
      <w:r>
        <w:t xml:space="preserve"> </w:t>
      </w:r>
      <m:oMath>
        <m:r>
          <m:t>a</m:t>
        </m:r>
      </m:oMath>
      <w:r>
        <w:t xml:space="preserve"> </w:t>
      </w:r>
      <w:r>
        <w:t xml:space="preserve">mit installierter Leistung</w:t>
      </w:r>
      <w:r>
        <w:t xml:space="preserve"> </w:t>
      </w:r>
      <m:oMath>
        <m:sSub>
          <m:e>
            <m:bar>
              <m:barPr>
                <m:pos m:val="top"/>
              </m:barPr>
              <m:e>
                <m:r>
                  <m:t>G</m:t>
                </m:r>
              </m:e>
            </m:bar>
          </m:e>
          <m:sub>
            <m:r>
              <m:t>a</m:t>
            </m:r>
          </m:sub>
        </m:sSub>
      </m:oMath>
      <w:r>
        <w:t xml:space="preserve"> </w:t>
      </w:r>
      <w:r>
        <w:t xml:space="preserve">und meteorologischer Profilregion</w:t>
      </w:r>
      <w:r>
        <w:t xml:space="preserve"> </w:t>
      </w:r>
      <m:oMath>
        <m:r>
          <m:t>r</m:t>
        </m:r>
        <m:d>
          <m:dPr>
            <m:begChr m:val="("/>
            <m:endChr m:val=")"/>
            <m:sepChr m:val=""/>
            <m:grow/>
          </m:dPr>
          <m:e>
            <m:r>
              <m:t>a</m:t>
            </m:r>
          </m:e>
        </m:d>
      </m:oMath>
      <w:r>
        <w:t xml:space="preserve"> </w:t>
      </w:r>
      <w:r>
        <w:t xml:space="preserve">bietet sich formal</w:t>
      </w:r>
    </w:p>
    <w:p>
      <w:pPr>
        <w:pStyle w:val="BodyText"/>
        <w:tabs>
          <w:tab w:pos="8856" w:val="right"/>
        </w:tabs>
      </w:pPr>
      <m:oMathPara>
        <m:oMathParaPr>
          <m:jc m:val="center"/>
        </m:oMathParaPr>
        <m:oMath>
          <m:sSubSup>
            <m:e>
              <m:r>
                <m:t>g</m:t>
              </m:r>
            </m:e>
            <m:sub>
              <m:r>
                <m:t>a</m:t>
              </m:r>
              <m:r>
                <m:rPr>
                  <m:sty m:val="p"/>
                </m:rPr>
                <m:t>,</m:t>
              </m:r>
              <m:r>
                <m:t>t</m:t>
              </m:r>
            </m:sub>
            <m:sup>
              <m:r>
                <m:rPr>
                  <m:sty m:val="p"/>
                </m:rPr>
                <m:t>a</m:t>
              </m:r>
              <m:r>
                <m:rPr>
                  <m:sty m:val="p"/>
                </m:rPr>
                <m:t>v</m:t>
              </m:r>
              <m:r>
                <m:rPr>
                  <m:sty m:val="p"/>
                </m:rPr>
                <m:t>a</m:t>
              </m:r>
              <m:r>
                <m:rPr>
                  <m:sty m:val="p"/>
                </m:rPr>
                <m:t>i</m:t>
              </m:r>
              <m:r>
                <m:rPr>
                  <m:sty m:val="p"/>
                </m:rPr>
                <m:t>l</m:t>
              </m:r>
            </m:sup>
          </m:sSubSup>
          <m:r>
            <m:rPr>
              <m:sty m:val="p"/>
            </m:rPr>
            <m:t>=</m:t>
          </m:r>
          <m:sSub>
            <m:e>
              <m:bar>
                <m:barPr>
                  <m:pos m:val="top"/>
                </m:barPr>
                <m:e>
                  <m:r>
                    <m:t>G</m:t>
                  </m:r>
                </m:e>
              </m:bar>
            </m:e>
            <m:sub>
              <m:r>
                <m:t>a</m:t>
              </m:r>
            </m:sub>
          </m:sSub>
          <m:r>
            <m:t> </m:t>
          </m:r>
          <m:sSub>
            <m:e>
              <m:r>
                <m:rPr>
                  <m:sty m:val="p"/>
                </m:rPr>
                <m:t>C</m:t>
              </m:r>
              <m:r>
                <m:rPr>
                  <m:sty m:val="p"/>
                </m:rPr>
                <m:t>F</m:t>
              </m:r>
            </m:e>
            <m:sub>
              <m:r>
                <m:t>r</m:t>
              </m:r>
              <m:d>
                <m:dPr>
                  <m:begChr m:val="("/>
                  <m:endChr m:val=")"/>
                  <m:sepChr m:val=""/>
                  <m:grow/>
                </m:dPr>
                <m:e>
                  <m:r>
                    <m:t>a</m:t>
                  </m:r>
                </m:e>
              </m:d>
              <m:r>
                <m:rPr>
                  <m:sty m:val="p"/>
                </m:rPr>
                <m:t>,</m:t>
              </m:r>
              <m:r>
                <m:t>t</m:t>
              </m:r>
            </m:sub>
          </m:sSub>
          <m:r>
            <m:rPr>
              <m:sty m:val="p"/>
            </m:rPr>
            <m:t>,</m:t>
          </m:r>
          <m:r>
            <m:t>  </m:t>
          </m:r>
          <m:r>
            <m:t>0</m:t>
          </m:r>
          <m:r>
            <m:rPr>
              <m:sty m:val="p"/>
            </m:rPr>
            <m:t>≤</m:t>
          </m:r>
          <m:sSub>
            <m:e>
              <m:r>
                <m:t>g</m:t>
              </m:r>
            </m:e>
            <m:sub>
              <m:r>
                <m:t>a</m:t>
              </m:r>
              <m:r>
                <m:rPr>
                  <m:sty m:val="p"/>
                </m:rPr>
                <m:t>,</m:t>
              </m:r>
              <m:r>
                <m:t>t</m:t>
              </m:r>
            </m:sub>
          </m:sSub>
          <m:r>
            <m:rPr>
              <m:sty m:val="p"/>
            </m:rPr>
            <m:t>≤</m:t>
          </m:r>
          <m:sSubSup>
            <m:e>
              <m:r>
                <m:t>g</m:t>
              </m:r>
            </m:e>
            <m:sub>
              <m:r>
                <m:t>a</m:t>
              </m:r>
              <m:r>
                <m:rPr>
                  <m:sty m:val="p"/>
                </m:rPr>
                <m:t>,</m:t>
              </m:r>
              <m:r>
                <m:t>t</m:t>
              </m:r>
            </m:sub>
            <m:sup>
              <m:r>
                <m:rPr>
                  <m:sty m:val="p"/>
                </m:rPr>
                <m:t>a</m:t>
              </m:r>
              <m:r>
                <m:rPr>
                  <m:sty m:val="p"/>
                </m:rPr>
                <m:t>v</m:t>
              </m:r>
              <m:r>
                <m:rPr>
                  <m:sty m:val="p"/>
                </m:rPr>
                <m:t>a</m:t>
              </m:r>
              <m:r>
                <m:rPr>
                  <m:sty m:val="p"/>
                </m:rPr>
                <m:t>i</m:t>
              </m:r>
              <m:r>
                <m:rPr>
                  <m:sty m:val="p"/>
                </m:rPr>
                <m:t>l</m:t>
              </m:r>
            </m:sup>
          </m:sSubSup>
        </m:oMath>
      </m:oMathPara>
      <w:r>
        <w:rPr>
          <w:color w:val="374151"/>
          <w:sz w:val="18"/>
        </w:rPr>
        <w:tab/>
        <w:t>(36)</w:t>
      </w:r>
    </w:p>
    <w:p>
      <w:pPr>
        <w:pStyle w:val="FirstParagraph"/>
      </w:pPr>
      <w:r>
        <w:t xml:space="preserve">an. Die Anlage wird für elektrische Bilanzen in die Zone</w:t>
      </w:r>
      <w:r>
        <w:t xml:space="preserve"> </w:t>
      </w:r>
      <m:oMath>
        <m:r>
          <m:t>g</m:t>
        </m:r>
        <m:d>
          <m:dPr>
            <m:begChr m:val="("/>
            <m:endChr m:val=")"/>
            <m:sepChr m:val=""/>
            <m:grow/>
          </m:dPr>
          <m:e>
            <m:r>
              <m:t>n</m:t>
            </m:r>
            <m:d>
              <m:dPr>
                <m:begChr m:val="("/>
                <m:endChr m:val=")"/>
                <m:sepChr m:val=""/>
                <m:grow/>
              </m:dPr>
              <m:e>
                <m:r>
                  <m:t>a</m:t>
                </m:r>
              </m:e>
            </m:d>
          </m:e>
        </m:d>
      </m:oMath>
      <w:r>
        <w:t xml:space="preserve"> </w:t>
      </w:r>
      <w:r>
        <w:t xml:space="preserve">eingetragen, während ihr meteorologisches Profil aus</w:t>
      </w:r>
      <w:r>
        <w:t xml:space="preserve"> </w:t>
      </w:r>
      <m:oMath>
        <m:r>
          <m:t>r</m:t>
        </m:r>
        <m:d>
          <m:dPr>
            <m:begChr m:val="("/>
            <m:endChr m:val=")"/>
            <m:sepChr m:val=""/>
            <m:grow/>
          </m:dPr>
          <m:e>
            <m:r>
              <m:t>a</m:t>
            </m:r>
          </m:e>
        </m:d>
      </m:oMath>
      <w:r>
        <w:t xml:space="preserve"> </w:t>
      </w:r>
      <w:r>
        <w:t xml:space="preserve">stammt. Damit bleiben</w:t>
      </w:r>
      <w:r>
        <w:t xml:space="preserve"> </w:t>
      </w:r>
      <w:r>
        <w:rPr>
          <w:b/>
          <w:bCs/>
        </w:rPr>
        <w:t xml:space="preserve">Netzanschluss</w:t>
      </w:r>
      <w:r>
        <w:t xml:space="preserve"> </w:t>
      </w:r>
      <w:r>
        <w:t xml:space="preserve">und</w:t>
      </w:r>
      <w:r>
        <w:t xml:space="preserve"> </w:t>
      </w:r>
      <w:r>
        <w:rPr>
          <w:b/>
          <w:bCs/>
        </w:rPr>
        <w:t xml:space="preserve">Wetterraum</w:t>
      </w:r>
      <w:r>
        <w:t xml:space="preserve"> </w:t>
      </w:r>
      <w:r>
        <w:t xml:space="preserve">explizit getrennt. Der dokumentierte Text verlangt eine derartige Konsistenz, definiert aber keine eindeutige Regel für fehlende oder mehrdeutige Anlagenpositionen. [Q1, S. 29]</w:t>
      </w:r>
    </w:p>
    <w:p>
      <w:pPr>
        <w:pStyle w:val="BodyText"/>
      </w:pPr>
      <w:r>
        <w:rPr>
          <w:b/>
          <w:bCs/>
        </w:rPr>
        <w:t xml:space="preserve">Nicht zulässige Vereinfachung:</w:t>
      </w:r>
      <w:r>
        <w:t xml:space="preserve"> </w:t>
      </w:r>
      <w:r>
        <w:t xml:space="preserve">Die PECD-Geometrie darf nicht ohne weitere Prüfung als elektrische Clusterpartition behandelt werden; umgekehrt folgt aus der elektrischen Knotenzuordnung nicht automatisch das passende Erzeugungsprofil.</w:t>
      </w:r>
    </w:p>
    <w:bookmarkEnd w:id="64"/>
    <w:bookmarkStart w:id="65" w:name="folgen-für-die-parameterkalibrierung-a"/>
    <w:p>
      <w:pPr>
        <w:pStyle w:val="Heading2"/>
      </w:pPr>
      <w:r>
        <w:t xml:space="preserve">9.4 Folgen für die Parameterkalibrierung [A]</w:t>
      </w:r>
    </w:p>
    <w:p>
      <w:pPr>
        <w:pStyle w:val="FirstParagraph"/>
      </w:pPr>
      <w:r>
        <w:t xml:space="preserve">Eine Änderung der zonalen Last- oder Erzeugungsallokation verändert</w:t>
      </w:r>
      <w:r>
        <w:t xml:space="preserve"> </w:t>
      </w:r>
      <m:oMath>
        <m:sSubSup>
          <m:e>
            <m:r>
              <m:t>p</m:t>
            </m:r>
          </m:e>
          <m:sub>
            <m:r>
              <m:t>t</m:t>
            </m:r>
          </m:sub>
          <m:sup>
            <m:r>
              <m:rPr>
                <m:sty m:val="p"/>
              </m:rPr>
              <m:t>z</m:t>
            </m:r>
          </m:sup>
        </m:sSubSup>
      </m:oMath>
      <w:r>
        <w:t xml:space="preserve"> </w:t>
      </w:r>
      <w:r>
        <w:t xml:space="preserve">und damit potenziell</w:t>
      </w:r>
      <w:r>
        <w:t xml:space="preserve"> </w:t>
      </w:r>
      <m:oMath>
        <m:sSub>
          <m:e>
            <m:acc>
              <m:accPr>
                <m:chr m:val="̂"/>
              </m:accPr>
              <m:e>
                <m:r>
                  <m:t>f</m:t>
                </m:r>
              </m:e>
            </m:acc>
          </m:e>
          <m:sub>
            <m:r>
              <m:t>t</m:t>
            </m:r>
          </m:sub>
        </m:sSub>
      </m:oMath>
      <w:r>
        <w:t xml:space="preserve">. Bei unveränderten physikalischen Ausgangsdaten könnte eine andere Allokation deshalb andere Ersatzimpedanzen und Korrekturflüsse als optimal erscheinen lassen. Die Daten-Disaggregation und die elektrische Netzreduktion sind wissenschaftlich</w:t>
      </w:r>
      <w:r>
        <w:t xml:space="preserve"> </w:t>
      </w:r>
      <w:r>
        <w:rPr>
          <w:b/>
          <w:bCs/>
        </w:rPr>
        <w:t xml:space="preserve">nicht voneinander unabhängige</w:t>
      </w:r>
      <w:r>
        <w:t xml:space="preserve"> </w:t>
      </w:r>
      <w:r>
        <w:t xml:space="preserve">Schritte. Abbildung 4 berücksichtigt diese Kopplung über die Rückkopplung zwischen Clustering und Kalibrierung, liefert aber kein vollständig geschlossenes simultanes Optimierungsmodell. [Q1, S. 23]</w:t>
      </w:r>
    </w:p>
    <w:bookmarkEnd w:id="65"/>
    <w:bookmarkEnd w:id="66"/>
    <w:bookmarkStart w:id="70" w:name="X2bd9b7d9d7aceee4664f66958232875f09fc1aa"/>
    <w:p>
      <w:pPr>
        <w:pStyle w:val="Heading1"/>
      </w:pPr>
      <w:r>
        <w:t xml:space="preserve">10. Einbindung in die TYNDP-Ausbauoptimierung</w:t>
      </w:r>
    </w:p>
    <w:bookmarkStart w:id="67" w:name="unterschied-zum-ntc-marktmodell-d"/>
    <w:p>
      <w:pPr>
        <w:pStyle w:val="Heading2"/>
      </w:pPr>
      <w:r>
        <w:t xml:space="preserve">10.1 Unterschied zum NTC-Marktmodell [D]</w:t>
      </w:r>
    </w:p>
    <w:p>
      <w:pPr>
        <w:pStyle w:val="FirstParagraph"/>
      </w:pPr>
      <w:r>
        <w:t xml:space="preserve">Im konventionellen NTC-Modell werden Länder beziehungsweise bestehende Bietzonen durch Kupferplatten und grenzüberschreitende, im Wesentlichen unabhängig begrenzte Transfermöglichkeiten repräsentiert. Kommerzielle Marktaustausche entsprechen deshalb nicht zwingend den realen physikalischen Flüssen; insbesondere können Maschen- und Transitflüsse nicht vollständig dargestellt werden. Der zonale Ansatz führt demgegenüber die</w:t>
      </w:r>
      <w:r>
        <w:t xml:space="preserve"> </w:t>
      </w:r>
      <w:r>
        <w:rPr>
          <w:b/>
          <w:bCs/>
        </w:rPr>
        <w:t xml:space="preserve">Maschengleichungen des physischen AC-Verbundnetzes in DC-Näherung</w:t>
      </w:r>
      <w:r>
        <w:t xml:space="preserve"> </w:t>
      </w:r>
      <w:r>
        <w:t xml:space="preserve">in das Marktmodell ein und erlaubt interne zonale Verbindungen. [Q1, S. 21–23]</w:t>
      </w:r>
    </w:p>
    <w:p>
      <w:pPr>
        <w:pStyle w:val="BodyText"/>
      </w:pPr>
      <w:r>
        <w:t xml:space="preserve">In einer geeigneten linearen Marktrepräsentation treten daher neben den bilanzierten Einspeisungen</w:t>
      </w:r>
      <w:r>
        <w:t xml:space="preserve"> </w:t>
      </w:r>
      <m:oMath>
        <m:sSubSup>
          <m:e>
            <m:r>
              <m:t>p</m:t>
            </m:r>
          </m:e>
          <m:sub>
            <m:r>
              <m:t>t</m:t>
            </m:r>
          </m:sub>
          <m:sup>
            <m:r>
              <m:rPr>
                <m:sty m:val="p"/>
              </m:rPr>
              <m:t>z</m:t>
            </m:r>
          </m:sup>
        </m:sSubSup>
      </m:oMath>
      <w:r>
        <w:t xml:space="preserve"> </w:t>
      </w:r>
      <w:r>
        <w:t xml:space="preserve">Bedingungen der Art</w:t>
      </w:r>
    </w:p>
    <w:p>
      <w:pPr>
        <w:pStyle w:val="BodyText"/>
        <w:tabs>
          <w:tab w:pos="8856" w:val="right"/>
        </w:tabs>
      </w:pPr>
      <m:oMathPara>
        <m:oMathParaPr>
          <m:jc m:val="center"/>
        </m:oMathParaPr>
        <m:oMath>
          <m:sSub>
            <m:e>
              <m:r>
                <m:t>A</m:t>
              </m:r>
            </m:e>
            <m:sub>
              <m:r>
                <m:rPr>
                  <m:sty m:val="p"/>
                </m:rPr>
                <m:t>z</m:t>
              </m:r>
            </m:sub>
          </m:sSub>
          <m:sSub>
            <m:e>
              <m:acc>
                <m:accPr>
                  <m:chr m:val="̂"/>
                </m:accPr>
                <m:e>
                  <m:r>
                    <m:t>f</m:t>
                  </m:r>
                </m:e>
              </m:acc>
            </m:e>
            <m:sub>
              <m:r>
                <m:t>t</m:t>
              </m:r>
            </m:sub>
          </m:sSub>
          <m:r>
            <m:rPr>
              <m:sty m:val="p"/>
            </m:rPr>
            <m:t>=</m:t>
          </m:r>
          <m:sSubSup>
            <m:e>
              <m:r>
                <m:t>p</m:t>
              </m:r>
            </m:e>
            <m:sub>
              <m:r>
                <m:t>t</m:t>
              </m:r>
            </m:sub>
            <m:sup>
              <m:r>
                <m:rPr>
                  <m:sty m:val="p"/>
                </m:rPr>
                <m:t>z</m:t>
              </m:r>
            </m:sup>
          </m:sSubSup>
          <m:r>
            <m:rPr>
              <m:sty m:val="p"/>
            </m:rPr>
            <m:t>,</m:t>
          </m:r>
          <m:r>
            <m:t>  </m:t>
          </m:r>
          <m:sSup>
            <m:e>
              <m:r>
                <m:t>C</m:t>
              </m:r>
            </m:e>
            <m:sup>
              <m:r>
                <m:rPr>
                  <m:sty m:val="p"/>
                  <m:scr m:val="sans-serif"/>
                </m:rPr>
                <m:t>T</m:t>
              </m:r>
            </m:sup>
          </m:sSup>
          <m:r>
            <m:t>X</m:t>
          </m:r>
          <m:d>
            <m:dPr>
              <m:begChr m:val="("/>
              <m:endChr m:val=")"/>
              <m:sepChr m:val=""/>
              <m:grow/>
            </m:dPr>
            <m:e>
              <m:sSub>
                <m:e>
                  <m:acc>
                    <m:accPr>
                      <m:chr m:val="̂"/>
                    </m:accPr>
                    <m:e>
                      <m:r>
                        <m:t>f</m:t>
                      </m:r>
                    </m:e>
                  </m:acc>
                </m:e>
                <m:sub>
                  <m:r>
                    <m:t>t</m:t>
                  </m:r>
                </m:sub>
              </m:sSub>
              <m:r>
                <m:rPr>
                  <m:sty m:val="p"/>
                </m:rPr>
                <m:t>−</m:t>
              </m:r>
              <m:sSup>
                <m:e>
                  <m:r>
                    <m:t>c</m:t>
                  </m:r>
                </m:e>
                <m:sup>
                  <m:r>
                    <m:t>0</m:t>
                  </m:r>
                </m:sup>
              </m:sSup>
            </m:e>
          </m:d>
          <m:r>
            <m:rPr>
              <m:sty m:val="p"/>
            </m:rPr>
            <m:t>=</m:t>
          </m:r>
          <m:r>
            <m:t>0</m:t>
          </m:r>
          <m:r>
            <m:rPr>
              <m:sty m:val="p"/>
            </m:rPr>
            <m:t>,</m:t>
          </m:r>
        </m:oMath>
      </m:oMathPara>
      <w:r>
        <w:rPr>
          <w:color w:val="374151"/>
          <w:sz w:val="18"/>
        </w:rPr>
        <w:tab/>
        <w:t>(37)</w:t>
      </w:r>
    </w:p>
    <w:p>
      <w:pPr>
        <w:pStyle w:val="FirstParagraph"/>
      </w:pPr>
      <w:r>
        <w:t xml:space="preserve">und – soweit im betreffenden Modus aktiviert – Kapazitätsrestriktionen</w:t>
      </w:r>
    </w:p>
    <w:p>
      <w:pPr>
        <w:pStyle w:val="BodyText"/>
        <w:tabs>
          <w:tab w:pos="8856" w:val="right"/>
        </w:tabs>
      </w:pPr>
      <m:oMathPara>
        <m:oMathParaPr>
          <m:jc m:val="center"/>
        </m:oMathParaPr>
        <m:oMath>
          <m:r>
            <m:rPr>
              <m:sty m:val="p"/>
            </m:rPr>
            <m:t>−</m:t>
          </m:r>
          <m:sSub>
            <m:e>
              <m:r>
                <m:t>K</m:t>
              </m:r>
            </m:e>
            <m:sub>
              <m:r>
                <m:t>e</m:t>
              </m:r>
              <m:r>
                <m:rPr>
                  <m:sty m:val="p"/>
                </m:rPr>
                <m:t>,</m:t>
              </m:r>
              <m:r>
                <m:t>σ</m:t>
              </m:r>
              <m:r>
                <m:rPr>
                  <m:sty m:val="p"/>
                </m:rPr>
                <m:t>,</m:t>
              </m:r>
              <m:r>
                <m:rPr>
                  <m:sty m:val="p"/>
                </m:rPr>
                <m:t>−</m:t>
              </m:r>
            </m:sub>
          </m:sSub>
          <m:r>
            <m:rPr>
              <m:sty m:val="p"/>
            </m:rPr>
            <m:t>≤</m:t>
          </m:r>
          <m:sSub>
            <m:e>
              <m:acc>
                <m:accPr>
                  <m:chr m:val="̂"/>
                </m:accPr>
                <m:e>
                  <m:r>
                    <m:t>f</m:t>
                  </m:r>
                </m:e>
              </m:acc>
            </m:e>
            <m:sub>
              <m:r>
                <m:t>e</m:t>
              </m:r>
              <m:r>
                <m:rPr>
                  <m:sty m:val="p"/>
                </m:rPr>
                <m:t>,</m:t>
              </m:r>
              <m:r>
                <m:t>t</m:t>
              </m:r>
            </m:sub>
          </m:sSub>
          <m:r>
            <m:rPr>
              <m:sty m:val="p"/>
            </m:rPr>
            <m:t>≤</m:t>
          </m:r>
          <m:sSub>
            <m:e>
              <m:r>
                <m:t>K</m:t>
              </m:r>
            </m:e>
            <m:sub>
              <m:r>
                <m:t>e</m:t>
              </m:r>
              <m:r>
                <m:rPr>
                  <m:sty m:val="p"/>
                </m:rPr>
                <m:t>,</m:t>
              </m:r>
              <m:r>
                <m:t>σ</m:t>
              </m:r>
              <m:r>
                <m:rPr>
                  <m:sty m:val="p"/>
                </m:rPr>
                <m:t>,</m:t>
              </m:r>
              <m:r>
                <m:rPr>
                  <m:sty m:val="p"/>
                </m:rPr>
                <m:t>+</m:t>
              </m:r>
            </m:sub>
          </m:sSub>
          <m:r>
            <m:rPr>
              <m:sty m:val="p"/>
            </m:rPr>
            <m:t>.</m:t>
          </m:r>
        </m:oMath>
      </m:oMathPara>
      <w:r>
        <w:rPr>
          <w:color w:val="374151"/>
          <w:sz w:val="18"/>
        </w:rPr>
        <w:tab/>
        <w:t>(38)</w:t>
      </w:r>
    </w:p>
    <w:p>
      <w:pPr>
        <w:pStyle w:val="FirstParagraph"/>
      </w:pPr>
      <w:r>
        <w:t xml:space="preserve">Die Kombination aus (37)–(38) beschreibt lediglich die</w:t>
      </w:r>
      <w:r>
        <w:t xml:space="preserve"> </w:t>
      </w:r>
      <w:r>
        <w:rPr>
          <w:b/>
          <w:bCs/>
        </w:rPr>
        <w:t xml:space="preserve">elektrische Teilstruktur</w:t>
      </w:r>
      <w:r>
        <w:t xml:space="preserve"> </w:t>
      </w:r>
      <w:r>
        <w:t xml:space="preserve">und ersetzt weder die Marktbilanz- und Einsatzbedingungen noch das vollständige stochastische Ausbauoptimierungsmodell aus § 3.1. [R]</w:t>
      </w:r>
    </w:p>
    <w:bookmarkEnd w:id="67"/>
    <w:bookmarkStart w:id="68" w:name="X424abe2d22b01c17870bf44a514e17cd72e2a43"/>
    <w:p>
      <w:pPr>
        <w:pStyle w:val="Heading2"/>
      </w:pPr>
      <w:r>
        <w:t xml:space="preserve">10.2 LF-Ausbauoptimierung und ergänzender OPF-Modus [D]</w:t>
      </w:r>
    </w:p>
    <w:p>
      <w:pPr>
        <w:pStyle w:val="FirstParagraph"/>
      </w:pPr>
      <w:r>
        <w:t xml:space="preserve">§ 3.9 beschreibt zwei verschiedene Einsatzweisen des zonalen Netzes.</w:t>
      </w:r>
    </w:p>
    <w:p>
      <w:pPr>
        <w:pStyle w:val="BodyText"/>
      </w:pPr>
      <w:r>
        <w:rPr>
          <w:b/>
          <w:bCs/>
        </w:rPr>
        <w:t xml:space="preserve">LF-Modus – eigentliche IoSN-Ausbauoptimierung.</w:t>
      </w:r>
      <w:r>
        <w:t xml:space="preserve"> </w:t>
      </w:r>
      <w:r>
        <w:t xml:space="preserve">Die physikalische Verteilung über das vermaschte reduzierte Netz bleibt erhalten, bestehende</w:t>
      </w:r>
      <w:r>
        <w:t xml:space="preserve"> </w:t>
      </w:r>
      <w:r>
        <w:rPr>
          <w:b/>
          <w:bCs/>
        </w:rPr>
        <w:t xml:space="preserve">interne</w:t>
      </w:r>
      <w:r>
        <w:t xml:space="preserve"> </w:t>
      </w:r>
      <w:r>
        <w:t xml:space="preserve">Netzeinschränkungen sollen die Wahl neuer grenzüberschreitender Investitionen aber nicht vorbestimmen. Der Text bezeichnet dies als Aktivierung ausschließlich grenzüberschreitender Kapazitäten und als Deaktivierung der internen Interzonen-Kapazitätsgrenzen. [Q1, S. 29]</w:t>
      </w:r>
    </w:p>
    <w:p>
      <w:pPr>
        <w:pStyle w:val="BodyText"/>
      </w:pPr>
      <w:r>
        <w:rPr>
          <w:b/>
          <w:bCs/>
        </w:rPr>
        <w:t xml:space="preserve">OPF-Modus – ergänzende Bewertung.</w:t>
      </w:r>
      <w:r>
        <w:t xml:space="preserve"> </w:t>
      </w:r>
      <w:r>
        <w:t xml:space="preserve">Zusätzliche Dispatchanalysen mit aktiven internen Netzgrenzen sollen Redispatchänderungen, mögliche interne Verstärkungsbedarfe und die Wirtschaftlichkeit des im LF-Modus gefundenen Portfolios unter tatsächlichen internen Restriktionen untersuchen. Eine ergänzende OPF-Ausbauoptimierung wird dabei auf das LF-Portfolio begrenzt, um einen Ausbau bloß zur Umgehung bereits bestehender interner Engpässe zu vermeiden. [Q1, S. 29]</w:t>
      </w:r>
    </w:p>
    <w:p>
      <w:pPr>
        <w:pStyle w:val="BodyText"/>
      </w:pPr>
      <w:r>
        <w:t xml:space="preserve">Für eine formale Variantenimplementierung könnte man eine Menge</w:t>
      </w:r>
      <w:r>
        <w:t xml:space="preserve"> </w:t>
      </w:r>
      <m:oMath>
        <m:sSup>
          <m:e>
            <m:r>
              <m:t>E</m:t>
            </m:r>
          </m:e>
          <m:sup>
            <m:r>
              <m:rPr>
                <m:sty m:val="p"/>
              </m:rPr>
              <m:t>c</m:t>
            </m:r>
            <m:r>
              <m:rPr>
                <m:sty m:val="p"/>
              </m:rPr>
              <m:t>r</m:t>
            </m:r>
            <m:r>
              <m:rPr>
                <m:sty m:val="p"/>
              </m:rPr>
              <m:t>o</m:t>
            </m:r>
            <m:r>
              <m:rPr>
                <m:sty m:val="p"/>
              </m:rPr>
              <m:t>s</m:t>
            </m:r>
            <m:r>
              <m:rPr>
                <m:sty m:val="p"/>
              </m:rPr>
              <m:t>s</m:t>
            </m:r>
          </m:sup>
        </m:sSup>
      </m:oMath>
      <w:r>
        <w:t xml:space="preserve"> </w:t>
      </w:r>
      <w:r>
        <w:t xml:space="preserve">grenzüberschreitender AC-Verbindungen und eine Menge</w:t>
      </w:r>
      <w:r>
        <w:t xml:space="preserve"> </w:t>
      </w:r>
      <m:oMath>
        <m:sSup>
          <m:e>
            <m:r>
              <m:t>E</m:t>
            </m:r>
          </m:e>
          <m:sup>
            <m:r>
              <m:rPr>
                <m:sty m:val="p"/>
              </m:rPr>
              <m:t>i</m:t>
            </m:r>
            <m:r>
              <m:rPr>
                <m:sty m:val="p"/>
              </m:rPr>
              <m:t>n</m:t>
            </m:r>
            <m:r>
              <m:rPr>
                <m:sty m:val="p"/>
              </m:rPr>
              <m:t>t</m:t>
            </m:r>
            <m:r>
              <m:rPr>
                <m:sty m:val="p"/>
              </m:rPr>
              <m:t>e</m:t>
            </m:r>
            <m:r>
              <m:rPr>
                <m:sty m:val="p"/>
              </m:rPr>
              <m:t>r</m:t>
            </m:r>
            <m:r>
              <m:rPr>
                <m:sty m:val="p"/>
              </m:rPr>
              <m:t>n</m:t>
            </m:r>
            <m:r>
              <m:rPr>
                <m:sty m:val="p"/>
              </m:rPr>
              <m:t>a</m:t>
            </m:r>
            <m:r>
              <m:rPr>
                <m:sty m:val="p"/>
              </m:rPr>
              <m:t>l</m:t>
            </m:r>
          </m:sup>
        </m:sSup>
      </m:oMath>
      <w:r>
        <w:t xml:space="preserve"> </w:t>
      </w:r>
      <w:r>
        <w:t xml:space="preserve">interner Interzonenverbindungen definieren und dann schreiben [R]:</w:t>
      </w:r>
    </w:p>
    <w:p>
      <w:pPr>
        <w:pStyle w:val="BodyText"/>
        <w:tabs>
          <w:tab w:pos="8856" w:val="right"/>
        </w:tabs>
      </w:pPr>
      <m:oMathPara>
        <m:oMathParaPr>
          <m:jc m:val="center"/>
        </m:oMathParaPr>
        <m:oMath>
          <m:m>
            <m:mPr>
              <m:baseJc m:val="center"/>
              <m:plcHide m:val="on"/>
              <m:mcs>
                <m:mc>
                  <m:mcPr>
                    <m:mcJc m:val="left"/>
                    <m:count m:val="1"/>
                  </m:mcPr>
                </m:mc>
                <m:mc>
                  <m:mcPr>
                    <m:mcJc m:val="left"/>
                    <m:count m:val="1"/>
                  </m:mcPr>
                </m:mc>
              </m:mcs>
            </m:mPr>
            <m:mr>
              <m:e>
                <m:r>
                  <m:rPr>
                    <m:nor/>
                    <m:sty m:val="p"/>
                  </m:rPr>
                  <m:t>LF:</m:t>
                </m:r>
              </m:e>
              <m:e>
                <m:d>
                  <m:dPr>
                    <m:begChr m:val="|"/>
                    <m:endChr m:val="|"/>
                    <m:sepChr m:val=""/>
                    <m:grow/>
                  </m:dPr>
                  <m:e>
                    <m:sSub>
                      <m:e>
                        <m:acc>
                          <m:accPr>
                            <m:chr m:val="̂"/>
                          </m:accPr>
                          <m:e>
                            <m:r>
                              <m:t>f</m:t>
                            </m:r>
                          </m:e>
                        </m:acc>
                      </m:e>
                      <m:sub>
                        <m:r>
                          <m:t>e</m:t>
                        </m:r>
                      </m:sub>
                    </m:sSub>
                  </m:e>
                </m:d>
                <m:r>
                  <m:t> </m:t>
                </m:r>
                <m:r>
                  <m:rPr>
                    <m:nor/>
                    <m:sty m:val="p"/>
                  </m:rPr>
                  <m:t>begrenzt, falls </m:t>
                </m:r>
                <m:r>
                  <m:t>e</m:t>
                </m:r>
                <m:r>
                  <m:rPr>
                    <m:sty m:val="p"/>
                  </m:rPr>
                  <m:t>∈</m:t>
                </m:r>
                <m:sSup>
                  <m:e>
                    <m:r>
                      <m:t>E</m:t>
                    </m:r>
                  </m:e>
                  <m:sup>
                    <m:r>
                      <m:rPr>
                        <m:sty m:val="p"/>
                      </m:rPr>
                      <m:t>c</m:t>
                    </m:r>
                    <m:r>
                      <m:rPr>
                        <m:sty m:val="p"/>
                      </m:rPr>
                      <m:t>r</m:t>
                    </m:r>
                    <m:r>
                      <m:rPr>
                        <m:sty m:val="p"/>
                      </m:rPr>
                      <m:t>o</m:t>
                    </m:r>
                    <m:r>
                      <m:rPr>
                        <m:sty m:val="p"/>
                      </m:rPr>
                      <m:t>s</m:t>
                    </m:r>
                    <m:r>
                      <m:rPr>
                        <m:sty m:val="p"/>
                      </m:rPr>
                      <m:t>s</m:t>
                    </m:r>
                  </m:sup>
                </m:sSup>
                <m:r>
                  <m:rPr>
                    <m:sty m:val="p"/>
                  </m:rPr>
                  <m:t>;</m:t>
                </m:r>
                <m:r>
                  <m:t> </m:t>
                </m:r>
                <m:sSub>
                  <m:e>
                    <m:bar>
                      <m:barPr>
                        <m:pos m:val="top"/>
                      </m:barPr>
                      <m:e>
                        <m:r>
                          <m:t>f</m:t>
                        </m:r>
                      </m:e>
                    </m:bar>
                  </m:e>
                  <m:sub>
                    <m:r>
                      <m:t>e</m:t>
                    </m:r>
                  </m:sub>
                </m:sSub>
                <m:r>
                  <m:rPr>
                    <m:sty m:val="p"/>
                  </m:rPr>
                  <m:t>=</m:t>
                </m:r>
                <m:r>
                  <m:rPr>
                    <m:sty m:val="p"/>
                  </m:rPr>
                  <m:t>+</m:t>
                </m:r>
                <m:r>
                  <m:rPr>
                    <m:sty m:val="p"/>
                  </m:rPr>
                  <m:t>∞</m:t>
                </m:r>
                <m:r>
                  <m:rPr>
                    <m:sty m:val="p"/>
                  </m:rPr>
                  <m:t>,</m:t>
                </m:r>
                <m:r>
                  <m:t> </m:t>
                </m:r>
                <m:r>
                  <m:t>e</m:t>
                </m:r>
                <m:r>
                  <m:rPr>
                    <m:sty m:val="p"/>
                  </m:rPr>
                  <m:t>∈</m:t>
                </m:r>
                <m:sSup>
                  <m:e>
                    <m:r>
                      <m:t>E</m:t>
                    </m:r>
                  </m:e>
                  <m:sup>
                    <m:r>
                      <m:rPr>
                        <m:sty m:val="p"/>
                      </m:rPr>
                      <m:t>i</m:t>
                    </m:r>
                    <m:r>
                      <m:rPr>
                        <m:sty m:val="p"/>
                      </m:rPr>
                      <m:t>n</m:t>
                    </m:r>
                    <m:r>
                      <m:rPr>
                        <m:sty m:val="p"/>
                      </m:rPr>
                      <m:t>t</m:t>
                    </m:r>
                    <m:r>
                      <m:rPr>
                        <m:sty m:val="p"/>
                      </m:rPr>
                      <m:t>e</m:t>
                    </m:r>
                    <m:r>
                      <m:rPr>
                        <m:sty m:val="p"/>
                      </m:rPr>
                      <m:t>r</m:t>
                    </m:r>
                    <m:r>
                      <m:rPr>
                        <m:sty m:val="p"/>
                      </m:rPr>
                      <m:t>n</m:t>
                    </m:r>
                    <m:r>
                      <m:rPr>
                        <m:sty m:val="p"/>
                      </m:rPr>
                      <m:t>a</m:t>
                    </m:r>
                    <m:r>
                      <m:rPr>
                        <m:sty m:val="p"/>
                      </m:rPr>
                      <m:t>l</m:t>
                    </m:r>
                  </m:sup>
                </m:sSup>
                <m:r>
                  <m:rPr>
                    <m:sty m:val="p"/>
                  </m:rPr>
                  <m:t>,</m:t>
                </m:r>
              </m:e>
            </m:mr>
            <m:mr>
              <m:e>
                <m:r>
                  <m:rPr>
                    <m:nor/>
                    <m:sty m:val="p"/>
                  </m:rPr>
                  <m:t>OPF:</m:t>
                </m:r>
              </m:e>
              <m:e>
                <m:sSub>
                  <m:e>
                    <m:acc>
                      <m:accPr>
                        <m:chr m:val="̂"/>
                      </m:accPr>
                      <m:e>
                        <m:r>
                          <m:t>f</m:t>
                        </m:r>
                      </m:e>
                    </m:acc>
                  </m:e>
                  <m:sub>
                    <m:r>
                      <m:t>e</m:t>
                    </m:r>
                  </m:sub>
                </m:sSub>
                <m:r>
                  <m:t> </m:t>
                </m:r>
                <m:r>
                  <m:rPr>
                    <m:nor/>
                    <m:sty m:val="p"/>
                  </m:rPr>
                  <m:t>mit aktiven internen und externen Grenzen.</m:t>
                </m:r>
              </m:e>
            </m:mr>
          </m:m>
        </m:oMath>
      </m:oMathPara>
      <w:r>
        <w:rPr>
          <w:color w:val="374151"/>
          <w:sz w:val="18"/>
        </w:rPr>
        <w:tab/>
        <w:t>(39)</w:t>
      </w:r>
    </w:p>
    <w:p>
      <w:pPr>
        <w:pStyle w:val="FirstParagraph"/>
      </w:pPr>
      <w:r>
        <w:rPr>
          <w:b/>
          <w:bCs/>
        </w:rPr>
        <w:t xml:space="preserve">Dokumentarischer Widerspruch [U]:</w:t>
      </w:r>
      <w:r>
        <w:t xml:space="preserve"> </w:t>
      </w:r>
      <w:r>
        <w:t xml:space="preserve">Derselbe § 3.9 spricht gleichzeitig von „only cross-border capacities are activated“ und pauschal davon, dass „interzone capacities are set to infinity“. Weil auch grenzüberschreitende Verbindungen Interzonenverbindungen sein können, ist die Passage terminologisch nicht vollständig eindeutig. Gleichung (39) stellt die sachlogisch naheliegende Lesart der erklärten Zielsetzung dar, nicht eine aus dem Text zweifelsfrei ableitbare formale Zuordnungsregel.</w:t>
      </w:r>
    </w:p>
    <w:bookmarkEnd w:id="68"/>
    <w:bookmarkStart w:id="69" w:name="X363ed30aa897f8e15fe87465c57cb4318aef30b"/>
    <w:p>
      <w:pPr>
        <w:pStyle w:val="Heading2"/>
      </w:pPr>
      <w:r>
        <w:t xml:space="preserve">10.3 Konsequenzen für Netzausbauentscheidungen [A]</w:t>
      </w:r>
    </w:p>
    <w:p>
      <w:pPr>
        <w:pStyle w:val="FirstParagraph"/>
      </w:pPr>
      <w:r>
        <w:t xml:space="preserve">Ein physikalisch kalibriertes zonales Modell kann räumliche Übertragungswege und Kreisflüsse besser berücksichtigen als eine unabhängige NTC-Transferstruktur. Zugleich entscheidet die LF-/OPF-Moduswahl darüber,</w:t>
      </w:r>
      <w:r>
        <w:t xml:space="preserve"> </w:t>
      </w:r>
      <w:r>
        <w:rPr>
          <w:b/>
          <w:bCs/>
        </w:rPr>
        <w:t xml:space="preserve">welche</w:t>
      </w:r>
      <w:r>
        <w:t xml:space="preserve"> </w:t>
      </w:r>
      <w:r>
        <w:t xml:space="preserve">Engpässe tatsächlich die Investitionsentscheidung beschränken. Die Genauigkeit der Ersatzkapazitäten wirkt im LF-Modus auf aktivierte Grenzen anders als in der späteren OPF-Bewertung. Deshalb ist die Unterscheidung zwischen</w:t>
      </w:r>
      <w:r>
        <w:t xml:space="preserve"> </w:t>
      </w:r>
      <w:r>
        <w:rPr>
          <w:i/>
          <w:iCs/>
        </w:rPr>
        <w:t xml:space="preserve">Qualität der Netzreduktion</w:t>
      </w:r>
      <w:r>
        <w:t xml:space="preserve"> </w:t>
      </w:r>
      <w:r>
        <w:t xml:space="preserve">und</w:t>
      </w:r>
      <w:r>
        <w:t xml:space="preserve"> </w:t>
      </w:r>
      <w:r>
        <w:rPr>
          <w:i/>
          <w:iCs/>
        </w:rPr>
        <w:t xml:space="preserve">Restriktionsaktivierung im Investitionsproblem</w:t>
      </w:r>
      <w:r>
        <w:t xml:space="preserve"> </w:t>
      </w:r>
      <w:r>
        <w:t xml:space="preserve">zentral: Ein gut kalibrierter Interzonenfluss impliziert noch nicht, dass im betreffenden Studienmodus auch seine Kapazitätsgrenze bindend ist.</w:t>
      </w:r>
    </w:p>
    <w:bookmarkEnd w:id="69"/>
    <w:bookmarkEnd w:id="70"/>
    <w:bookmarkStart w:id="74" w:name="numerische-illustrationen-und-grenzfälle"/>
    <w:p>
      <w:pPr>
        <w:pStyle w:val="Heading1"/>
      </w:pPr>
      <w:r>
        <w:t xml:space="preserve">11. Numerische Illustrationen und Grenzfälle</w:t>
      </w:r>
    </w:p>
    <w:p>
      <w:pPr>
        <w:pStyle w:val="FirstParagraph"/>
      </w:pPr>
      <w:r>
        <w:t xml:space="preserve">Die folgenden Beispiele sind</w:t>
      </w:r>
      <w:r>
        <w:t xml:space="preserve"> </w:t>
      </w:r>
      <w:r>
        <w:rPr>
          <w:b/>
          <w:bCs/>
        </w:rPr>
        <w:t xml:space="preserve">eigene synthetische Beispiele</w:t>
      </w:r>
      <w:r>
        <w:t xml:space="preserve">. Sie stammen nicht aus TYNDP-Datensätzen und dienen ausschließlich zur mathematischen Plausibilisierung der veröffentlichten Prinzipien.</w:t>
      </w:r>
    </w:p>
    <w:bookmarkStart w:id="71" w:name="bilanz-ohne-maschengleichungsäquivalenz"/>
    <w:p>
      <w:pPr>
        <w:pStyle w:val="Heading2"/>
      </w:pPr>
      <w:r>
        <w:t xml:space="preserve">11.1 Bilanz ohne Maschengleichungsäquivalenz</w:t>
      </w:r>
    </w:p>
    <w:p>
      <w:pPr>
        <w:pStyle w:val="FirstParagraph"/>
      </w:pPr>
      <w:r>
        <w:t xml:space="preserve">Betrachte drei reduzierte Zonen mit einer ringförmigen AC-Verbindung, den gleichgerichteten Kanten</w:t>
      </w:r>
      <w:r>
        <w:t xml:space="preserve"> </w:t>
      </w:r>
      <m:oMath>
        <m:r>
          <m:t>1</m:t>
        </m:r>
        <m:r>
          <m:rPr>
            <m:sty m:val="p"/>
          </m:rPr>
          <m:t>→</m:t>
        </m:r>
        <m:r>
          <m:t>2</m:t>
        </m:r>
      </m:oMath>
      <w:r>
        <w:t xml:space="preserve">,</w:t>
      </w:r>
      <w:r>
        <w:t xml:space="preserve"> </w:t>
      </w:r>
      <m:oMath>
        <m:r>
          <m:t>2</m:t>
        </m:r>
        <m:r>
          <m:rPr>
            <m:sty m:val="p"/>
          </m:rPr>
          <m:t>→</m:t>
        </m:r>
        <m:r>
          <m:t>3</m:t>
        </m:r>
      </m:oMath>
      <w:r>
        <w:t xml:space="preserve">,</w:t>
      </w:r>
      <w:r>
        <w:t xml:space="preserve"> </w:t>
      </w:r>
      <m:oMath>
        <m:r>
          <m:t>3</m:t>
        </m:r>
        <m:r>
          <m:rPr>
            <m:sty m:val="p"/>
          </m:rPr>
          <m:t>→</m:t>
        </m:r>
        <m:r>
          <m:t>1</m:t>
        </m:r>
      </m:oMath>
      <w:r>
        <w:t xml:space="preserve">. Die Inzidenzmatrix ist</w:t>
      </w:r>
    </w:p>
    <w:p>
      <w:pPr>
        <w:pStyle w:val="BodyText"/>
        <w:tabs>
          <w:tab w:pos="8856" w:val="right"/>
        </w:tabs>
      </w:pPr>
      <m:oMathPara>
        <m:oMathParaPr>
          <m:jc m:val="center"/>
        </m:oMathParaPr>
        <m:oMath>
          <m:sSub>
            <m:e>
              <m:r>
                <m:t>A</m:t>
              </m:r>
            </m:e>
            <m:sub>
              <m:r>
                <m:rPr>
                  <m:sty m:val="p"/>
                </m:rPr>
                <m:t>z</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rPr>
                        <m:sty m:val="p"/>
                      </m:rPr>
                      <m:t>−</m:t>
                    </m:r>
                    <m:r>
                      <m:t>1</m:t>
                    </m:r>
                  </m:e>
                </m:mr>
                <m:mr>
                  <m:e>
                    <m:r>
                      <m:rPr>
                        <m:sty m:val="p"/>
                      </m:rPr>
                      <m:t>−</m:t>
                    </m:r>
                    <m:r>
                      <m:t>1</m:t>
                    </m:r>
                  </m:e>
                  <m:e>
                    <m:r>
                      <m:t>1</m:t>
                    </m:r>
                  </m:e>
                  <m:e>
                    <m:r>
                      <m:t>0</m:t>
                    </m:r>
                  </m:e>
                </m:mr>
                <m:mr>
                  <m:e>
                    <m:r>
                      <m:t>0</m:t>
                    </m:r>
                  </m:e>
                  <m:e>
                    <m:r>
                      <m:rPr>
                        <m:sty m:val="p"/>
                      </m:rPr>
                      <m:t>−</m:t>
                    </m:r>
                    <m:r>
                      <m:t>1</m:t>
                    </m:r>
                  </m:e>
                  <m:e>
                    <m:r>
                      <m:t>1</m:t>
                    </m:r>
                  </m:e>
                </m:mr>
              </m:m>
            </m:e>
          </m:d>
          <m:r>
            <m:rPr>
              <m:sty m:val="p"/>
            </m:rPr>
            <m:t>.</m:t>
          </m:r>
        </m:oMath>
      </m:oMathPara>
      <w:r>
        <w:rPr>
          <w:color w:val="374151"/>
          <w:sz w:val="18"/>
        </w:rPr>
        <w:tab/>
        <w:t>(40)</w:t>
      </w:r>
    </w:p>
    <w:p>
      <w:pPr>
        <w:pStyle w:val="FirstParagraph"/>
      </w:pPr>
      <w:r>
        <w:t xml:space="preserve">Für den reinen Kreisfluss</w:t>
      </w:r>
      <w:r>
        <w:t xml:space="preserve"> </w:t>
      </w:r>
      <m:oMath>
        <m:sSup>
          <m:e>
            <m:r>
              <m:t>c</m:t>
            </m:r>
          </m:e>
          <m:sup>
            <m:r>
              <m:t>0</m:t>
            </m:r>
          </m:sup>
        </m:sSup>
        <m:r>
          <m:rPr>
            <m:sty m:val="p"/>
          </m:rPr>
          <m:t>=</m:t>
        </m:r>
        <m:sSup>
          <m:e>
            <m:d>
              <m:dPr>
                <m:begChr m:val="("/>
                <m:endChr m:val=")"/>
                <m:sepChr m:val=""/>
                <m:grow/>
              </m:dPr>
              <m:e>
                <m:r>
                  <m:t>20</m:t>
                </m:r>
                <m:r>
                  <m:rPr>
                    <m:sty m:val="p"/>
                  </m:rPr>
                  <m:t>,</m:t>
                </m:r>
                <m:r>
                  <m:t>20</m:t>
                </m:r>
                <m:r>
                  <m:rPr>
                    <m:sty m:val="p"/>
                  </m:rPr>
                  <m:t>,</m:t>
                </m:r>
                <m:r>
                  <m:t>20</m:t>
                </m:r>
              </m:e>
            </m:d>
          </m:e>
          <m:sup>
            <m:r>
              <m:rPr>
                <m:sty m:val="p"/>
                <m:scr m:val="sans-serif"/>
              </m:rPr>
              <m:t>T</m:t>
            </m:r>
          </m:sup>
        </m:sSup>
        <m:r>
          <m:t> </m:t>
        </m:r>
        <m:r>
          <m:rPr>
            <m:sty m:val="p"/>
          </m:rPr>
          <m:t>M</m:t>
        </m:r>
        <m:r>
          <m:rPr>
            <m:sty m:val="p"/>
          </m:rPr>
          <m:t>W</m:t>
        </m:r>
      </m:oMath>
      <w:r>
        <w:t xml:space="preserve"> </w:t>
      </w:r>
      <w:r>
        <w:t xml:space="preserve">ist</w:t>
      </w:r>
      <w:r>
        <w:t xml:space="preserve"> </w:t>
      </w:r>
      <m:oMath>
        <m:sSub>
          <m:e>
            <m:r>
              <m:t>A</m:t>
            </m:r>
          </m:e>
          <m:sub>
            <m:r>
              <m:rPr>
                <m:sty m:val="p"/>
              </m:rPr>
              <m:t>z</m:t>
            </m:r>
          </m:sub>
        </m:sSub>
        <m:sSup>
          <m:e>
            <m:r>
              <m:t>c</m:t>
            </m:r>
          </m:e>
          <m:sup>
            <m:r>
              <m:t>0</m:t>
            </m:r>
          </m:sup>
        </m:sSup>
        <m:r>
          <m:rPr>
            <m:sty m:val="p"/>
          </m:rPr>
          <m:t>=</m:t>
        </m:r>
        <m:r>
          <m:t>0</m:t>
        </m:r>
      </m:oMath>
      <w:r>
        <w:t xml:space="preserve">. Der Fluss verletzt daher</w:t>
      </w:r>
      <w:r>
        <w:t xml:space="preserve"> </w:t>
      </w:r>
      <w:r>
        <w:rPr>
          <w:b/>
          <w:bCs/>
        </w:rPr>
        <w:t xml:space="preserve">keine</w:t>
      </w:r>
      <w:r>
        <w:t xml:space="preserve"> </w:t>
      </w:r>
      <w:r>
        <w:t xml:space="preserve">zonale Leistungsbilanz, obwohl jede Interzonenverbindung 20 MW führt. Ohne strukturellen Offset erzwingt das DC-Modell mit identischen positiven Reaktanzen und</w:t>
      </w:r>
      <w:r>
        <w:t xml:space="preserve"> </w:t>
      </w:r>
      <m:oMath>
        <m:r>
          <m:t>p</m:t>
        </m:r>
        <m:r>
          <m:rPr>
            <m:sty m:val="p"/>
          </m:rPr>
          <m:t>=</m:t>
        </m:r>
        <m:r>
          <m:t>0</m:t>
        </m:r>
      </m:oMath>
      <w:r>
        <w:t xml:space="preserve"> </w:t>
      </w:r>
      <w:r>
        <w:t xml:space="preserve">jedoch</w:t>
      </w:r>
      <w:r>
        <w:t xml:space="preserve"> </w:t>
      </w:r>
      <m:oMath>
        <m:r>
          <m:t>f</m:t>
        </m:r>
        <m:r>
          <m:rPr>
            <m:sty m:val="p"/>
          </m:rPr>
          <m:t>=</m:t>
        </m:r>
        <m:r>
          <m:t>0</m:t>
        </m:r>
      </m:oMath>
      <w:r>
        <w:t xml:space="preserve">, weil</w:t>
      </w:r>
      <w:r>
        <w:t xml:space="preserve"> </w:t>
      </w:r>
      <m:oMath>
        <m:sSup>
          <m:e>
            <m:r>
              <m:t>C</m:t>
            </m:r>
          </m:e>
          <m:sup>
            <m:r>
              <m:rPr>
                <m:sty m:val="p"/>
                <m:scr m:val="sans-serif"/>
              </m:rPr>
              <m:t>T</m:t>
            </m:r>
          </m:sup>
        </m:sSup>
        <m:r>
          <m:t>X</m:t>
        </m:r>
        <m:r>
          <m:t>f</m:t>
        </m:r>
        <m:r>
          <m:rPr>
            <m:sty m:val="p"/>
          </m:rPr>
          <m:t>=</m:t>
        </m:r>
        <m:r>
          <m:t>3</m:t>
        </m:r>
        <m:r>
          <m:t>x</m:t>
        </m:r>
        <m:r>
          <m:rPr>
            <m:sty m:val="p"/>
          </m:rPr>
          <m:t>⋅</m:t>
        </m:r>
        <m:r>
          <m:t>20</m:t>
        </m:r>
        <m:r>
          <m:rPr>
            <m:sty m:val="p"/>
          </m:rPr>
          <m:t>≠</m:t>
        </m:r>
        <m:r>
          <m:t>0</m:t>
        </m:r>
      </m:oMath>
      <w:r>
        <w:t xml:space="preserve">. Mit der Korrekturformulierung (19) wird</w:t>
      </w:r>
      <w:r>
        <w:t xml:space="preserve"> </w:t>
      </w:r>
      <m:oMath>
        <m:sSup>
          <m:e>
            <m:r>
              <m:t>C</m:t>
            </m:r>
          </m:e>
          <m:sup>
            <m:r>
              <m:rPr>
                <m:sty m:val="p"/>
                <m:scr m:val="sans-serif"/>
              </m:rPr>
              <m:t>T</m:t>
            </m:r>
          </m:sup>
        </m:sSup>
        <m:r>
          <m:t>X</m:t>
        </m:r>
        <m:d>
          <m:dPr>
            <m:begChr m:val="("/>
            <m:endChr m:val=")"/>
            <m:sepChr m:val=""/>
            <m:grow/>
          </m:dPr>
          <m:e>
            <m:r>
              <m:t>f</m:t>
            </m:r>
            <m:r>
              <m:rPr>
                <m:sty m:val="p"/>
              </m:rPr>
              <m:t>−</m:t>
            </m:r>
            <m:sSup>
              <m:e>
                <m:r>
                  <m:t>c</m:t>
                </m:r>
              </m:e>
              <m:sup>
                <m:r>
                  <m:t>0</m:t>
                </m:r>
              </m:sup>
            </m:sSup>
          </m:e>
        </m:d>
        <m:r>
          <m:rPr>
            <m:sty m:val="p"/>
          </m:rPr>
          <m:t>=</m:t>
        </m:r>
        <m:r>
          <m:t>0</m:t>
        </m:r>
      </m:oMath>
      <w:r>
        <w:t xml:space="preserve"> </w:t>
      </w:r>
      <w:r>
        <w:t xml:space="preserve">erfüllt.</w:t>
      </w:r>
    </w:p>
    <w:p>
      <w:pPr>
        <w:pStyle w:val="BodyText"/>
      </w:pPr>
      <w:r>
        <w:t xml:space="preserve">Das Beispiel illustriert den mathematischen Bedarf nach einer</w:t>
      </w:r>
      <w:r>
        <w:t xml:space="preserve"> </w:t>
      </w:r>
      <w:r>
        <w:rPr>
          <w:b/>
          <w:bCs/>
        </w:rPr>
        <w:t xml:space="preserve">gemeinsamen Definition</w:t>
      </w:r>
      <w:r>
        <w:t xml:space="preserve"> </w:t>
      </w:r>
      <w:r>
        <w:t xml:space="preserve">von Nullbilanzfluss und Maschenbedingungen. Es besagt</w:t>
      </w:r>
      <w:r>
        <w:t xml:space="preserve"> </w:t>
      </w:r>
      <w:r>
        <w:rPr>
          <w:b/>
          <w:bCs/>
        </w:rPr>
        <w:t xml:space="preserve">nicht</w:t>
      </w:r>
      <w:r>
        <w:t xml:space="preserve">, dass dieser Wert 20 MW in einem tatsächlichen ENTSO-E-Modell vorkommt.</w:t>
      </w:r>
    </w:p>
    <w:bookmarkEnd w:id="71"/>
    <w:bookmarkStart w:id="72" w:name="Xabb5cc8f96739e94646af0454d1c3e13cf8529e"/>
    <w:p>
      <w:pPr>
        <w:pStyle w:val="Heading2"/>
      </w:pPr>
      <w:r>
        <w:t xml:space="preserve">11.2 Fehlinterpretation einer aggregierten Grenzkapazität</w:t>
      </w:r>
    </w:p>
    <w:p>
      <w:pPr>
        <w:pStyle w:val="FirstParagraph"/>
      </w:pPr>
      <w:r>
        <w:t xml:space="preserve">Zwei physikalische Grenzleitungen haben angenommene thermische Grenzen von jeweils 300 MW. Eine naive Summation ergäbe</w:t>
      </w:r>
      <w:r>
        <w:t xml:space="preserve"> </w:t>
      </w:r>
      <m:oMath>
        <m:r>
          <m:t>600</m:t>
        </m:r>
        <m:r>
          <m:t> </m:t>
        </m:r>
        <m:r>
          <m:rPr>
            <m:sty m:val="p"/>
          </m:rPr>
          <m:t>M</m:t>
        </m:r>
        <m:r>
          <m:rPr>
            <m:sty m:val="p"/>
          </m:rPr>
          <m:t>W</m:t>
        </m:r>
      </m:oMath>
      <w:r>
        <w:t xml:space="preserve">. Unter einer betrachteten N-1-Kontingenz kann sich der Fluss beider Leitungen jedoch auf einen verbleibenden Kreis konzentrieren; im Allgemeinen folgt daraus</w:t>
      </w:r>
      <w:r>
        <w:t xml:space="preserve"> </w:t>
      </w:r>
      <w:r>
        <w:rPr>
          <w:b/>
          <w:bCs/>
        </w:rPr>
        <w:t xml:space="preserve">nicht</w:t>
      </w:r>
      <w:r>
        <w:t xml:space="preserve">, dass</w:t>
      </w:r>
      <w:r>
        <w:t xml:space="preserve"> </w:t>
      </w:r>
      <m:oMath>
        <m:r>
          <m:t>600</m:t>
        </m:r>
        <m:r>
          <m:t> </m:t>
        </m:r>
        <m:r>
          <m:rPr>
            <m:sty m:val="p"/>
          </m:rPr>
          <m:t>M</m:t>
        </m:r>
        <m:r>
          <m:rPr>
            <m:sty m:val="p"/>
          </m:rPr>
          <m:t>W</m:t>
        </m:r>
      </m:oMath>
      <w:r>
        <w:t xml:space="preserve"> </w:t>
      </w:r>
      <w:r>
        <w:t xml:space="preserve">sicher übertragbar wären. Die tatsächliche Ersatzgrenze hängt vom Ausfall, von den LODFs und von den simultanen Grundflüssen ab. Genau deshalb werden die Ersatzkapazitäten im Dokument</w:t>
      </w:r>
      <w:r>
        <w:t xml:space="preserve"> </w:t>
      </w:r>
      <w:r>
        <w:rPr>
          <w:b/>
          <w:bCs/>
        </w:rPr>
        <w:t xml:space="preserve">nicht</w:t>
      </w:r>
      <w:r>
        <w:t xml:space="preserve"> </w:t>
      </w:r>
      <w:r>
        <w:t xml:space="preserve">als reine Summen thermischer Leitungsgrenzen definiert. [Q1, S. 27 und 50]</w:t>
      </w:r>
    </w:p>
    <w:bookmarkEnd w:id="72"/>
    <w:bookmarkStart w:id="73" w:name="flussgüte-gegen-engpassgüte"/>
    <w:p>
      <w:pPr>
        <w:pStyle w:val="Heading2"/>
      </w:pPr>
      <w:r>
        <w:t xml:space="preserve">11.3 Flussgüte gegen Engpassgüte</w:t>
      </w:r>
    </w:p>
    <w:p>
      <w:pPr>
        <w:pStyle w:val="FirstParagraph"/>
      </w:pPr>
      <w:r>
        <w:t xml:space="preserve">Sei ein reduziertes Netz in 100 fiktiven Kalibrierungsstunden auf 99 Stunden mit einem Fehler von null und in einer seltenen extremen Engpassstunde auf einen Fehler von 500 MW kalibriert. Dann ist sein globaler ungewichteter Fehler</w:t>
      </w:r>
    </w:p>
    <w:p>
      <w:pPr>
        <w:pStyle w:val="BodyText"/>
        <w:tabs>
          <w:tab w:pos="8856" w:val="right"/>
        </w:tabs>
      </w:pPr>
      <m:oMathPara>
        <m:oMathParaPr>
          <m:jc m:val="center"/>
        </m:oMathParaPr>
        <m:oMath>
          <m:r>
            <m:rPr>
              <m:sty m:val="p"/>
            </m:rPr>
            <m:t>RMSE</m:t>
          </m:r>
          <m:r>
            <m:rPr>
              <m:sty m:val="p"/>
            </m:rPr>
            <m:t>=</m:t>
          </m:r>
          <m:rad>
            <m:radPr>
              <m:degHide m:val="on"/>
            </m:radPr>
            <m:deg/>
            <m:e>
              <m:f>
                <m:fPr>
                  <m:type m:val="bar"/>
                </m:fPr>
                <m:num>
                  <m:r>
                    <m:t>99</m:t>
                  </m:r>
                  <m:r>
                    <m:rPr>
                      <m:sty m:val="p"/>
                    </m:rPr>
                    <m:t>⋅</m:t>
                  </m:r>
                  <m:sSup>
                    <m:e>
                      <m:r>
                        <m:t>0</m:t>
                      </m:r>
                    </m:e>
                    <m:sup>
                      <m:r>
                        <m:t>2</m:t>
                      </m:r>
                    </m:sup>
                  </m:sSup>
                  <m:r>
                    <m:rPr>
                      <m:sty m:val="p"/>
                    </m:rPr>
                    <m:t>+</m:t>
                  </m:r>
                  <m:r>
                    <m:t>1</m:t>
                  </m:r>
                  <m:r>
                    <m:rPr>
                      <m:sty m:val="p"/>
                    </m:rPr>
                    <m:t>⋅</m:t>
                  </m:r>
                  <m:sSup>
                    <m:e>
                      <m:r>
                        <m:t>500</m:t>
                      </m:r>
                    </m:e>
                    <m:sup>
                      <m:r>
                        <m:t>2</m:t>
                      </m:r>
                    </m:sup>
                  </m:sSup>
                </m:num>
                <m:den>
                  <m:r>
                    <m:t>100</m:t>
                  </m:r>
                </m:den>
              </m:f>
            </m:e>
          </m:rad>
          <m:r>
            <m:rPr>
              <m:sty m:val="p"/>
            </m:rPr>
            <m:t>=</m:t>
          </m:r>
          <m:r>
            <m:t>50</m:t>
          </m:r>
          <m:r>
            <m:t> </m:t>
          </m:r>
          <m:r>
            <m:rPr>
              <m:sty m:val="p"/>
            </m:rPr>
            <m:t>M</m:t>
          </m:r>
          <m:r>
            <m:rPr>
              <m:sty m:val="p"/>
            </m:rPr>
            <m:t>W</m:t>
          </m:r>
          <m:r>
            <m:rPr>
              <m:sty m:val="p"/>
            </m:rPr>
            <m:t>.</m:t>
          </m:r>
        </m:oMath>
      </m:oMathPara>
      <w:r>
        <w:rPr>
          <w:color w:val="374151"/>
          <w:sz w:val="18"/>
        </w:rPr>
        <w:tab/>
        <w:t>(41)</w:t>
      </w:r>
    </w:p>
    <w:p>
      <w:pPr>
        <w:pStyle w:val="FirstParagraph"/>
      </w:pPr>
      <w:r>
        <w:t xml:space="preserve">Ein relativ kleiner Jahres-RMSE kann folglich gleichzeitig mit einem sehr hohen</w:t>
      </w:r>
      <w:r>
        <w:t xml:space="preserve"> </w:t>
      </w:r>
      <w:r>
        <w:rPr>
          <w:b/>
          <w:bCs/>
        </w:rPr>
        <w:t xml:space="preserve">einzelstündlichen</w:t>
      </w:r>
      <w:r>
        <w:t xml:space="preserve"> </w:t>
      </w:r>
      <w:r>
        <w:t xml:space="preserve">Engpassfehler auftreten. Diese arithmetische Aussage motiviert zusätzliche Tail- oder Stressstundenkriterien und widerlegt keine tatsächlich veröffentlichten numerischen ENTSO-E-Ergebnisse.</w:t>
      </w:r>
    </w:p>
    <w:bookmarkEnd w:id="73"/>
    <w:bookmarkEnd w:id="74"/>
    <w:bookmarkStart w:id="79" w:name="X7809cc95972cce62d10e0a9d52df3061d525bef"/>
    <w:p>
      <w:pPr>
        <w:pStyle w:val="Heading1"/>
      </w:pPr>
      <w:r>
        <w:t xml:space="preserve">12. Qualitätsmaße, Validierung und Unsicherheitsbewertung</w:t>
      </w:r>
    </w:p>
    <w:bookmarkStart w:id="75" w:name="X908d996c5b78e1828cfbc8589100b62780d9060"/>
    <w:p>
      <w:pPr>
        <w:pStyle w:val="Heading2"/>
      </w:pPr>
      <w:r>
        <w:t xml:space="preserve">12.1 In der Quelle angegebene Qualitätslogik [D]</w:t>
      </w:r>
    </w:p>
    <w:p>
      <w:pPr>
        <w:pStyle w:val="FirstParagraph"/>
      </w:pPr>
      <w:r>
        <w:t xml:space="preserve">Der Clustering-Prozess wird laut Anhang iterativ verbessert: Entdeckte Engpässe werden an Zonengrenzen gebracht, eine neue Partition wird getestet, die resultierende Netzreduktion optimiert, die Fehlerqualität und Kapazitätsgüte geprüft, und Änderungen werden bei Verbesserung übernommen. Dabei besitzt der</w:t>
      </w:r>
      <w:r>
        <w:t xml:space="preserve"> </w:t>
      </w:r>
      <w:r>
        <w:rPr>
          <w:b/>
          <w:bCs/>
        </w:rPr>
        <w:t xml:space="preserve">RMSE Vorrang</w:t>
      </w:r>
      <w:r>
        <w:t xml:space="preserve"> </w:t>
      </w:r>
      <w:r>
        <w:t xml:space="preserve">vor der nachgelagerten Kapazitätsqualität. [Q1, S. 45–47]</w:t>
      </w:r>
    </w:p>
    <w:p>
      <w:pPr>
        <w:pStyle w:val="BodyText"/>
      </w:pPr>
      <w:r>
        <w:t xml:space="preserve">Abbildung 13 [Q1, S. 46] illustriert folgende</w:t>
      </w:r>
      <w:r>
        <w:t xml:space="preserve"> </w:t>
      </w:r>
      <w:r>
        <w:rPr>
          <w:b/>
          <w:bCs/>
        </w:rPr>
        <w:t xml:space="preserve">fehlerklassifizierende Grenzen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Farbkategorie</w:t>
            </w:r>
          </w:p>
        </w:tc>
        <w:tc>
          <w:tcPr/>
          <w:p>
            <w:pPr>
              <w:pStyle w:val="Compact"/>
              <w:jc w:val="left"/>
            </w:pPr>
            <w:r>
              <w:t xml:space="preserve">In der Abbildung gezeigte Bedingung</w:t>
            </w:r>
          </w:p>
        </w:tc>
      </w:tr>
      <w:tr>
        <w:tc>
          <w:tcPr/>
          <w:p>
            <w:pPr>
              <w:pStyle w:val="Compact"/>
              <w:jc w:val="left"/>
            </w:pPr>
            <w:r>
              <w:t xml:space="preserve">Grün</w:t>
            </w:r>
          </w:p>
        </w:tc>
        <w:tc>
          <w:tcPr/>
          <w:p>
            <w:pPr>
              <w:pStyle w:val="Compact"/>
              <w:jc w:val="left"/>
            </w:pPr>
            <w:r>
              <w:t xml:space="preserve">RMSE</w:t>
            </w:r>
            <w:r>
              <w:t xml:space="preserve"> </w:t>
            </w:r>
            <m:oMath>
              <m:r>
                <m:rPr>
                  <m:sty m:val="p"/>
                </m:rPr>
                <m:t>≤</m:t>
              </m:r>
              <m:r>
                <m:t>200</m:t>
              </m:r>
              <m:r>
                <m:t> </m:t>
              </m:r>
              <m:r>
                <m:rPr>
                  <m:sty m:val="p"/>
                </m:rPr>
                <m:t>M</m:t>
              </m:r>
              <m:r>
                <m:rPr>
                  <m:sty m:val="p"/>
                </m:rPr>
                <m:t>W</m:t>
              </m:r>
            </m:oMath>
            <w:r>
              <w:t xml:space="preserve"> </w:t>
            </w:r>
            <w:r>
              <w:rPr>
                <w:b/>
                <w:bCs/>
              </w:rPr>
              <w:t xml:space="preserve">oder</w:t>
            </w:r>
            <w:r>
              <w:t xml:space="preserve"> </w:t>
            </w:r>
            <w:r>
              <w:t xml:space="preserve">relativer RMSE/Fluss</w:t>
            </w:r>
            <w:r>
              <w:t xml:space="preserve"> </w:t>
            </w:r>
            <m:oMath>
              <m:r>
                <m:rPr>
                  <m:sty m:val="p"/>
                </m:rPr>
                <m:t>≤</m:t>
              </m:r>
              <m:r>
                <m:t>10</m:t>
              </m:r>
              <m:r>
                <m:rPr>
                  <m:sty m:val="p"/>
                </m:rPr>
                <m:t>%</m:t>
              </m:r>
            </m:oMath>
          </w:p>
        </w:tc>
      </w:tr>
      <w:tr>
        <w:tc>
          <w:tcPr/>
          <w:p>
            <w:pPr>
              <w:pStyle w:val="Compact"/>
              <w:jc w:val="left"/>
            </w:pPr>
            <w:r>
              <w:t xml:space="preserve">Gelb</w:t>
            </w:r>
          </w:p>
        </w:tc>
        <w:tc>
          <w:tcPr/>
          <w:p>
            <w:pPr>
              <w:pStyle w:val="Compact"/>
              <w:jc w:val="left"/>
            </w:pPr>
            <w:r>
              <w:t xml:space="preserve">RMSE</w:t>
            </w:r>
            <w:r>
              <w:t xml:space="preserve"> </w:t>
            </w:r>
            <m:oMath>
              <m:r>
                <m:rPr>
                  <m:sty m:val="p"/>
                </m:rPr>
                <m:t>≤</m:t>
              </m:r>
              <m:r>
                <m:t>350</m:t>
              </m:r>
              <m:r>
                <m:t> </m:t>
              </m:r>
              <m:r>
                <m:rPr>
                  <m:sty m:val="p"/>
                </m:rPr>
                <m:t>M</m:t>
              </m:r>
              <m:r>
                <m:rPr>
                  <m:sty m:val="p"/>
                </m:rPr>
                <m:t>W</m:t>
              </m:r>
            </m:oMath>
            <w:r>
              <w:t xml:space="preserve"> </w:t>
            </w:r>
            <w:r>
              <w:rPr>
                <w:b/>
                <w:bCs/>
              </w:rPr>
              <w:t xml:space="preserve">oder</w:t>
            </w:r>
            <w:r>
              <w:t xml:space="preserve"> </w:t>
            </w:r>
            <w:r>
              <w:t xml:space="preserve">relativer RMSE/Fluss</w:t>
            </w:r>
            <w:r>
              <w:t xml:space="preserve"> </w:t>
            </w:r>
            <m:oMath>
              <m:r>
                <m:rPr>
                  <m:sty m:val="p"/>
                </m:rPr>
                <m:t>≤</m:t>
              </m:r>
              <m:r>
                <m:t>20</m:t>
              </m:r>
              <m:r>
                <m:rPr>
                  <m:sty m:val="p"/>
                </m:rPr>
                <m:t>%</m:t>
              </m:r>
            </m:oMath>
          </w:p>
        </w:tc>
      </w:tr>
      <w:tr>
        <w:tc>
          <w:tcPr/>
          <w:p>
            <w:pPr>
              <w:pStyle w:val="Compact"/>
              <w:jc w:val="left"/>
            </w:pPr>
            <w:r>
              <w:t xml:space="preserve">Rot</w:t>
            </w:r>
          </w:p>
        </w:tc>
        <w:tc>
          <w:tcPr/>
          <w:p>
            <w:pPr>
              <w:pStyle w:val="Compact"/>
              <w:jc w:val="left"/>
            </w:pPr>
            <w:r>
              <w:t xml:space="preserve">RMSE</w:t>
            </w:r>
            <w:r>
              <w:t xml:space="preserve"> </w:t>
            </w:r>
            <m:oMath>
              <m:r>
                <m:rPr>
                  <m:sty m:val="p"/>
                </m:rPr>
                <m:t>≤</m:t>
              </m:r>
              <m:r>
                <m:t>500</m:t>
              </m:r>
              <m:r>
                <m:t> </m:t>
              </m:r>
              <m:r>
                <m:rPr>
                  <m:sty m:val="p"/>
                </m:rPr>
                <m:t>M</m:t>
              </m:r>
              <m:r>
                <m:rPr>
                  <m:sty m:val="p"/>
                </m:rPr>
                <m:t>W</m:t>
              </m:r>
            </m:oMath>
            <w:r>
              <w:t xml:space="preserve"> </w:t>
            </w:r>
            <w:r>
              <w:rPr>
                <w:b/>
                <w:bCs/>
              </w:rPr>
              <w:t xml:space="preserve">oder</w:t>
            </w:r>
            <w:r>
              <w:t xml:space="preserve"> </w:t>
            </w:r>
            <w:r>
              <w:t xml:space="preserve">relativer RMSE/Fluss</w:t>
            </w:r>
            <w:r>
              <w:t xml:space="preserve"> </w:t>
            </w:r>
            <m:oMath>
              <m:r>
                <m:rPr>
                  <m:sty m:val="p"/>
                </m:rPr>
                <m:t>≤</m:t>
              </m:r>
              <m:r>
                <m:t>30</m:t>
              </m:r>
              <m:r>
                <m:rPr>
                  <m:sty m:val="p"/>
                </m:rPr>
                <m:t>%</m:t>
              </m:r>
            </m:oMath>
          </w:p>
        </w:tc>
      </w:tr>
      <w:tr>
        <w:tc>
          <w:tcPr/>
          <w:p>
            <w:pPr>
              <w:pStyle w:val="Compact"/>
              <w:jc w:val="left"/>
            </w:pPr>
            <w:r>
              <w:t xml:space="preserve">Schwarz</w:t>
            </w:r>
          </w:p>
        </w:tc>
        <w:tc>
          <w:tcPr/>
          <w:p>
            <w:pPr>
              <w:pStyle w:val="Compact"/>
              <w:jc w:val="left"/>
            </w:pPr>
            <w:r>
              <w:t xml:space="preserve">RMSE</w:t>
            </w:r>
            <w:r>
              <w:t xml:space="preserve"> </w:t>
            </w:r>
            <m:oMath>
              <m:r>
                <m:rPr>
                  <m:sty m:val="p"/>
                </m:rPr>
                <m:t>&gt;</m:t>
              </m:r>
              <m:r>
                <m:t>500</m:t>
              </m:r>
              <m:r>
                <m:t> </m:t>
              </m:r>
              <m:r>
                <m:rPr>
                  <m:sty m:val="p"/>
                </m:rPr>
                <m:t>M</m:t>
              </m:r>
              <m:r>
                <m:rPr>
                  <m:sty m:val="p"/>
                </m:rPr>
                <m:t>W</m:t>
              </m:r>
            </m:oMath>
            <w:r>
              <w:t xml:space="preserve"> </w:t>
            </w:r>
            <w:r>
              <w:rPr>
                <w:b/>
                <w:bCs/>
              </w:rPr>
              <w:t xml:space="preserve">und</w:t>
            </w:r>
            <w:r>
              <w:t xml:space="preserve"> </w:t>
            </w:r>
            <w:r>
              <w:t xml:space="preserve">relativer RMSE/Fluss</w:t>
            </w:r>
            <w:r>
              <w:t xml:space="preserve"> </w:t>
            </w:r>
            <m:oMath>
              <m:r>
                <m:rPr>
                  <m:sty m:val="p"/>
                </m:rPr>
                <m:t>&gt;</m:t>
              </m:r>
              <m:r>
                <m:t>30</m:t>
              </m:r>
              <m:r>
                <m:rPr>
                  <m:sty m:val="p"/>
                </m:rPr>
                <m:t>%</m:t>
              </m:r>
            </m:oMath>
          </w:p>
        </w:tc>
      </w:tr>
    </w:tbl>
    <w:p>
      <w:pPr>
        <w:pStyle w:val="BodyText"/>
      </w:pPr>
      <w:r>
        <w:rPr>
          <w:b/>
          <w:bCs/>
        </w:rPr>
        <w:t xml:space="preserve">Vorsicht:</w:t>
      </w:r>
      <w:r>
        <w:t xml:space="preserve"> </w:t>
      </w:r>
      <w:r>
        <w:t xml:space="preserve">Diese abgebildeten Kriterien sind verschachtelt und keine vollständig disjunkten mathematischen Klassen. Zudem definiert der Text den Bezugsnenner „RMSE/flow“ nicht eindeutig. Eine deterministische Klassifizierung benötigt eine</w:t>
      </w:r>
      <w:r>
        <w:t xml:space="preserve"> </w:t>
      </w:r>
      <w:r>
        <w:rPr>
          <w:b/>
          <w:bCs/>
        </w:rPr>
        <w:t xml:space="preserve">Priorität der Kategorien</w:t>
      </w:r>
      <w:r>
        <w:t xml:space="preserve"> </w:t>
      </w:r>
      <w:r>
        <w:t xml:space="preserve">und eine genaue relative Fehlerdefinition, die dem untersuchten Methodikdokument nicht vollständig zu entnehmen sind. [U]</w:t>
      </w:r>
    </w:p>
    <w:bookmarkEnd w:id="75"/>
    <w:bookmarkStart w:id="76" w:name="Xbb4930ecfdc93d95b4dcc45a5c381bd704c93ef"/>
    <w:p>
      <w:pPr>
        <w:pStyle w:val="Heading2"/>
      </w:pPr>
      <w:r>
        <w:t xml:space="preserve">12.2 Konventioneller RMSE als Rekonstruktion [R]</w:t>
      </w:r>
    </w:p>
    <w:p>
      <w:pPr>
        <w:pStyle w:val="FirstParagraph"/>
      </w:pPr>
      <w:r>
        <w:t xml:space="preserve">Für eine reduzierte Verbindung</w:t>
      </w:r>
      <w:r>
        <w:t xml:space="preserve"> </w:t>
      </w:r>
      <m:oMath>
        <m:r>
          <m:t>e</m:t>
        </m:r>
      </m:oMath>
      <w:r>
        <w:t xml:space="preserve"> </w:t>
      </w:r>
      <w:r>
        <w:t xml:space="preserve">und eine definierte, identische Stundenmenge</w:t>
      </w:r>
      <w:r>
        <w:t xml:space="preserve"> </w:t>
      </w:r>
      <m:oMath>
        <m:r>
          <m:rPr>
            <m:sty m:val="p"/>
            <m:scr m:val="script"/>
          </m:rPr>
          <m:t>T</m:t>
        </m:r>
      </m:oMath>
      <w:r>
        <w:t xml:space="preserve"> </w:t>
      </w:r>
      <w:r>
        <w:t xml:space="preserve">kann man den Fehler als</w:t>
      </w:r>
    </w:p>
    <w:p>
      <w:pPr>
        <w:pStyle w:val="BodyText"/>
        <w:tabs>
          <w:tab w:pos="8856" w:val="right"/>
        </w:tabs>
      </w:pPr>
      <m:oMathPara>
        <m:oMathParaPr>
          <m:jc m:val="center"/>
        </m:oMathParaPr>
        <m:oMath>
          <m:sSub>
            <m:e>
              <m:r>
                <m:rPr>
                  <m:sty m:val="p"/>
                </m:rPr>
                <m:t>RMSE</m:t>
              </m:r>
            </m:e>
            <m:sub>
              <m:r>
                <m:t>e</m:t>
              </m:r>
            </m:sub>
          </m:sSub>
          <m:r>
            <m:rPr>
              <m:sty m:val="p"/>
            </m:rPr>
            <m:t>=</m:t>
          </m:r>
          <m:rad>
            <m:radPr>
              <m:degHide m:val="on"/>
            </m:radPr>
            <m:deg/>
            <m:e>
              <m:f>
                <m:fPr>
                  <m:type m:val="bar"/>
                </m:fPr>
                <m:num>
                  <m:r>
                    <m:t>1</m:t>
                  </m:r>
                </m:num>
                <m:den>
                  <m:d>
                    <m:dPr>
                      <m:begChr m:val="|"/>
                      <m:endChr m:val="|"/>
                      <m:sepChr m:val=""/>
                      <m:grow/>
                    </m:dPr>
                    <m:e>
                      <m:r>
                        <m:rPr>
                          <m:sty m:val="p"/>
                          <m:scr m:val="script"/>
                        </m:rPr>
                        <m:t>T</m:t>
                      </m:r>
                    </m:e>
                  </m:d>
                </m:den>
              </m:f>
              <m:nary>
                <m:naryPr>
                  <m:chr m:val="∑"/>
                  <m:limLoc m:val="undOvr"/>
                  <m:subHide m:val="off"/>
                  <m:supHide m:val="on"/>
                </m:naryPr>
                <m:sub>
                  <m:r>
                    <m:t>t</m:t>
                  </m:r>
                  <m:r>
                    <m:rPr>
                      <m:sty m:val="p"/>
                    </m:rPr>
                    <m:t>∈</m:t>
                  </m:r>
                  <m:r>
                    <m:rPr>
                      <m:sty m:val="p"/>
                      <m:scr m:val="script"/>
                    </m:rPr>
                    <m:t>T</m:t>
                  </m:r>
                </m:sub>
                <m:sup>
                  <m:r>
                    <m:t>​</m:t>
                  </m:r>
                </m:sup>
                <m:e>
                  <m:r>
                    <m:rPr>
                      <m:sty m:val="p"/>
                    </m:rPr>
                    <m:t>(</m:t>
                  </m:r>
                </m:e>
              </m:nary>
              <m:sSub>
                <m:e>
                  <m:acc>
                    <m:accPr>
                      <m:chr m:val="̂"/>
                    </m:accPr>
                    <m:e>
                      <m:r>
                        <m:t>f</m:t>
                      </m:r>
                    </m:e>
                  </m:acc>
                </m:e>
                <m:sub>
                  <m:r>
                    <m:t>e</m:t>
                  </m:r>
                  <m:r>
                    <m:rPr>
                      <m:sty m:val="p"/>
                    </m:rPr>
                    <m:t>,</m:t>
                  </m:r>
                  <m:r>
                    <m:t>t</m:t>
                  </m:r>
                </m:sub>
              </m:sSub>
              <m:r>
                <m:rPr>
                  <m:sty m:val="p"/>
                </m:rPr>
                <m:t>−</m:t>
              </m:r>
              <m:sSubSup>
                <m:e>
                  <m:r>
                    <m:t>f</m:t>
                  </m:r>
                </m:e>
                <m:sub>
                  <m:r>
                    <m:t>e</m:t>
                  </m:r>
                  <m:r>
                    <m:rPr>
                      <m:sty m:val="p"/>
                    </m:rPr>
                    <m:t>,</m:t>
                  </m:r>
                  <m:r>
                    <m:t>t</m:t>
                  </m:r>
                </m:sub>
                <m:sup>
                  <m:r>
                    <m:rPr>
                      <m:sty m:val="p"/>
                    </m:rPr>
                    <m:t>⋆</m:t>
                  </m:r>
                </m:sup>
              </m:sSubSup>
              <m:sSup>
                <m:e>
                  <m:r>
                    <m:rPr>
                      <m:sty m:val="p"/>
                    </m:rPr>
                    <m:t>)</m:t>
                  </m:r>
                </m:e>
                <m:sup>
                  <m:r>
                    <m:t>2</m:t>
                  </m:r>
                </m:sup>
              </m:sSup>
            </m:e>
          </m:rad>
        </m:oMath>
      </m:oMathPara>
      <w:r>
        <w:rPr>
          <w:color w:val="374151"/>
          <w:sz w:val="18"/>
        </w:rPr>
        <w:tab/>
        <w:t>(42)</w:t>
      </w:r>
    </w:p>
    <w:p>
      <w:pPr>
        <w:pStyle w:val="FirstParagraph"/>
      </w:pPr>
      <w:r>
        <w:t xml:space="preserve">und für die Gesamtheit der reduzierten Verbindungen als</w:t>
      </w:r>
    </w:p>
    <w:p>
      <w:pPr>
        <w:pStyle w:val="BodyText"/>
        <w:tabs>
          <w:tab w:pos="8856" w:val="right"/>
        </w:tabs>
      </w:pPr>
      <m:oMathPara>
        <m:oMathParaPr>
          <m:jc m:val="center"/>
        </m:oMathParaPr>
        <m:oMath>
          <m:sSub>
            <m:e>
              <m:r>
                <m:rPr>
                  <m:sty m:val="p"/>
                </m:rPr>
                <m:t>RMSE</m:t>
              </m:r>
            </m:e>
            <m:sub>
              <m:r>
                <m:rPr>
                  <m:sty m:val="p"/>
                </m:rPr>
                <m:t>g</m:t>
              </m:r>
              <m:r>
                <m:rPr>
                  <m:sty m:val="p"/>
                </m:rPr>
                <m:t>l</m:t>
              </m:r>
              <m:r>
                <m:rPr>
                  <m:sty m:val="p"/>
                </m:rPr>
                <m:t>o</m:t>
              </m:r>
              <m:r>
                <m:rPr>
                  <m:sty m:val="p"/>
                </m:rPr>
                <m:t>b</m:t>
              </m:r>
              <m:r>
                <m:rPr>
                  <m:sty m:val="p"/>
                </m:rPr>
                <m:t>a</m:t>
              </m:r>
              <m:r>
                <m:rPr>
                  <m:sty m:val="p"/>
                </m:rPr>
                <m:t>l</m:t>
              </m:r>
            </m:sub>
          </m:sSub>
          <m:r>
            <m:rPr>
              <m:sty m:val="p"/>
            </m:rPr>
            <m:t>=</m:t>
          </m:r>
          <m:rad>
            <m:radPr>
              <m:degHide m:val="on"/>
            </m:radPr>
            <m:deg/>
            <m:e>
              <m:f>
                <m:fPr>
                  <m:type m:val="bar"/>
                </m:fPr>
                <m:num>
                  <m:r>
                    <m:t>1</m:t>
                  </m:r>
                </m:num>
                <m:den>
                  <m:r>
                    <m:t>r</m:t>
                  </m:r>
                  <m:d>
                    <m:dPr>
                      <m:begChr m:val="|"/>
                      <m:endChr m:val="|"/>
                      <m:sepChr m:val=""/>
                      <m:grow/>
                    </m:dPr>
                    <m:e>
                      <m:r>
                        <m:rPr>
                          <m:sty m:val="p"/>
                          <m:scr m:val="script"/>
                        </m:rPr>
                        <m:t>T</m:t>
                      </m:r>
                    </m:e>
                  </m:d>
                </m:den>
              </m:f>
              <m:nary>
                <m:naryPr>
                  <m:chr m:val="∑"/>
                  <m:limLoc m:val="undOvr"/>
                  <m:subHide m:val="off"/>
                  <m:supHide m:val="off"/>
                </m:naryPr>
                <m:sub>
                  <m:r>
                    <m:t>e</m:t>
                  </m:r>
                  <m:r>
                    <m:rPr>
                      <m:sty m:val="p"/>
                    </m:rPr>
                    <m:t>=</m:t>
                  </m:r>
                  <m:r>
                    <m:t>1</m:t>
                  </m:r>
                </m:sub>
                <m:sup>
                  <m:r>
                    <m:t>r</m:t>
                  </m:r>
                </m:sup>
                <m:e>
                  <m:nary>
                    <m:naryPr>
                      <m:chr m:val="∑"/>
                      <m:limLoc m:val="undOvr"/>
                      <m:subHide m:val="off"/>
                      <m:supHide m:val="on"/>
                    </m:naryPr>
                    <m:sub>
                      <m:r>
                        <m:t>t</m:t>
                      </m:r>
                      <m:r>
                        <m:rPr>
                          <m:sty m:val="p"/>
                        </m:rPr>
                        <m:t>∈</m:t>
                      </m:r>
                      <m:r>
                        <m:rPr>
                          <m:sty m:val="p"/>
                          <m:scr m:val="script"/>
                        </m:rPr>
                        <m:t>T</m:t>
                      </m:r>
                    </m:sub>
                    <m:sup>
                      <m:r>
                        <m:t>​</m:t>
                      </m:r>
                    </m:sup>
                    <m:e>
                      <m:r>
                        <m:rPr>
                          <m:sty m:val="p"/>
                        </m:rPr>
                        <m:t>(</m:t>
                      </m:r>
                    </m:e>
                  </m:nary>
                </m:e>
              </m:nary>
              <m:sSub>
                <m:e>
                  <m:acc>
                    <m:accPr>
                      <m:chr m:val="̂"/>
                    </m:accPr>
                    <m:e>
                      <m:r>
                        <m:t>f</m:t>
                      </m:r>
                    </m:e>
                  </m:acc>
                </m:e>
                <m:sub>
                  <m:r>
                    <m:t>e</m:t>
                  </m:r>
                  <m:r>
                    <m:rPr>
                      <m:sty m:val="p"/>
                    </m:rPr>
                    <m:t>,</m:t>
                  </m:r>
                  <m:r>
                    <m:t>t</m:t>
                  </m:r>
                </m:sub>
              </m:sSub>
              <m:r>
                <m:rPr>
                  <m:sty m:val="p"/>
                </m:rPr>
                <m:t>−</m:t>
              </m:r>
              <m:sSubSup>
                <m:e>
                  <m:r>
                    <m:t>f</m:t>
                  </m:r>
                </m:e>
                <m:sub>
                  <m:r>
                    <m:t>e</m:t>
                  </m:r>
                  <m:r>
                    <m:rPr>
                      <m:sty m:val="p"/>
                    </m:rPr>
                    <m:t>,</m:t>
                  </m:r>
                  <m:r>
                    <m:t>t</m:t>
                  </m:r>
                </m:sub>
                <m:sup>
                  <m:r>
                    <m:rPr>
                      <m:sty m:val="p"/>
                    </m:rPr>
                    <m:t>⋆</m:t>
                  </m:r>
                </m:sup>
              </m:sSubSup>
              <m:sSup>
                <m:e>
                  <m:r>
                    <m:rPr>
                      <m:sty m:val="p"/>
                    </m:rPr>
                    <m:t>)</m:t>
                  </m:r>
                </m:e>
                <m:sup>
                  <m:r>
                    <m:t>2</m:t>
                  </m:r>
                </m:sup>
              </m:sSup>
            </m:e>
          </m:rad>
        </m:oMath>
      </m:oMathPara>
      <w:r>
        <w:rPr>
          <w:color w:val="374151"/>
          <w:sz w:val="18"/>
        </w:rPr>
        <w:tab/>
        <w:t>(43)</w:t>
      </w:r>
    </w:p>
    <w:p>
      <w:pPr>
        <w:pStyle w:val="FirstParagraph"/>
      </w:pPr>
      <w:r>
        <w:t xml:space="preserve">notieren. Beide Formeln sind übliche Varianten, jedoch spezifiziert [Q1] nicht eindeutig, welche absolute oder relative Aggregation seinen Qualitätsindikatoren zugrunde liegt. Ein relativer RMSE könnte beispielsweise durch mittleren Absolutfluss, Bemessungsleistung, Nennkapazität oder einen anderen Wert dividiert werden; jede Wahl verändert die qualitative Einstufung. [U]</w:t>
      </w:r>
    </w:p>
    <w:bookmarkEnd w:id="76"/>
    <w:bookmarkStart w:id="77" w:name="X22d963893337eec68516a78f8d20921169cd0fb"/>
    <w:p>
      <w:pPr>
        <w:pStyle w:val="Heading2"/>
      </w:pPr>
      <w:r>
        <w:t xml:space="preserve">12.3 Wissenschaftlich erforderliche Validierungsebenen [E]</w:t>
      </w:r>
    </w:p>
    <w:p>
      <w:pPr>
        <w:pStyle w:val="FirstParagraph"/>
      </w:pPr>
      <w:r>
        <w:t xml:space="preserve">Ein fachlich belastbares Prüfprotokoll sollte</w:t>
      </w:r>
      <w:r>
        <w:t xml:space="preserve"> </w:t>
      </w:r>
      <w:r>
        <w:rPr>
          <w:b/>
          <w:bCs/>
        </w:rPr>
        <w:t xml:space="preserve">mindestens</w:t>
      </w:r>
      <w:r>
        <w:t xml:space="preserve"> </w:t>
      </w:r>
      <w:r>
        <w:t xml:space="preserve">zwischen den folgenden Ebenen unterscheiden:</w:t>
      </w:r>
    </w:p>
    <w:p>
      <w:pPr>
        <w:pStyle w:val="BodyText"/>
      </w:pPr>
      <w:r>
        <w:rPr>
          <w:b/>
          <w:bCs/>
        </w:rPr>
        <w:t xml:space="preserve">V1 – Daten- und Bilanzvalidität.</w:t>
      </w:r>
      <w:r>
        <w:t xml:space="preserve"> </w:t>
      </w:r>
      <w:r>
        <w:t xml:space="preserve">Eindeutigkeit der Knoten-Zonen-Zuordnung, graphische Konnektivität jeder Zone, Erhalt der aggregierten Einspeise-/Lastbilanzen (9) und (34), korrekte Orientierung und verlustkonsistente Behandlung der Grenzflüsse.</w:t>
      </w:r>
    </w:p>
    <w:p>
      <w:pPr>
        <w:pStyle w:val="BodyText"/>
      </w:pPr>
      <w:r>
        <w:rPr>
          <w:b/>
          <w:bCs/>
        </w:rPr>
        <w:t xml:space="preserve">V2 – Elektrische Struktur.</w:t>
      </w:r>
      <w:r>
        <w:t xml:space="preserve"> </w:t>
      </w:r>
      <w:r>
        <w:t xml:space="preserve">Rang und Dimension der Inzidenz- und Zyklenmatrizen, zulässige Ersatzreaktanzen, Restfehler in Knotenbilanz und Maschenbeziehungen (einschließlich definierter Nullbilanzfluss-Offets), nachvollziehbarer Referenzwinkel und Modellkomponenten.</w:t>
      </w:r>
    </w:p>
    <w:p>
      <w:pPr>
        <w:pStyle w:val="BodyText"/>
      </w:pPr>
      <w:r>
        <w:rPr>
          <w:b/>
          <w:bCs/>
        </w:rPr>
        <w:t xml:space="preserve">V3 – Interzonen-Flussabbildung.</w:t>
      </w:r>
      <w:r>
        <w:t xml:space="preserve"> </w:t>
      </w:r>
      <w:r>
        <w:t xml:space="preserve">Fehler je Verbindung und je Wetterjahr, mediane und hohe Fehlerquantile, Maximum über kritische Stunden, systematische Vorzeichenfehler, Cross-Validation zwischen Kalibrierungs- und Teststunden.</w:t>
      </w:r>
    </w:p>
    <w:p>
      <w:pPr>
        <w:pStyle w:val="BodyText"/>
      </w:pPr>
      <w:r>
        <w:rPr>
          <w:b/>
          <w:bCs/>
        </w:rPr>
        <w:t xml:space="preserve">V4 – N-1-Surrogatgüte.</w:t>
      </w:r>
      <w:r>
        <w:t xml:space="preserve"> </w:t>
      </w:r>
      <w:r>
        <w:t xml:space="preserve">Fehler der Ersatzkapazitäten, Datenzahl nahe 100-%-Belastung, Unsicherheit des Schnittpunkts, Sensitivität gegenüber CBCO-Ausschlüssen, die Häufigkeit von sicherheitskritischen Fehlklassifikationen bei gehaltenen, unabhängigen Stunden.</w:t>
      </w:r>
    </w:p>
    <w:p>
      <w:pPr>
        <w:pStyle w:val="BodyText"/>
      </w:pPr>
      <w:r>
        <w:rPr>
          <w:b/>
          <w:bCs/>
        </w:rPr>
        <w:t xml:space="preserve">V5 – Planungsrelevanz.</w:t>
      </w:r>
      <w:r>
        <w:t xml:space="preserve"> </w:t>
      </w:r>
      <w:r>
        <w:t xml:space="preserve">Stabilität der im LF-Modus identifizierten Investitionsportfolios gegenüber plausiblem Zonen-Reclustering und unterschiedlichen Parametersätzen sowie Vergleich von LF- und OPF-Ergebnissen.</w:t>
      </w:r>
    </w:p>
    <w:p>
      <w:pPr>
        <w:pStyle w:val="BodyText"/>
      </w:pPr>
      <w:r>
        <w:t xml:space="preserve">Für jede Ebene sind Eingangsdateien, Topologiestände, Stundenindizes, Solveroptionen, Zwischenresultate und akzeptierte Schwellenwerte versioniert zu dokumentieren. Diese Anforderungen ergänzen [Q1]; sie sind nicht als bereits implementierte ENTSO-E-Gates zu interpretieren.</w:t>
      </w:r>
    </w:p>
    <w:bookmarkEnd w:id="77"/>
    <w:bookmarkStart w:id="78" w:name="Xe34c66df46cf4b3ff90fdfaef514bcbfcc1a9ed"/>
    <w:p>
      <w:pPr>
        <w:pStyle w:val="Heading2"/>
      </w:pPr>
      <w:r>
        <w:t xml:space="preserve">12.4 Gefahr der Kalibrierung auf dieselben Stunden [A]</w:t>
      </w:r>
    </w:p>
    <w:p>
      <w:pPr>
        <w:pStyle w:val="FirstParagraph"/>
      </w:pPr>
      <w:r>
        <w:t xml:space="preserve">Wenn die Parameter</w:t>
      </w:r>
      <w:r>
        <w:t xml:space="preserve"> </w:t>
      </w:r>
      <m:oMath>
        <m:r>
          <m:t>X</m:t>
        </m:r>
      </m:oMath>
      <w:r>
        <w:t xml:space="preserve"> </w:t>
      </w:r>
      <w:r>
        <w:t xml:space="preserve">und</w:t>
      </w:r>
      <w:r>
        <w:t xml:space="preserve"> </w:t>
      </w:r>
      <m:oMath>
        <m:sSup>
          <m:e>
            <m:r>
              <m:t>c</m:t>
            </m:r>
          </m:e>
          <m:sup>
            <m:r>
              <m:t>0</m:t>
            </m:r>
          </m:sup>
        </m:sSup>
      </m:oMath>
      <w:r>
        <w:t xml:space="preserve"> </w:t>
      </w:r>
      <w:r>
        <w:t xml:space="preserve">anhand der stündlichen Zielflüsse optimiert und anschließend</w:t>
      </w:r>
      <w:r>
        <w:t xml:space="preserve"> </w:t>
      </w:r>
      <w:r>
        <w:rPr>
          <w:b/>
          <w:bCs/>
        </w:rPr>
        <w:t xml:space="preserve">nur auf denselben Stunden</w:t>
      </w:r>
      <w:r>
        <w:t xml:space="preserve"> </w:t>
      </w:r>
      <w:r>
        <w:t xml:space="preserve">beurteilt werden, ist ein niedriger Fehler lediglich ein Maß für die Anpassung an den Kalibrierungsdatensatz. Er beweist keine Generalisierung auf abweichende Wetterjahre, neue Anlagenverteilungen oder zukünftige Netztopologien.</w:t>
      </w:r>
    </w:p>
    <w:p>
      <w:pPr>
        <w:pStyle w:val="BodyText"/>
      </w:pPr>
      <w:r>
        <w:t xml:space="preserve">Ein zusätzliches Testset</w:t>
      </w:r>
      <w:r>
        <w:t xml:space="preserve"> </w:t>
      </w:r>
      <m:oMath>
        <m:sSup>
          <m:e>
            <m:r>
              <m:rPr>
                <m:sty m:val="p"/>
                <m:scr m:val="script"/>
              </m:rPr>
              <m:t>T</m:t>
            </m:r>
          </m:e>
          <m:sup>
            <m:r>
              <m:rPr>
                <m:sty m:val="p"/>
              </m:rPr>
              <m:t>t</m:t>
            </m:r>
            <m:r>
              <m:rPr>
                <m:sty m:val="p"/>
              </m:rPr>
              <m:t>e</m:t>
            </m:r>
            <m:r>
              <m:rPr>
                <m:sty m:val="p"/>
              </m:rPr>
              <m:t>s</m:t>
            </m:r>
            <m:r>
              <m:rPr>
                <m:sty m:val="p"/>
              </m:rPr>
              <m:t>t</m:t>
            </m:r>
          </m:sup>
        </m:sSup>
        <m:r>
          <m:rPr>
            <m:sty m:val="p"/>
          </m:rPr>
          <m:t>∩</m:t>
        </m:r>
        <m:sSup>
          <m:e>
            <m:r>
              <m:rPr>
                <m:sty m:val="p"/>
                <m:scr m:val="script"/>
              </m:rPr>
              <m:t>T</m:t>
            </m:r>
          </m:e>
          <m:sup>
            <m:r>
              <m:rPr>
                <m:sty m:val="p"/>
              </m:rPr>
              <m:t>c</m:t>
            </m:r>
            <m:r>
              <m:rPr>
                <m:sty m:val="p"/>
              </m:rPr>
              <m:t>a</m:t>
            </m:r>
            <m:r>
              <m:rPr>
                <m:sty m:val="p"/>
              </m:rPr>
              <m:t>l</m:t>
            </m:r>
          </m:sup>
        </m:sSup>
        <m:r>
          <m:rPr>
            <m:sty m:val="p"/>
          </m:rPr>
          <m:t>=</m:t>
        </m:r>
        <m:r>
          <m:rPr>
            <m:sty m:val="p"/>
          </m:rPr>
          <m:t>⌀</m:t>
        </m:r>
      </m:oMath>
      <w:r>
        <w:t xml:space="preserve"> </w:t>
      </w:r>
      <w:r>
        <w:t xml:space="preserve">ist daher eine wissenschaftlich notwendige Ergänzung, wenn eine</w:t>
      </w:r>
      <w:r>
        <w:t xml:space="preserve"> </w:t>
      </w:r>
      <w:r>
        <w:rPr>
          <w:b/>
          <w:bCs/>
        </w:rPr>
        <w:t xml:space="preserve">out-of-sample</w:t>
      </w:r>
      <w:r>
        <w:t xml:space="preserve">-Aussage zur Modellrobustheit getroffen werden soll. Das Dokument spezifiziert eine solche saubere Trennung nicht. [U/E]</w:t>
      </w:r>
    </w:p>
    <w:bookmarkEnd w:id="78"/>
    <w:bookmarkEnd w:id="79"/>
    <w:bookmarkStart w:id="83" w:name="X6982df3f38a6fa6539e4b2bbcb23b86803992d2"/>
    <w:p>
      <w:pPr>
        <w:pStyle w:val="Heading1"/>
      </w:pPr>
      <w:r>
        <w:t xml:space="preserve">13. Spezifikationsaudit und priorisierte Anforderungen</w:t>
      </w:r>
    </w:p>
    <w:bookmarkStart w:id="80" w:name="reifegradmatrix"/>
    <w:p>
      <w:pPr>
        <w:pStyle w:val="Heading2"/>
      </w:pPr>
      <w:r>
        <w:t xml:space="preserve">13.1 Reifegradmatrix</w:t>
      </w:r>
    </w:p>
    <w:p>
      <w:pPr>
        <w:pStyle w:val="FirstParagraph"/>
      </w:pPr>
      <w:r>
        <w:t xml:space="preserve">Der Reifegrad bezieht sich</w:t>
      </w:r>
      <w:r>
        <w:t xml:space="preserve"> </w:t>
      </w:r>
      <w:r>
        <w:rPr>
          <w:b/>
          <w:bCs/>
        </w:rPr>
        <w:t xml:space="preserve">ausschließlich auf den veröffentlichten Informationsgehalt</w:t>
      </w:r>
      <w:r>
        <w:t xml:space="preserve"> </w:t>
      </w:r>
      <w:r>
        <w:t xml:space="preserve">der konsultierten Quelle. Er ist keine Bewertung der Qualität der internen ENTSO-E-Arbeit.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Gegenstand</w:t>
            </w:r>
          </w:p>
        </w:tc>
        <w:tc>
          <w:tcPr/>
          <w:p>
            <w:pPr>
              <w:pStyle w:val="Compact"/>
              <w:jc w:val="left"/>
            </w:pPr>
            <w:r>
              <w:t xml:space="preserve">Dokumentationsstatus</w:t>
            </w:r>
          </w:p>
        </w:tc>
        <w:tc>
          <w:tcPr/>
          <w:p>
            <w:pPr>
              <w:pStyle w:val="Compact"/>
              <w:jc w:val="left"/>
            </w:pPr>
            <w:r>
              <w:t xml:space="preserve">Erforderliche Präzisierung</w:t>
            </w:r>
          </w:p>
        </w:tc>
      </w:tr>
      <w:tr>
        <w:tc>
          <w:tcPr/>
          <w:p>
            <w:pPr>
              <w:pStyle w:val="Compact"/>
              <w:jc w:val="left"/>
            </w:pPr>
            <w:r>
              <w:t xml:space="preserve">Ziel einer vermaschten zonalen Wirkleistungsabbildung</w:t>
            </w:r>
          </w:p>
        </w:tc>
        <w:tc>
          <w:tcPr/>
          <w:p>
            <w:pPr>
              <w:pStyle w:val="Compact"/>
              <w:jc w:val="left"/>
            </w:pPr>
            <w:r>
              <w:rPr>
                <w:b/>
                <w:bCs/>
              </w:rPr>
              <w:t xml:space="preserve">Klar [D]</w:t>
            </w:r>
          </w:p>
        </w:tc>
        <w:tc>
          <w:tcPr/>
          <w:p>
            <w:pPr>
              <w:pStyle w:val="Compact"/>
              <w:jc w:val="left"/>
            </w:pPr>
            <w:r>
              <w:t xml:space="preserve">Keine für die Grundidee</w:t>
            </w:r>
          </w:p>
        </w:tc>
      </w:tr>
      <w:tr>
        <w:tc>
          <w:tcPr/>
          <w:p>
            <w:pPr>
              <w:pStyle w:val="Compact"/>
              <w:jc w:val="left"/>
            </w:pPr>
            <w:r>
              <w:t xml:space="preserve">Unterscheidung NTC und AC-äquivalente Zone</w:t>
            </w:r>
          </w:p>
        </w:tc>
        <w:tc>
          <w:tcPr/>
          <w:p>
            <w:pPr>
              <w:pStyle w:val="Compact"/>
              <w:jc w:val="left"/>
            </w:pPr>
            <w:r>
              <w:rPr>
                <w:b/>
                <w:bCs/>
              </w:rPr>
              <w:t xml:space="preserve">Klar [D]</w:t>
            </w:r>
          </w:p>
        </w:tc>
        <w:tc>
          <w:tcPr/>
          <w:p>
            <w:pPr>
              <w:pStyle w:val="Compact"/>
              <w:jc w:val="left"/>
            </w:pPr>
            <w:r>
              <w:t xml:space="preserve">Genaue Marktintegration als Modellgleichungen</w:t>
            </w:r>
          </w:p>
        </w:tc>
      </w:tr>
      <w:tr>
        <w:tc>
          <w:tcPr/>
          <w:p>
            <w:pPr>
              <w:pStyle w:val="Compact"/>
              <w:jc w:val="left"/>
            </w:pPr>
            <w:r>
              <w:t xml:space="preserve">102 Zonen und Länderzahlen</w:t>
            </w:r>
          </w:p>
        </w:tc>
        <w:tc>
          <w:tcPr/>
          <w:p>
            <w:pPr>
              <w:pStyle w:val="Compact"/>
              <w:jc w:val="left"/>
            </w:pPr>
            <w:r>
              <w:rPr>
                <w:b/>
                <w:bCs/>
              </w:rPr>
              <w:t xml:space="preserve">Klar [D]</w:t>
            </w:r>
          </w:p>
        </w:tc>
        <w:tc>
          <w:tcPr/>
          <w:p>
            <w:pPr>
              <w:pStyle w:val="Compact"/>
              <w:jc w:val="left"/>
            </w:pPr>
            <w:r>
              <w:t xml:space="preserve">Vollständige Knotenzonen- und Link-Zuordnung</w:t>
            </w:r>
          </w:p>
        </w:tc>
      </w:tr>
      <w:tr>
        <w:tc>
          <w:tcPr/>
          <w:p>
            <w:pPr>
              <w:pStyle w:val="Compact"/>
              <w:jc w:val="left"/>
            </w:pPr>
            <w:r>
              <w:t xml:space="preserve">Verwendung 225-/400-kV-Engpassflüsse</w:t>
            </w:r>
          </w:p>
        </w:tc>
        <w:tc>
          <w:tcPr/>
          <w:p>
            <w:pPr>
              <w:pStyle w:val="Compact"/>
              <w:jc w:val="left"/>
            </w:pPr>
            <w:r>
              <w:rPr>
                <w:b/>
                <w:bCs/>
              </w:rPr>
              <w:t xml:space="preserve">Klar/teilweise [D/U]</w:t>
            </w:r>
          </w:p>
        </w:tc>
        <w:tc>
          <w:tcPr/>
          <w:p>
            <w:pPr>
              <w:pStyle w:val="Compact"/>
              <w:jc w:val="left"/>
            </w:pPr>
            <w:r>
              <w:t xml:space="preserve">Grenzwerte, Auswahl betroffener Leitungen, Wetteraggregation</w:t>
            </w:r>
          </w:p>
        </w:tc>
      </w:tr>
      <w:tr>
        <w:tc>
          <w:tcPr/>
          <w:p>
            <w:pPr>
              <w:pStyle w:val="Compact"/>
              <w:jc w:val="left"/>
            </w:pPr>
            <w:r>
              <w:t xml:space="preserve">Zielflussberechnung über PTDF</w:t>
            </w:r>
          </w:p>
        </w:tc>
        <w:tc>
          <w:tcPr/>
          <w:p>
            <w:pPr>
              <w:pStyle w:val="Compact"/>
              <w:jc w:val="left"/>
            </w:pPr>
            <w:r>
              <w:rPr>
                <w:b/>
                <w:bCs/>
              </w:rPr>
              <w:t xml:space="preserve">Teilweise [D/U]</w:t>
            </w:r>
          </w:p>
        </w:tc>
        <w:tc>
          <w:tcPr/>
          <w:p>
            <w:pPr>
              <w:pStyle w:val="Compact"/>
              <w:jc w:val="left"/>
            </w:pPr>
            <w:r>
              <w:t xml:space="preserve">Parameterliste, Störungsschritte, Slack-/Referenzfälle</w:t>
            </w:r>
          </w:p>
        </w:tc>
      </w:tr>
      <w:tr>
        <w:tc>
          <w:tcPr/>
          <w:p>
            <w:pPr>
              <w:pStyle w:val="Compact"/>
              <w:jc w:val="left"/>
            </w:pPr>
            <w:r>
              <w:t xml:space="preserve">Clustering-Algorithmus</w:t>
            </w:r>
          </w:p>
        </w:tc>
        <w:tc>
          <w:tcPr/>
          <w:p>
            <w:pPr>
              <w:pStyle w:val="Compact"/>
              <w:jc w:val="left"/>
            </w:pPr>
            <w:r>
              <w:rPr>
                <w:b/>
                <w:bCs/>
              </w:rPr>
              <w:t xml:space="preserve">Teilweise [D/U]</w:t>
            </w:r>
          </w:p>
        </w:tc>
        <w:tc>
          <w:tcPr/>
          <w:p>
            <w:pPr>
              <w:pStyle w:val="Compact"/>
              <w:jc w:val="left"/>
            </w:pPr>
            <w:r>
              <w:t xml:space="preserve">Zulässige Änderungen, Zielfunktion, Stopp- und Gleichstandregeln</w:t>
            </w:r>
          </w:p>
        </w:tc>
      </w:tr>
      <w:tr>
        <w:tc>
          <w:tcPr/>
          <w:p>
            <w:pPr>
              <w:pStyle w:val="Compact"/>
              <w:jc w:val="left"/>
            </w:pPr>
            <w:r>
              <w:t xml:space="preserve">Ersatznetz-Admittanz und Impedanzoptimum</w:t>
            </w:r>
          </w:p>
        </w:tc>
        <w:tc>
          <w:tcPr/>
          <w:p>
            <w:pPr>
              <w:pStyle w:val="Compact"/>
              <w:jc w:val="left"/>
            </w:pPr>
            <w:r>
              <w:rPr>
                <w:b/>
                <w:bCs/>
              </w:rPr>
              <w:t xml:space="preserve">Teilweise [D/U]</w:t>
            </w:r>
          </w:p>
        </w:tc>
        <w:tc>
          <w:tcPr/>
          <w:p>
            <w:pPr>
              <w:pStyle w:val="Compact"/>
              <w:jc w:val="left"/>
            </w:pPr>
            <w:r>
              <w:t xml:space="preserve">Vollständige Zielfunktion, Nebenbedingungen, Normierung</w:t>
            </w:r>
          </w:p>
        </w:tc>
      </w:tr>
      <w:tr>
        <w:tc>
          <w:tcPr/>
          <w:p>
            <w:pPr>
              <w:pStyle w:val="Compact"/>
              <w:jc w:val="left"/>
            </w:pPr>
            <w:r>
              <w:t xml:space="preserve">Strukturelle Nullbilanzflüsse</w:t>
            </w:r>
          </w:p>
        </w:tc>
        <w:tc>
          <w:tcPr/>
          <w:p>
            <w:pPr>
              <w:pStyle w:val="Compact"/>
              <w:jc w:val="left"/>
            </w:pPr>
            <w:r>
              <w:rPr>
                <w:b/>
                <w:bCs/>
              </w:rPr>
              <w:t xml:space="preserve">Teilweise [D/U]</w:t>
            </w:r>
          </w:p>
        </w:tc>
        <w:tc>
          <w:tcPr/>
          <w:p>
            <w:pPr>
              <w:pStyle w:val="Compact"/>
              <w:jc w:val="left"/>
            </w:pPr>
            <w:r>
              <w:t xml:space="preserve">Einbindung in Bilanz/Maschenregeln und Szenarioindex</w:t>
            </w:r>
          </w:p>
        </w:tc>
      </w:tr>
      <w:tr>
        <w:tc>
          <w:tcPr/>
          <w:p>
            <w:pPr>
              <w:pStyle w:val="Compact"/>
              <w:jc w:val="left"/>
            </w:pPr>
            <w:r>
              <w:t xml:space="preserve">Auswirkung HVDC und PST</w:t>
            </w:r>
          </w:p>
        </w:tc>
        <w:tc>
          <w:tcPr/>
          <w:p>
            <w:pPr>
              <w:pStyle w:val="Compact"/>
              <w:jc w:val="left"/>
            </w:pPr>
            <w:r>
              <w:rPr>
                <w:b/>
                <w:bCs/>
              </w:rPr>
              <w:t xml:space="preserve">Teilweise [D/U]</w:t>
            </w:r>
          </w:p>
        </w:tc>
        <w:tc>
          <w:tcPr/>
          <w:p>
            <w:pPr>
              <w:pStyle w:val="Compact"/>
              <w:jc w:val="left"/>
            </w:pPr>
            <w:r>
              <w:t xml:space="preserve">Exakte Steuer-/Offsetabbildung</w:t>
            </w:r>
          </w:p>
        </w:tc>
      </w:tr>
      <w:tr>
        <w:tc>
          <w:tcPr/>
          <w:p>
            <w:pPr>
              <w:pStyle w:val="Compact"/>
              <w:jc w:val="left"/>
            </w:pPr>
            <w:r>
              <w:t xml:space="preserve">Vier N-1-Kapazitäten je Verbindung</w:t>
            </w:r>
          </w:p>
        </w:tc>
        <w:tc>
          <w:tcPr/>
          <w:p>
            <w:pPr>
              <w:pStyle w:val="Compact"/>
              <w:jc w:val="left"/>
            </w:pPr>
            <w:r>
              <w:rPr>
                <w:b/>
                <w:bCs/>
              </w:rPr>
              <w:t xml:space="preserve">Klar [D]</w:t>
            </w:r>
          </w:p>
        </w:tc>
        <w:tc>
          <w:tcPr/>
          <w:p>
            <w:pPr>
              <w:pStyle w:val="Compact"/>
              <w:jc w:val="left"/>
            </w:pPr>
            <w:r>
              <w:t xml:space="preserve">Allgemeine Fit-/Kontingenz- und Sicherheitslogik</w:t>
            </w:r>
          </w:p>
        </w:tc>
      </w:tr>
      <w:tr>
        <w:tc>
          <w:tcPr/>
          <w:p>
            <w:pPr>
              <w:pStyle w:val="Compact"/>
              <w:jc w:val="left"/>
            </w:pPr>
            <w:r>
              <w:t xml:space="preserve">Fehlende/CBCO-Ausfalldaten</w:t>
            </w:r>
          </w:p>
        </w:tc>
        <w:tc>
          <w:tcPr/>
          <w:p>
            <w:pPr>
              <w:pStyle w:val="Compact"/>
              <w:jc w:val="left"/>
            </w:pPr>
            <w:r>
              <w:rPr>
                <w:b/>
                <w:bCs/>
              </w:rPr>
              <w:t xml:space="preserve">Teilweise [D/U]</w:t>
            </w:r>
          </w:p>
        </w:tc>
        <w:tc>
          <w:tcPr/>
          <w:p>
            <w:pPr>
              <w:pStyle w:val="Compact"/>
              <w:jc w:val="left"/>
            </w:pPr>
            <w:r>
              <w:t xml:space="preserve">Explizite Ausschlusslisten und Auswirkungsanalysen</w:t>
            </w:r>
          </w:p>
        </w:tc>
      </w:tr>
      <w:tr>
        <w:tc>
          <w:tcPr/>
          <w:p>
            <w:pPr>
              <w:pStyle w:val="Compact"/>
              <w:jc w:val="left"/>
            </w:pPr>
            <w:r>
              <w:t xml:space="preserve">Zeitreihen-Disaggregation</w:t>
            </w:r>
          </w:p>
        </w:tc>
        <w:tc>
          <w:tcPr/>
          <w:p>
            <w:pPr>
              <w:pStyle w:val="Compact"/>
              <w:jc w:val="left"/>
            </w:pPr>
            <w:r>
              <w:rPr>
                <w:b/>
                <w:bCs/>
              </w:rPr>
              <w:t xml:space="preserve">Teilweise [D/U]</w:t>
            </w:r>
          </w:p>
        </w:tc>
        <w:tc>
          <w:tcPr/>
          <w:p>
            <w:pPr>
              <w:pStyle w:val="Compact"/>
              <w:jc w:val="left"/>
            </w:pPr>
            <w:r>
              <w:t xml:space="preserve">Allokationsschlüssel je Technologie, Zeit und Szenario</w:t>
            </w:r>
          </w:p>
        </w:tc>
      </w:tr>
      <w:tr>
        <w:tc>
          <w:tcPr/>
          <w:p>
            <w:pPr>
              <w:pStyle w:val="Compact"/>
              <w:jc w:val="left"/>
            </w:pPr>
            <w:r>
              <w:t xml:space="preserve">LF-/OPF-Modellgrenzen</w:t>
            </w:r>
          </w:p>
        </w:tc>
        <w:tc>
          <w:tcPr/>
          <w:p>
            <w:pPr>
              <w:pStyle w:val="Compact"/>
              <w:jc w:val="left"/>
            </w:pPr>
            <w:r>
              <w:rPr>
                <w:b/>
                <w:bCs/>
              </w:rPr>
              <w:t xml:space="preserve">Teilweise [D/U]</w:t>
            </w:r>
          </w:p>
        </w:tc>
        <w:tc>
          <w:tcPr/>
          <w:p>
            <w:pPr>
              <w:pStyle w:val="Compact"/>
              <w:jc w:val="left"/>
            </w:pPr>
            <w:r>
              <w:t xml:space="preserve">Verbindungstypen eindeutig definieren</w:t>
            </w:r>
          </w:p>
        </w:tc>
      </w:tr>
      <w:tr>
        <w:tc>
          <w:tcPr/>
          <w:p>
            <w:pPr>
              <w:pStyle w:val="Compact"/>
              <w:jc w:val="left"/>
            </w:pPr>
            <w:r>
              <w:t xml:space="preserve">Qualitätsvalidierung</w:t>
            </w:r>
          </w:p>
        </w:tc>
        <w:tc>
          <w:tcPr/>
          <w:p>
            <w:pPr>
              <w:pStyle w:val="Compact"/>
              <w:jc w:val="left"/>
            </w:pPr>
            <w:r>
              <w:rPr>
                <w:b/>
                <w:bCs/>
              </w:rPr>
              <w:t xml:space="preserve">Teilweise [D/U]</w:t>
            </w:r>
          </w:p>
        </w:tc>
        <w:tc>
          <w:tcPr/>
          <w:p>
            <w:pPr>
              <w:pStyle w:val="Compact"/>
              <w:jc w:val="left"/>
            </w:pPr>
            <w:r>
              <w:t xml:space="preserve">RMSE-Normierung und Auswertung unabhängiger Stunden</w:t>
            </w:r>
          </w:p>
        </w:tc>
      </w:tr>
      <w:tr>
        <w:tc>
          <w:tcPr/>
          <w:p>
            <w:pPr>
              <w:pStyle w:val="Compact"/>
              <w:jc w:val="left"/>
            </w:pPr>
            <w:r>
              <w:t xml:space="preserve">End-to-end-Reproduzierbarkeit</w:t>
            </w:r>
          </w:p>
        </w:tc>
        <w:tc>
          <w:tcPr/>
          <w:p>
            <w:pPr>
              <w:pStyle w:val="Compact"/>
              <w:jc w:val="left"/>
            </w:pPr>
            <w:r>
              <w:rPr>
                <w:b/>
                <w:bCs/>
              </w:rPr>
              <w:t xml:space="preserve">Nicht spezifiziert [U]</w:t>
            </w:r>
          </w:p>
        </w:tc>
        <w:tc>
          <w:tcPr/>
          <w:p>
            <w:pPr>
              <w:pStyle w:val="Compact"/>
              <w:jc w:val="left"/>
            </w:pPr>
            <w:r>
              <w:t xml:space="preserve">Daten-/Parameter-/Code-/Versionsmanifest</w:t>
            </w:r>
          </w:p>
        </w:tc>
      </w:tr>
    </w:tbl>
    <w:bookmarkEnd w:id="80"/>
    <w:bookmarkStart w:id="81" w:name="X82b6033082698f118bd7b420b5802a906117390"/>
    <w:p>
      <w:pPr>
        <w:pStyle w:val="Heading2"/>
      </w:pPr>
      <w:r>
        <w:t xml:space="preserve">13.2 Erforderliche Entscheidungen nach Priorität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Priorität</w:t>
            </w:r>
          </w:p>
        </w:tc>
        <w:tc>
          <w:tcPr/>
          <w:p>
            <w:pPr>
              <w:pStyle w:val="Compact"/>
              <w:jc w:val="left"/>
            </w:pPr>
            <w:r>
              <w:t xml:space="preserve">Wissenschaftlich zu schließende Anforderung</w:t>
            </w:r>
          </w:p>
        </w:tc>
        <w:tc>
          <w:tcPr/>
          <w:p>
            <w:pPr>
              <w:pStyle w:val="Compact"/>
              <w:jc w:val="left"/>
            </w:pPr>
            <w:r>
              <w:t xml:space="preserve">Konsequenz bei Offenbleiben</w:t>
            </w:r>
          </w:p>
        </w:tc>
      </w:tr>
      <w:tr>
        <w:tc>
          <w:tcPr/>
          <w:p>
            <w:pPr>
              <w:pStyle w:val="Compact"/>
              <w:jc w:val="left"/>
            </w:pPr>
            <w:r>
              <w:t xml:space="preserve">NR-01</w:t>
            </w:r>
          </w:p>
        </w:tc>
        <w:tc>
          <w:tcPr/>
          <w:p>
            <w:pPr>
              <w:pStyle w:val="Compact"/>
              <w:jc w:val="left"/>
            </w:pPr>
            <w:r>
              <w:rPr>
                <w:b/>
                <w:bCs/>
              </w:rPr>
              <w:t xml:space="preserve">Kritisch</w:t>
            </w:r>
          </w:p>
        </w:tc>
        <w:tc>
          <w:tcPr/>
          <w:p>
            <w:pPr>
              <w:pStyle w:val="Compact"/>
              <w:jc w:val="left"/>
            </w:pPr>
            <w:r>
              <w:t xml:space="preserve">Detaillierten Netzdatenstand und Knotenzonen-Matrix</w:t>
            </w:r>
            <w:r>
              <w:t xml:space="preserve"> </w:t>
            </w:r>
            <m:oMath>
              <m:r>
                <m:t>P</m:t>
              </m:r>
            </m:oMath>
            <w:r>
              <w:t xml:space="preserve"> </w:t>
            </w:r>
            <w:r>
              <w:t xml:space="preserve">fixieren</w:t>
            </w:r>
          </w:p>
        </w:tc>
        <w:tc>
          <w:tcPr/>
          <w:p>
            <w:pPr>
              <w:pStyle w:val="Compact"/>
              <w:jc w:val="left"/>
            </w:pPr>
            <w:r>
              <w:t xml:space="preserve">Reduzierte Topologie nicht reproduzierbar</w:t>
            </w:r>
          </w:p>
        </w:tc>
      </w:tr>
      <w:tr>
        <w:tc>
          <w:tcPr/>
          <w:p>
            <w:pPr>
              <w:pStyle w:val="Compact"/>
              <w:jc w:val="left"/>
            </w:pPr>
            <w:r>
              <w:t xml:space="preserve">NR-02</w:t>
            </w:r>
          </w:p>
        </w:tc>
        <w:tc>
          <w:tcPr/>
          <w:p>
            <w:pPr>
              <w:pStyle w:val="Compact"/>
              <w:jc w:val="left"/>
            </w:pPr>
            <w:r>
              <w:rPr>
                <w:b/>
                <w:bCs/>
              </w:rPr>
              <w:t xml:space="preserve">Kritisch</w:t>
            </w:r>
          </w:p>
        </w:tc>
        <w:tc>
          <w:tcPr/>
          <w:p>
            <w:pPr>
              <w:pStyle w:val="Compact"/>
              <w:jc w:val="left"/>
            </w:pPr>
            <w:r>
              <w:t xml:space="preserve">Originalleitung–Interzonen-Abbildung</w:t>
            </w:r>
            <w:r>
              <w:t xml:space="preserve"> </w:t>
            </w:r>
            <m:oMath>
              <m:r>
                <m:t>Γ</m:t>
              </m:r>
            </m:oMath>
            <w:r>
              <w:t xml:space="preserve"> </w:t>
            </w:r>
            <w:r>
              <w:t xml:space="preserve">einschließlich Richtungen festlegen</w:t>
            </w:r>
          </w:p>
        </w:tc>
        <w:tc>
          <w:tcPr/>
          <w:p>
            <w:pPr>
              <w:pStyle w:val="Compact"/>
              <w:jc w:val="left"/>
            </w:pPr>
            <w:r>
              <w:t xml:space="preserve">Zielflüsse und Bilanzen nicht deterministisch</w:t>
            </w:r>
          </w:p>
        </w:tc>
      </w:tr>
      <w:tr>
        <w:tc>
          <w:tcPr/>
          <w:p>
            <w:pPr>
              <w:pStyle w:val="Compact"/>
              <w:jc w:val="left"/>
            </w:pPr>
            <w:r>
              <w:t xml:space="preserve">NR-03</w:t>
            </w:r>
          </w:p>
        </w:tc>
        <w:tc>
          <w:tcPr/>
          <w:p>
            <w:pPr>
              <w:pStyle w:val="Compact"/>
              <w:jc w:val="left"/>
            </w:pPr>
            <w:r>
              <w:rPr>
                <w:b/>
                <w:bCs/>
              </w:rPr>
              <w:t xml:space="preserve">Kritisch</w:t>
            </w:r>
          </w:p>
        </w:tc>
        <w:tc>
          <w:tcPr/>
          <w:p>
            <w:pPr>
              <w:pStyle w:val="Compact"/>
              <w:jc w:val="left"/>
            </w:pPr>
            <w:r>
              <w:t xml:space="preserve">Kalibrierungswetterjahre, Stunden und Gewichte fixieren</w:t>
            </w:r>
          </w:p>
        </w:tc>
        <w:tc>
          <w:tcPr/>
          <w:p>
            <w:pPr>
              <w:pStyle w:val="Compact"/>
              <w:jc w:val="left"/>
            </w:pPr>
            <w:r>
              <w:t xml:space="preserve">Impedanz-/Offset-Parameter nicht reproduzierbar</w:t>
            </w:r>
          </w:p>
        </w:tc>
      </w:tr>
      <w:tr>
        <w:tc>
          <w:tcPr/>
          <w:p>
            <w:pPr>
              <w:pStyle w:val="Compact"/>
              <w:jc w:val="left"/>
            </w:pPr>
            <w:r>
              <w:t xml:space="preserve">NR-04</w:t>
            </w:r>
          </w:p>
        </w:tc>
        <w:tc>
          <w:tcPr/>
          <w:p>
            <w:pPr>
              <w:pStyle w:val="Compact"/>
              <w:jc w:val="left"/>
            </w:pPr>
            <w:r>
              <w:rPr>
                <w:b/>
                <w:bCs/>
              </w:rPr>
              <w:t xml:space="preserve">Kritisch</w:t>
            </w:r>
          </w:p>
        </w:tc>
        <w:tc>
          <w:tcPr/>
          <w:p>
            <w:pPr>
              <w:pStyle w:val="Compact"/>
              <w:jc w:val="left"/>
            </w:pPr>
            <w:r>
              <w:t xml:space="preserve">Zielfunktion, Parameterbereiche und Normierung der Impedanzkalibrierung veröffentlichen</w:t>
            </w:r>
          </w:p>
        </w:tc>
        <w:tc>
          <w:tcPr/>
          <w:p>
            <w:pPr>
              <w:pStyle w:val="Compact"/>
              <w:jc w:val="left"/>
            </w:pPr>
            <w:r>
              <w:t xml:space="preserve">Skalierungsmehrdeutigkeit und Solverabhängigkeit</w:t>
            </w:r>
          </w:p>
        </w:tc>
      </w:tr>
      <w:tr>
        <w:tc>
          <w:tcPr/>
          <w:p>
            <w:pPr>
              <w:pStyle w:val="Compact"/>
              <w:jc w:val="left"/>
            </w:pPr>
            <w:r>
              <w:t xml:space="preserve">NR-05</w:t>
            </w:r>
          </w:p>
        </w:tc>
        <w:tc>
          <w:tcPr/>
          <w:p>
            <w:pPr>
              <w:pStyle w:val="Compact"/>
              <w:jc w:val="left"/>
            </w:pPr>
            <w:r>
              <w:rPr>
                <w:b/>
                <w:bCs/>
              </w:rPr>
              <w:t xml:space="preserve">Kritisch</w:t>
            </w:r>
          </w:p>
        </w:tc>
        <w:tc>
          <w:tcPr/>
          <w:p>
            <w:pPr>
              <w:pStyle w:val="Compact"/>
              <w:jc w:val="left"/>
            </w:pPr>
            <w:r>
              <w:t xml:space="preserve">Gleichungsintegration der Nullbilanzflüsse mit Maschen- und Knotenbedingungen festlegen</w:t>
            </w:r>
          </w:p>
        </w:tc>
        <w:tc>
          <w:tcPr/>
          <w:p>
            <w:pPr>
              <w:pStyle w:val="Compact"/>
              <w:jc w:val="left"/>
            </w:pPr>
            <w:r>
              <w:t xml:space="preserve">Physikalische Konsistenz nicht verifizierbar</w:t>
            </w:r>
          </w:p>
        </w:tc>
      </w:tr>
      <w:tr>
        <w:tc>
          <w:tcPr/>
          <w:p>
            <w:pPr>
              <w:pStyle w:val="Compact"/>
              <w:jc w:val="left"/>
            </w:pPr>
            <w:r>
              <w:t xml:space="preserve">NR-06</w:t>
            </w:r>
          </w:p>
        </w:tc>
        <w:tc>
          <w:tcPr/>
          <w:p>
            <w:pPr>
              <w:pStyle w:val="Compact"/>
              <w:jc w:val="left"/>
            </w:pPr>
            <w:r>
              <w:rPr>
                <w:b/>
                <w:bCs/>
              </w:rPr>
              <w:t xml:space="preserve">Kritisch</w:t>
            </w:r>
          </w:p>
        </w:tc>
        <w:tc>
          <w:tcPr/>
          <w:p>
            <w:pPr>
              <w:pStyle w:val="Compact"/>
              <w:jc w:val="left"/>
            </w:pPr>
            <w:r>
              <w:t xml:space="preserve">CBCO- und Ausfallmenge samt Ausschlussgründen dokumentieren</w:t>
            </w:r>
          </w:p>
        </w:tc>
        <w:tc>
          <w:tcPr/>
          <w:p>
            <w:pPr>
              <w:pStyle w:val="Compact"/>
              <w:jc w:val="left"/>
            </w:pPr>
            <w:r>
              <w:t xml:space="preserve">N-1-Äquivalenz nicht unabhängig überprüfbar</w:t>
            </w:r>
          </w:p>
        </w:tc>
      </w:tr>
      <w:tr>
        <w:tc>
          <w:tcPr/>
          <w:p>
            <w:pPr>
              <w:pStyle w:val="Compact"/>
              <w:jc w:val="left"/>
            </w:pPr>
            <w:r>
              <w:t xml:space="preserve">NR-07</w:t>
            </w:r>
          </w:p>
        </w:tc>
        <w:tc>
          <w:tcPr/>
          <w:p>
            <w:pPr>
              <w:pStyle w:val="Compact"/>
              <w:jc w:val="left"/>
            </w:pPr>
            <w:r>
              <w:rPr>
                <w:b/>
                <w:bCs/>
              </w:rPr>
              <w:t xml:space="preserve">Kritisch</w:t>
            </w:r>
          </w:p>
        </w:tc>
        <w:tc>
          <w:tcPr/>
          <w:p>
            <w:pPr>
              <w:pStyle w:val="Compact"/>
              <w:jc w:val="left"/>
            </w:pPr>
            <w:r>
              <w:t xml:space="preserve">Allgemeine statistische Schätzung der 100-%-Schnittpunkte und Gütequalifizierung definieren</w:t>
            </w:r>
          </w:p>
        </w:tc>
        <w:tc>
          <w:tcPr/>
          <w:p>
            <w:pPr>
              <w:pStyle w:val="Compact"/>
              <w:jc w:val="left"/>
            </w:pPr>
            <w:r>
              <w:t xml:space="preserve">Ersatzkapazitäten nicht reproduzierbar</w:t>
            </w:r>
          </w:p>
        </w:tc>
      </w:tr>
      <w:tr>
        <w:tc>
          <w:tcPr/>
          <w:p>
            <w:pPr>
              <w:pStyle w:val="Compact"/>
              <w:jc w:val="left"/>
            </w:pPr>
            <w:r>
              <w:t xml:space="preserve">NR-08</w:t>
            </w:r>
          </w:p>
        </w:tc>
        <w:tc>
          <w:tcPr/>
          <w:p>
            <w:pPr>
              <w:pStyle w:val="Compact"/>
              <w:jc w:val="left"/>
            </w:pPr>
            <w:r>
              <w:rPr>
                <w:b/>
                <w:bCs/>
              </w:rPr>
              <w:t xml:space="preserve">Hoch</w:t>
            </w:r>
          </w:p>
        </w:tc>
        <w:tc>
          <w:tcPr/>
          <w:p>
            <w:pPr>
              <w:pStyle w:val="Compact"/>
              <w:jc w:val="left"/>
            </w:pPr>
            <w:r>
              <w:t xml:space="preserve">Zeit-, Szenario- und Zieljahr-Indizes der Ersatzparameter klarstellen</w:t>
            </w:r>
          </w:p>
        </w:tc>
        <w:tc>
          <w:tcPr/>
          <w:p>
            <w:pPr>
              <w:pStyle w:val="Compact"/>
              <w:jc w:val="left"/>
            </w:pPr>
            <w:r>
              <w:t xml:space="preserve">Übertragbarkeit und Vergleichbarkeit unklar</w:t>
            </w:r>
          </w:p>
        </w:tc>
      </w:tr>
      <w:tr>
        <w:tc>
          <w:tcPr/>
          <w:p>
            <w:pPr>
              <w:pStyle w:val="Compact"/>
              <w:jc w:val="left"/>
            </w:pPr>
            <w:r>
              <w:t xml:space="preserve">NR-09</w:t>
            </w:r>
          </w:p>
        </w:tc>
        <w:tc>
          <w:tcPr/>
          <w:p>
            <w:pPr>
              <w:pStyle w:val="Compact"/>
              <w:jc w:val="left"/>
            </w:pPr>
            <w:r>
              <w:rPr>
                <w:b/>
                <w:bCs/>
              </w:rPr>
              <w:t xml:space="preserve">Hoch</w:t>
            </w:r>
          </w:p>
        </w:tc>
        <w:tc>
          <w:tcPr/>
          <w:p>
            <w:pPr>
              <w:pStyle w:val="Compact"/>
              <w:jc w:val="left"/>
            </w:pPr>
            <w:r>
              <w:t xml:space="preserve">PTDF-Ausgangsfall, variierte Marktparameter, Schrittweiten und Rebalancierung festlegen</w:t>
            </w:r>
          </w:p>
        </w:tc>
        <w:tc>
          <w:tcPr/>
          <w:p>
            <w:pPr>
              <w:pStyle w:val="Compact"/>
              <w:jc w:val="left"/>
            </w:pPr>
            <w:r>
              <w:t xml:space="preserve">Referenzflüsse nicht reproduzierbar</w:t>
            </w:r>
          </w:p>
        </w:tc>
      </w:tr>
      <w:tr>
        <w:tc>
          <w:tcPr/>
          <w:p>
            <w:pPr>
              <w:pStyle w:val="Compact"/>
              <w:jc w:val="left"/>
            </w:pPr>
            <w:r>
              <w:t xml:space="preserve">NR-10</w:t>
            </w:r>
          </w:p>
        </w:tc>
        <w:tc>
          <w:tcPr/>
          <w:p>
            <w:pPr>
              <w:pStyle w:val="Compact"/>
              <w:jc w:val="left"/>
            </w:pPr>
            <w:r>
              <w:rPr>
                <w:b/>
                <w:bCs/>
              </w:rPr>
              <w:t xml:space="preserve">Hoch</w:t>
            </w:r>
          </w:p>
        </w:tc>
        <w:tc>
          <w:tcPr/>
          <w:p>
            <w:pPr>
              <w:pStyle w:val="Compact"/>
              <w:jc w:val="left"/>
            </w:pPr>
            <w:r>
              <w:t xml:space="preserve">Behandlung von HVDC, PST und getrennten Stromnetzteilen beschreiben</w:t>
            </w:r>
          </w:p>
        </w:tc>
        <w:tc>
          <w:tcPr/>
          <w:p>
            <w:pPr>
              <w:pStyle w:val="Compact"/>
              <w:jc w:val="left"/>
            </w:pPr>
            <w:r>
              <w:t xml:space="preserve">Regelbarer Flussanteil nicht eindeutig</w:t>
            </w:r>
          </w:p>
        </w:tc>
      </w:tr>
      <w:tr>
        <w:tc>
          <w:tcPr/>
          <w:p>
            <w:pPr>
              <w:pStyle w:val="Compact"/>
              <w:jc w:val="left"/>
            </w:pPr>
            <w:r>
              <w:t xml:space="preserve">NR-11</w:t>
            </w:r>
          </w:p>
        </w:tc>
        <w:tc>
          <w:tcPr/>
          <w:p>
            <w:pPr>
              <w:pStyle w:val="Compact"/>
              <w:jc w:val="left"/>
            </w:pPr>
            <w:r>
              <w:rPr>
                <w:b/>
                <w:bCs/>
              </w:rPr>
              <w:t xml:space="preserve">Hoch</w:t>
            </w:r>
          </w:p>
        </w:tc>
        <w:tc>
          <w:tcPr/>
          <w:p>
            <w:pPr>
              <w:pStyle w:val="Compact"/>
              <w:jc w:val="left"/>
            </w:pPr>
            <w:r>
              <w:t xml:space="preserve">Klare Sommer-/Winterdefinition sowie physikalische Leitungsgrenzen hinterlegen</w:t>
            </w:r>
          </w:p>
        </w:tc>
        <w:tc>
          <w:tcPr/>
          <w:p>
            <w:pPr>
              <w:pStyle w:val="Compact"/>
              <w:jc w:val="left"/>
            </w:pPr>
            <w:r>
              <w:t xml:space="preserve">Saisonkapazitäten nicht nachbildbar</w:t>
            </w:r>
          </w:p>
        </w:tc>
      </w:tr>
      <w:tr>
        <w:tc>
          <w:tcPr/>
          <w:p>
            <w:pPr>
              <w:pStyle w:val="Compact"/>
              <w:jc w:val="left"/>
            </w:pPr>
            <w:r>
              <w:t xml:space="preserve">NR-12</w:t>
            </w:r>
          </w:p>
        </w:tc>
        <w:tc>
          <w:tcPr/>
          <w:p>
            <w:pPr>
              <w:pStyle w:val="Compact"/>
              <w:jc w:val="left"/>
            </w:pPr>
            <w:r>
              <w:rPr>
                <w:b/>
                <w:bCs/>
              </w:rPr>
              <w:t xml:space="preserve">Hoch</w:t>
            </w:r>
          </w:p>
        </w:tc>
        <w:tc>
          <w:tcPr/>
          <w:p>
            <w:pPr>
              <w:pStyle w:val="Compact"/>
              <w:jc w:val="left"/>
            </w:pPr>
            <w:r>
              <w:t xml:space="preserve">Verbindliche interne und grenzüberschreitende Kantenklassen für LF/OPF festlegen</w:t>
            </w:r>
          </w:p>
        </w:tc>
        <w:tc>
          <w:tcPr/>
          <w:p>
            <w:pPr>
              <w:pStyle w:val="Compact"/>
              <w:jc w:val="left"/>
            </w:pPr>
            <w:r>
              <w:t xml:space="preserve">Aktivierte Netzrestriktionen interpretationsabhängig</w:t>
            </w:r>
          </w:p>
        </w:tc>
      </w:tr>
      <w:tr>
        <w:tc>
          <w:tcPr/>
          <w:p>
            <w:pPr>
              <w:pStyle w:val="Compact"/>
              <w:jc w:val="left"/>
            </w:pPr>
            <w:r>
              <w:t xml:space="preserve">NR-13</w:t>
            </w:r>
          </w:p>
        </w:tc>
        <w:tc>
          <w:tcPr/>
          <w:p>
            <w:pPr>
              <w:pStyle w:val="Compact"/>
              <w:jc w:val="left"/>
            </w:pPr>
            <w:r>
              <w:rPr>
                <w:b/>
                <w:bCs/>
              </w:rPr>
              <w:t xml:space="preserve">Hoch</w:t>
            </w:r>
          </w:p>
        </w:tc>
        <w:tc>
          <w:tcPr/>
          <w:p>
            <w:pPr>
              <w:pStyle w:val="Compact"/>
              <w:jc w:val="left"/>
            </w:pPr>
            <w:r>
              <w:t xml:space="preserve">TSO-Allokationsschlüssel, PECD-Kopplung und Bilanztests definieren</w:t>
            </w:r>
          </w:p>
        </w:tc>
        <w:tc>
          <w:tcPr/>
          <w:p>
            <w:pPr>
              <w:pStyle w:val="Compact"/>
              <w:jc w:val="left"/>
            </w:pPr>
            <w:r>
              <w:t xml:space="preserve">Zonale Zeitreihen können Inkonsistenzen erzeugen</w:t>
            </w:r>
          </w:p>
        </w:tc>
      </w:tr>
      <w:tr>
        <w:tc>
          <w:tcPr/>
          <w:p>
            <w:pPr>
              <w:pStyle w:val="Compact"/>
              <w:jc w:val="left"/>
            </w:pPr>
            <w:r>
              <w:t xml:space="preserve">NR-14</w:t>
            </w:r>
          </w:p>
        </w:tc>
        <w:tc>
          <w:tcPr/>
          <w:p>
            <w:pPr>
              <w:pStyle w:val="Compact"/>
              <w:jc w:val="left"/>
            </w:pPr>
            <w:r>
              <w:rPr>
                <w:b/>
                <w:bCs/>
              </w:rPr>
              <w:t xml:space="preserve">Hoch</w:t>
            </w:r>
          </w:p>
        </w:tc>
        <w:tc>
          <w:tcPr/>
          <w:p>
            <w:pPr>
              <w:pStyle w:val="Compact"/>
              <w:jc w:val="left"/>
            </w:pPr>
            <w:r>
              <w:t xml:space="preserve">unabhängige Teststunden/-szenarien samt kritischen Fehlerkennzahlen festlegen</w:t>
            </w:r>
          </w:p>
        </w:tc>
        <w:tc>
          <w:tcPr/>
          <w:p>
            <w:pPr>
              <w:pStyle w:val="Compact"/>
              <w:jc w:val="left"/>
            </w:pPr>
            <w:r>
              <w:t xml:space="preserve">Generalisierung nicht nachgewiesen</w:t>
            </w:r>
          </w:p>
        </w:tc>
      </w:tr>
      <w:tr>
        <w:tc>
          <w:tcPr/>
          <w:p>
            <w:pPr>
              <w:pStyle w:val="Compact"/>
              <w:jc w:val="left"/>
            </w:pPr>
            <w:r>
              <w:t xml:space="preserve">NR-15</w:t>
            </w:r>
          </w:p>
        </w:tc>
        <w:tc>
          <w:tcPr/>
          <w:p>
            <w:pPr>
              <w:pStyle w:val="Compact"/>
              <w:jc w:val="left"/>
            </w:pPr>
            <w:r>
              <w:rPr>
                <w:b/>
                <w:bCs/>
              </w:rPr>
              <w:t xml:space="preserve">Mittel</w:t>
            </w:r>
          </w:p>
        </w:tc>
        <w:tc>
          <w:tcPr/>
          <w:p>
            <w:pPr>
              <w:pStyle w:val="Compact"/>
              <w:jc w:val="left"/>
            </w:pPr>
            <w:r>
              <w:t xml:space="preserve">RMSE-Definition und Farbklassifikations-Priorität formal ergänzen</w:t>
            </w:r>
          </w:p>
        </w:tc>
        <w:tc>
          <w:tcPr/>
          <w:p>
            <w:pPr>
              <w:pStyle w:val="Compact"/>
              <w:jc w:val="left"/>
            </w:pPr>
            <w:r>
              <w:t xml:space="preserve">Bewertungsfarben nicht deterministisch</w:t>
            </w:r>
          </w:p>
        </w:tc>
      </w:tr>
      <w:tr>
        <w:tc>
          <w:tcPr/>
          <w:p>
            <w:pPr>
              <w:pStyle w:val="Compact"/>
              <w:jc w:val="left"/>
            </w:pPr>
            <w:r>
              <w:t xml:space="preserve">NR-16</w:t>
            </w:r>
          </w:p>
        </w:tc>
        <w:tc>
          <w:tcPr/>
          <w:p>
            <w:pPr>
              <w:pStyle w:val="Compact"/>
              <w:jc w:val="left"/>
            </w:pPr>
            <w:r>
              <w:rPr>
                <w:b/>
                <w:bCs/>
              </w:rPr>
              <w:t xml:space="preserve">Mittel</w:t>
            </w:r>
          </w:p>
        </w:tc>
        <w:tc>
          <w:tcPr/>
          <w:p>
            <w:pPr>
              <w:pStyle w:val="Compact"/>
              <w:jc w:val="left"/>
            </w:pPr>
            <w:r>
              <w:t xml:space="preserve">Kriterien für Clustering-Abbruch, stabile Verbesserung und Zonenwechsel dokumentieren</w:t>
            </w:r>
          </w:p>
        </w:tc>
        <w:tc>
          <w:tcPr/>
          <w:p>
            <w:pPr>
              <w:pStyle w:val="Compact"/>
              <w:jc w:val="left"/>
            </w:pPr>
            <w:r>
              <w:t xml:space="preserve">Re-Cluster-Prozess nicht nachvollziehbar</w:t>
            </w:r>
          </w:p>
        </w:tc>
      </w:tr>
      <w:tr>
        <w:tc>
          <w:tcPr/>
          <w:p>
            <w:pPr>
              <w:pStyle w:val="Compact"/>
              <w:jc w:val="left"/>
            </w:pPr>
            <w:r>
              <w:t xml:space="preserve">NR-17</w:t>
            </w:r>
          </w:p>
        </w:tc>
        <w:tc>
          <w:tcPr/>
          <w:p>
            <w:pPr>
              <w:pStyle w:val="Compact"/>
              <w:jc w:val="left"/>
            </w:pPr>
            <w:r>
              <w:rPr>
                <w:b/>
                <w:bCs/>
              </w:rPr>
              <w:t xml:space="preserve">Mittel</w:t>
            </w:r>
          </w:p>
        </w:tc>
        <w:tc>
          <w:tcPr/>
          <w:p>
            <w:pPr>
              <w:pStyle w:val="Compact"/>
              <w:jc w:val="left"/>
            </w:pPr>
            <w:r>
              <w:t xml:space="preserve">Datenqualitätsregeln für 110-kV-Lücken und parallele Grenzleitungen definieren</w:t>
            </w:r>
          </w:p>
        </w:tc>
        <w:tc>
          <w:tcPr/>
          <w:p>
            <w:pPr>
              <w:pStyle w:val="Compact"/>
              <w:jc w:val="left"/>
            </w:pPr>
            <w:r>
              <w:t xml:space="preserve">Lokale Cluster-Güte abhängig von Datenlücken</w:t>
            </w:r>
          </w:p>
        </w:tc>
      </w:tr>
      <w:tr>
        <w:tc>
          <w:tcPr/>
          <w:p>
            <w:pPr>
              <w:pStyle w:val="Compact"/>
              <w:jc w:val="left"/>
            </w:pPr>
            <w:r>
              <w:t xml:space="preserve">NR-18</w:t>
            </w:r>
          </w:p>
        </w:tc>
        <w:tc>
          <w:tcPr/>
          <w:p>
            <w:pPr>
              <w:pStyle w:val="Compact"/>
              <w:jc w:val="left"/>
            </w:pPr>
            <w:r>
              <w:rPr>
                <w:b/>
                <w:bCs/>
              </w:rPr>
              <w:t xml:space="preserve">Mittel</w:t>
            </w:r>
          </w:p>
        </w:tc>
        <w:tc>
          <w:tcPr/>
          <w:p>
            <w:pPr>
              <w:pStyle w:val="Compact"/>
              <w:jc w:val="left"/>
            </w:pPr>
            <w:r>
              <w:t xml:space="preserve">Dokumentationskonflikt zu Wetterjahr-Fenstern auflösen</w:t>
            </w:r>
          </w:p>
        </w:tc>
        <w:tc>
          <w:tcPr/>
          <w:p>
            <w:pPr>
              <w:pStyle w:val="Compact"/>
              <w:jc w:val="left"/>
            </w:pPr>
            <w:r>
              <w:t xml:space="preserve">Unklare Wetterstichprobe</w:t>
            </w:r>
          </w:p>
        </w:tc>
      </w:tr>
    </w:tbl>
    <w:bookmarkEnd w:id="81"/>
    <w:bookmarkStart w:id="82" w:name="X801b1cf8d29fabf90d06ea4a23a32cd973f4c05"/>
    <w:p>
      <w:pPr>
        <w:pStyle w:val="Heading2"/>
      </w:pPr>
      <w:r>
        <w:t xml:space="preserve">13.3 Minimal ausreichender Reproduzierbarkeitsdatensatz [E]</w:t>
      </w:r>
    </w:p>
    <w:p>
      <w:pPr>
        <w:pStyle w:val="FirstParagraph"/>
      </w:pPr>
      <w:r>
        <w:t xml:space="preserve">Ein Dritter benötigt mindestens ein versioniertes</w:t>
      </w:r>
      <w:r>
        <w:t xml:space="preserve"> </w:t>
      </w:r>
      <w:r>
        <w:rPr>
          <w:b/>
          <w:bCs/>
        </w:rPr>
        <w:t xml:space="preserve">Topologiepaket</w:t>
      </w:r>
      <w:r>
        <w:t xml:space="preserve"> </w:t>
      </w:r>
      <w:r>
        <w:t xml:space="preserve">(Originalgraph, AC-Zweigparameter, Knoten-Zonen-Mapping, Grenzleitungsgruppen), ein</w:t>
      </w:r>
      <w:r>
        <w:t xml:space="preserve"> </w:t>
      </w:r>
      <w:r>
        <w:rPr>
          <w:b/>
          <w:bCs/>
        </w:rPr>
        <w:t xml:space="preserve">Betriebsstundenpaket</w:t>
      </w:r>
      <w:r>
        <w:t xml:space="preserve"> </w:t>
      </w:r>
      <w:r>
        <w:t xml:space="preserve">(NTC-Marktoutputs, nodale bzw. zonale Einspeisungen, Referenz-PTDF und Zielgrenzflüsse), ein</w:t>
      </w:r>
      <w:r>
        <w:t xml:space="preserve"> </w:t>
      </w:r>
      <w:r>
        <w:rPr>
          <w:b/>
          <w:bCs/>
        </w:rPr>
        <w:t xml:space="preserve">Kalibrierungspaket</w:t>
      </w:r>
      <w:r>
        <w:t xml:space="preserve"> </w:t>
      </w:r>
      <w:r>
        <w:t xml:space="preserve">(aktuelle Partition, Optimierungsaufgabe und -parameter, gefundene Reaktanzen und Korrekturflüsse), ein</w:t>
      </w:r>
      <w:r>
        <w:t xml:space="preserve"> </w:t>
      </w:r>
      <w:r>
        <w:rPr>
          <w:b/>
          <w:bCs/>
        </w:rPr>
        <w:t xml:space="preserve">Kontingenzpaket</w:t>
      </w:r>
      <w:r>
        <w:t xml:space="preserve"> </w:t>
      </w:r>
      <w:r>
        <w:t xml:space="preserve">(LODF- und CBCO-Listen, physikalische Grenzen, Stunden- und Saisondatenpunkte) sowie ein</w:t>
      </w:r>
      <w:r>
        <w:t xml:space="preserve"> </w:t>
      </w:r>
      <w:r>
        <w:rPr>
          <w:b/>
          <w:bCs/>
        </w:rPr>
        <w:t xml:space="preserve">Validierungspaket</w:t>
      </w:r>
      <w:r>
        <w:t xml:space="preserve"> </w:t>
      </w:r>
      <w:r>
        <w:t xml:space="preserve">(Fehler je Verbindung und Stunde, Sicherheitsvergleiche, ausgewiesene Ausnahmefälle und Solver-/Softwareversionen).</w:t>
      </w:r>
    </w:p>
    <w:p>
      <w:pPr>
        <w:pStyle w:val="BodyText"/>
      </w:pPr>
      <w:r>
        <w:t xml:space="preserve">Die Existenz oder Veröffentlichung solcher Pakete wird durch [Q1] nicht behauptet. Es handelt sich um einen methodischen Mindeststandard für den Zweck einer unabhängigen Nachrechnung.</w:t>
      </w:r>
    </w:p>
    <w:bookmarkEnd w:id="82"/>
    <w:bookmarkEnd w:id="83"/>
    <w:bookmarkStart w:id="86" w:name="Xfee5209300a1e9f8e7d2a4c928b2cdd17a0b6b3"/>
    <w:p>
      <w:pPr>
        <w:pStyle w:val="Heading1"/>
      </w:pPr>
      <w:r>
        <w:t xml:space="preserve">14. Konsistente Referenzarchitektur für eine wissenschaftliche Reimplementation</w:t>
      </w:r>
    </w:p>
    <w:bookmarkStart w:id="84" w:name="input-output-verträge-e"/>
    <w:p>
      <w:pPr>
        <w:pStyle w:val="Heading2"/>
      </w:pPr>
      <w:r>
        <w:t xml:space="preserve">14.1 Input-/Output-Verträge [E]</w:t>
      </w:r>
    </w:p>
    <w:p>
      <w:pPr>
        <w:pStyle w:val="FirstParagraph"/>
      </w:pPr>
      <w:r>
        <w:t xml:space="preserve">Die hier skizzierte Architektur beschreibt</w:t>
      </w:r>
      <w:r>
        <w:t xml:space="preserve"> </w:t>
      </w:r>
      <w:r>
        <w:rPr>
          <w:b/>
          <w:bCs/>
        </w:rPr>
        <w:t xml:space="preserve">nicht</w:t>
      </w:r>
      <w:r>
        <w:t xml:space="preserve"> </w:t>
      </w:r>
      <w:r>
        <w:t xml:space="preserve">ein in [Q1] veröffentlichtes Softwaredesign. Sie operationalisiert die aus der Dokumentation ableitbaren Anforderungen unter expliziter Kennzeichnung noch offener Entscheidungen.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Schritt</w:t>
            </w:r>
          </w:p>
        </w:tc>
        <w:tc>
          <w:tcPr/>
          <w:p>
            <w:pPr>
              <w:pStyle w:val="Compact"/>
              <w:jc w:val="left"/>
            </w:pPr>
            <w:r>
              <w:t xml:space="preserve">Erforderlicher Input</w:t>
            </w:r>
          </w:p>
        </w:tc>
        <w:tc>
          <w:tcPr/>
          <w:p>
            <w:pPr>
              <w:pStyle w:val="Compact"/>
              <w:jc w:val="left"/>
            </w:pPr>
            <w:r>
              <w:t xml:space="preserve">Prüfbarer Output</w:t>
            </w:r>
          </w:p>
        </w:tc>
      </w:tr>
      <w:tr>
        <w:tc>
          <w:tcPr/>
          <w:p>
            <w:pPr>
              <w:pStyle w:val="Compact"/>
              <w:jc w:val="left"/>
            </w:pPr>
            <w:r>
              <w:t xml:space="preserve">A. Data preflight</w:t>
            </w:r>
          </w:p>
        </w:tc>
        <w:tc>
          <w:tcPr/>
          <w:p>
            <w:pPr>
              <w:pStyle w:val="Compact"/>
              <w:jc w:val="left"/>
            </w:pPr>
            <w:r>
              <w:t xml:space="preserve">Versioniertes Originalnetz, PEMMDB-/PECD-Zeitreihen, Markt-Dispatch</w:t>
            </w:r>
          </w:p>
        </w:tc>
        <w:tc>
          <w:tcPr/>
          <w:p>
            <w:pPr>
              <w:pStyle w:val="Compact"/>
              <w:jc w:val="left"/>
            </w:pPr>
            <w:r>
              <w:t xml:space="preserve">Topologie-, Mengen- und Zeitkonsistenzbericht</w:t>
            </w:r>
          </w:p>
        </w:tc>
      </w:tr>
      <w:tr>
        <w:tc>
          <w:tcPr/>
          <w:p>
            <w:pPr>
              <w:pStyle w:val="Compact"/>
              <w:jc w:val="left"/>
            </w:pPr>
            <w:r>
              <w:t xml:space="preserve">B. Detailed-flow synthesis</w:t>
            </w:r>
          </w:p>
        </w:tc>
        <w:tc>
          <w:tcPr/>
          <w:p>
            <w:pPr>
              <w:pStyle w:val="Compact"/>
              <w:jc w:val="left"/>
            </w:pPr>
            <w:r>
              <w:t xml:space="preserve">Referenzfall, ausgewählte Marktparameter, PTDF-Sensitivitäten, Stunden</w:t>
            </w:r>
          </w:p>
        </w:tc>
        <w:tc>
          <w:tcPr/>
          <w:p>
            <w:pPr>
              <w:pStyle w:val="Compact"/>
              <w:jc w:val="left"/>
            </w:pPr>
            <m:oMath>
              <m:sSubSup>
                <m:e>
                  <m:r>
                    <m:t>f</m:t>
                  </m:r>
                </m:e>
                <m:sub>
                  <m:r>
                    <m:rPr>
                      <m:sty m:val="p"/>
                    </m:rPr>
                    <m:t>ℓ</m:t>
                  </m:r>
                  <m:r>
                    <m:rPr>
                      <m:sty m:val="p"/>
                    </m:rPr>
                    <m:t>,</m:t>
                  </m:r>
                  <m:r>
                    <m:t>t</m:t>
                  </m:r>
                </m:sub>
                <m:sup>
                  <m:r>
                    <m:rPr>
                      <m:sty m:val="p"/>
                    </m:rPr>
                    <m:t>d</m:t>
                  </m:r>
                </m:sup>
              </m:sSubSup>
            </m:oMath>
            <w:r>
              <w:t xml:space="preserve"> </w:t>
            </w:r>
            <w:r>
              <w:t xml:space="preserve">und kontrollierte Knotenbilanzen</w:t>
            </w:r>
          </w:p>
        </w:tc>
      </w:tr>
      <w:tr>
        <w:tc>
          <w:tcPr/>
          <w:p>
            <w:pPr>
              <w:pStyle w:val="Compact"/>
              <w:jc w:val="left"/>
            </w:pPr>
            <w:r>
              <w:t xml:space="preserve">C. Criticality scoring</w:t>
            </w:r>
          </w:p>
        </w:tc>
        <w:tc>
          <w:tcPr/>
          <w:p>
            <w:pPr>
              <w:pStyle w:val="Compact"/>
              <w:jc w:val="left"/>
            </w:pPr>
            <w:r>
              <w:t xml:space="preserve">Leitungsflüsse, Grenzwerte, Wetter-/Stundenindex</w:t>
            </w:r>
          </w:p>
        </w:tc>
        <w:tc>
          <w:tcPr/>
          <w:p>
            <w:pPr>
              <w:pStyle w:val="Compact"/>
              <w:jc w:val="left"/>
            </w:pPr>
            <m:oMath>
              <m:sSubSup>
                <m:e>
                  <m:r>
                    <m:t>E</m:t>
                  </m:r>
                </m:e>
                <m:sub>
                  <m:r>
                    <m:rPr>
                      <m:sty m:val="p"/>
                    </m:rPr>
                    <m:t>ℓ</m:t>
                  </m:r>
                  <m:r>
                    <m:rPr>
                      <m:sty m:val="p"/>
                    </m:rPr>
                    <m:t>,</m:t>
                  </m:r>
                  <m:r>
                    <m:t>s</m:t>
                  </m:r>
                </m:sub>
                <m:sup>
                  <m:r>
                    <m:rPr>
                      <m:sty m:val="p"/>
                    </m:rPr>
                    <m:t>o</m:t>
                  </m:r>
                  <m:r>
                    <m:rPr>
                      <m:sty m:val="p"/>
                    </m:rPr>
                    <m:t>v</m:t>
                  </m:r>
                </m:sup>
              </m:sSubSup>
            </m:oMath>
            <w:r>
              <w:t xml:space="preserve"> </w:t>
            </w:r>
            <w:r>
              <w:t xml:space="preserve">und Engpassrangfolge</w:t>
            </w:r>
          </w:p>
        </w:tc>
      </w:tr>
      <w:tr>
        <w:tc>
          <w:tcPr/>
          <w:p>
            <w:pPr>
              <w:pStyle w:val="Compact"/>
              <w:jc w:val="left"/>
            </w:pPr>
            <w:r>
              <w:t xml:space="preserve">D. Partition candidate</w:t>
            </w:r>
          </w:p>
        </w:tc>
        <w:tc>
          <w:tcPr/>
          <w:p>
            <w:pPr>
              <w:pStyle w:val="Compact"/>
              <w:jc w:val="left"/>
            </w:pPr>
            <w:r>
              <w:t xml:space="preserve">Netzgraph, kritische Leitungen, Konnektivitätsanforderung</w:t>
            </w:r>
          </w:p>
        </w:tc>
        <w:tc>
          <w:tcPr/>
          <w:p>
            <w:pPr>
              <w:pStyle w:val="Compact"/>
              <w:jc w:val="left"/>
            </w:pPr>
            <m:oMath>
              <m:r>
                <m:t>P</m:t>
              </m:r>
            </m:oMath>
            <w:r>
              <w:t xml:space="preserve">,</w:t>
            </w:r>
            <w:r>
              <w:t xml:space="preserve"> </w:t>
            </w:r>
            <m:oMath>
              <m:sSub>
                <m:e>
                  <m:r>
                    <m:t>A</m:t>
                  </m:r>
                </m:e>
                <m:sub>
                  <m:r>
                    <m:rPr>
                      <m:sty m:val="p"/>
                    </m:rPr>
                    <m:t>z</m:t>
                  </m:r>
                </m:sub>
              </m:sSub>
            </m:oMath>
            <w:r>
              <w:t xml:space="preserve">,</w:t>
            </w:r>
            <w:r>
              <w:t xml:space="preserve"> </w:t>
            </w:r>
            <m:oMath>
              <m:r>
                <m:t>Γ</m:t>
              </m:r>
            </m:oMath>
            <w:r>
              <w:t xml:space="preserve">, zonale Zuordnungsbilanz</w:t>
            </w:r>
          </w:p>
        </w:tc>
      </w:tr>
      <w:tr>
        <w:tc>
          <w:tcPr/>
          <w:p>
            <w:pPr>
              <w:pStyle w:val="Compact"/>
              <w:jc w:val="left"/>
            </w:pPr>
            <w:r>
              <w:t xml:space="preserve">E. Equivalent-flow calibration</w:t>
            </w:r>
          </w:p>
        </w:tc>
        <w:tc>
          <w:tcPr/>
          <w:p>
            <w:pPr>
              <w:pStyle w:val="Compact"/>
              <w:jc w:val="left"/>
            </w:pPr>
            <m:oMath>
              <m:sSubSup>
                <m:e>
                  <m:r>
                    <m:t>f</m:t>
                  </m:r>
                </m:e>
                <m:sub>
                  <m:r>
                    <m:t>t</m:t>
                  </m:r>
                </m:sub>
                <m:sup>
                  <m:r>
                    <m:rPr>
                      <m:sty m:val="p"/>
                    </m:rPr>
                    <m:t>⋆</m:t>
                  </m:r>
                </m:sup>
              </m:sSubSup>
            </m:oMath>
            <w:r>
              <w:t xml:space="preserve">,</w:t>
            </w:r>
            <w:r>
              <w:t xml:space="preserve"> </w:t>
            </w:r>
            <m:oMath>
              <m:sSubSup>
                <m:e>
                  <m:r>
                    <m:t>p</m:t>
                  </m:r>
                </m:e>
                <m:sub>
                  <m:r>
                    <m:t>t</m:t>
                  </m:r>
                </m:sub>
                <m:sup>
                  <m:r>
                    <m:rPr>
                      <m:sty m:val="p"/>
                    </m:rPr>
                    <m:t>z</m:t>
                  </m:r>
                </m:sup>
              </m:sSubSup>
            </m:oMath>
            <w:r>
              <w:t xml:space="preserve">, Kalibrierungsdefinition</w:t>
            </w:r>
          </w:p>
        </w:tc>
        <w:tc>
          <w:tcPr/>
          <w:p>
            <w:pPr>
              <w:pStyle w:val="Compact"/>
              <w:jc w:val="left"/>
            </w:pPr>
            <m:oMath>
              <m:r>
                <m:t>X</m:t>
              </m:r>
            </m:oMath>
            <w:r>
              <w:t xml:space="preserve">,</w:t>
            </w:r>
            <w:r>
              <w:t xml:space="preserve"> </w:t>
            </w:r>
            <m:oMath>
              <m:sSup>
                <m:e>
                  <m:r>
                    <m:t>c</m:t>
                  </m:r>
                </m:e>
                <m:sup>
                  <m:r>
                    <m:t>0</m:t>
                  </m:r>
                </m:sup>
              </m:sSup>
            </m:oMath>
            <w:r>
              <w:t xml:space="preserve">, stündliche</w:t>
            </w:r>
            <w:r>
              <w:t xml:space="preserve"> </w:t>
            </w:r>
            <m:oMath>
              <m:sSub>
                <m:e>
                  <m:acc>
                    <m:accPr>
                      <m:chr m:val="̂"/>
                    </m:accPr>
                    <m:e>
                      <m:r>
                        <m:t>f</m:t>
                      </m:r>
                    </m:e>
                  </m:acc>
                </m:e>
                <m:sub>
                  <m:r>
                    <m:t>t</m:t>
                  </m:r>
                </m:sub>
              </m:sSub>
            </m:oMath>
            <w:r>
              <w:t xml:space="preserve">, Residuen</w:t>
            </w:r>
          </w:p>
        </w:tc>
      </w:tr>
      <w:tr>
        <w:tc>
          <w:tcPr/>
          <w:p>
            <w:pPr>
              <w:pStyle w:val="Compact"/>
              <w:jc w:val="left"/>
            </w:pPr>
            <w:r>
              <w:t xml:space="preserve">F. Equivalent-capacity fitting</w:t>
            </w:r>
          </w:p>
        </w:tc>
        <w:tc>
          <w:tcPr/>
          <w:p>
            <w:pPr>
              <w:pStyle w:val="Compact"/>
              <w:jc w:val="left"/>
            </w:pPr>
            <w:r>
              <w:t xml:space="preserve">N-1-LODF, CBCOs, Leitungsgrenzen, Stunden/Saison</w:t>
            </w:r>
          </w:p>
        </w:tc>
        <w:tc>
          <w:tcPr/>
          <w:p>
            <w:pPr>
              <w:pStyle w:val="Compact"/>
              <w:jc w:val="left"/>
            </w:pPr>
            <w:r>
              <w:t xml:space="preserve">Vier</w:t>
            </w:r>
            <w:r>
              <w:t xml:space="preserve"> </w:t>
            </w:r>
            <m:oMath>
              <m:sSub>
                <m:e>
                  <m:r>
                    <m:t>K</m:t>
                  </m:r>
                </m:e>
                <m:sub>
                  <m:r>
                    <m:t>e</m:t>
                  </m:r>
                  <m:r>
                    <m:rPr>
                      <m:sty m:val="p"/>
                    </m:rPr>
                    <m:t>,</m:t>
                  </m:r>
                  <m:r>
                    <m:t>σ</m:t>
                  </m:r>
                  <m:r>
                    <m:rPr>
                      <m:sty m:val="p"/>
                    </m:rPr>
                    <m:t>,</m:t>
                  </m:r>
                  <m:r>
                    <m:t>d</m:t>
                  </m:r>
                </m:sub>
              </m:sSub>
            </m:oMath>
            <w:r>
              <w:t xml:space="preserve"> </w:t>
            </w:r>
            <w:r>
              <w:t xml:space="preserve">mit Unsicherheit/Status</w:t>
            </w:r>
          </w:p>
        </w:tc>
      </w:tr>
      <w:tr>
        <w:tc>
          <w:tcPr/>
          <w:p>
            <w:pPr>
              <w:pStyle w:val="Compact"/>
              <w:jc w:val="left"/>
            </w:pPr>
            <w:r>
              <w:t xml:space="preserve">G. Model acceptance</w:t>
            </w:r>
          </w:p>
        </w:tc>
        <w:tc>
          <w:tcPr/>
          <w:p>
            <w:pPr>
              <w:pStyle w:val="Compact"/>
              <w:jc w:val="left"/>
            </w:pPr>
            <w:r>
              <w:t xml:space="preserve">unabhängige Teststunden, Qualitätsschwellen</w:t>
            </w:r>
          </w:p>
        </w:tc>
        <w:tc>
          <w:tcPr/>
          <w:p>
            <w:pPr>
              <w:pStyle w:val="Compact"/>
              <w:jc w:val="left"/>
            </w:pPr>
            <w:r>
              <w:t xml:space="preserve">Annahme/Ablehnung oder Cluster-Rückkopplung</w:t>
            </w:r>
          </w:p>
        </w:tc>
      </w:tr>
      <w:tr>
        <w:tc>
          <w:tcPr/>
          <w:p>
            <w:pPr>
              <w:pStyle w:val="Compact"/>
              <w:jc w:val="left"/>
            </w:pPr>
            <w:r>
              <w:t xml:space="preserve">H. IoSN integration</w:t>
            </w:r>
          </w:p>
        </w:tc>
        <w:tc>
          <w:tcPr/>
          <w:p>
            <w:pPr>
              <w:pStyle w:val="Compact"/>
              <w:jc w:val="left"/>
            </w:pPr>
            <w:r>
              <w:t xml:space="preserve">freigegebenes Netz, zonale Zeitreihen, Stellgeräte</w:t>
            </w:r>
          </w:p>
        </w:tc>
        <w:tc>
          <w:tcPr/>
          <w:p>
            <w:pPr>
              <w:pStyle w:val="Compact"/>
              <w:jc w:val="left"/>
            </w:pPr>
            <w:r>
              <w:t xml:space="preserve">konsistente LF-/OPF-Modellvarianten</w:t>
            </w:r>
          </w:p>
        </w:tc>
      </w:tr>
    </w:tbl>
    <w:bookmarkEnd w:id="84"/>
    <w:bookmarkStart w:id="85" w:name="kontrollierte-iteration-e"/>
    <w:p>
      <w:pPr>
        <w:pStyle w:val="Heading2"/>
      </w:pPr>
      <w:r>
        <w:t xml:space="preserve">14.2 Kontrollierte Iteration [E]</w:t>
      </w:r>
    </w:p>
    <w:p>
      <w:pPr>
        <w:pStyle w:val="FirstParagraph"/>
      </w:pPr>
      <w:r>
        <w:t xml:space="preserve">Eine methodisch konsistente Iteration könnte wie folgt definiert werden:</w:t>
      </w:r>
    </w:p>
    <w:p>
      <w:pPr>
        <w:pStyle w:val="Compact"/>
        <w:numPr>
          <w:ilvl w:val="0"/>
          <w:numId w:val="1004"/>
        </w:numPr>
      </w:pPr>
      <w:r>
        <w:t xml:space="preserve">Ausgangspartition</w:t>
      </w:r>
      <w:r>
        <w:t xml:space="preserve"> </w:t>
      </w:r>
      <m:oMath>
        <m:sSup>
          <m:e>
            <m:r>
              <m:t>P</m:t>
            </m:r>
          </m:e>
          <m:sup>
            <m:d>
              <m:dPr>
                <m:begChr m:val="("/>
                <m:endChr m:val=")"/>
                <m:sepChr m:val=""/>
                <m:grow/>
              </m:dPr>
              <m:e>
                <m:r>
                  <m:t>0</m:t>
                </m:r>
              </m:e>
            </m:d>
          </m:sup>
        </m:sSup>
      </m:oMath>
      <w:r>
        <w:t xml:space="preserve"> </w:t>
      </w:r>
      <w:r>
        <w:t xml:space="preserve">aus der geprüften, zusammenhängenden Zonenstruktur initialisieren.</w:t>
      </w:r>
    </w:p>
    <w:p>
      <w:pPr>
        <w:pStyle w:val="Compact"/>
        <w:numPr>
          <w:ilvl w:val="0"/>
          <w:numId w:val="1004"/>
        </w:numPr>
      </w:pPr>
      <w:r>
        <w:t xml:space="preserve">Kritische Leitungen anhand von (3) priorisieren; eine begründete geographisch-elektrische Änderung</w:t>
      </w:r>
      <w:r>
        <w:t xml:space="preserve"> </w:t>
      </w:r>
      <m:oMath>
        <m:sSup>
          <m:e>
            <m:r>
              <m:t>P</m:t>
            </m:r>
          </m:e>
          <m:sup>
            <m:d>
              <m:dPr>
                <m:begChr m:val="("/>
                <m:endChr m:val=")"/>
                <m:sepChr m:val=""/>
                <m:grow/>
              </m:dPr>
              <m:e>
                <m:r>
                  <m:t>k</m:t>
                </m:r>
                <m:r>
                  <m:rPr>
                    <m:sty m:val="p"/>
                  </m:rPr>
                  <m:t>+</m:t>
                </m:r>
                <m:r>
                  <m:t>1</m:t>
                </m:r>
              </m:e>
            </m:d>
          </m:sup>
        </m:sSup>
      </m:oMath>
      <w:r>
        <w:t xml:space="preserve"> </w:t>
      </w:r>
      <w:r>
        <w:t xml:space="preserve">erzeugen.</w:t>
      </w:r>
    </w:p>
    <w:p>
      <w:pPr>
        <w:pStyle w:val="Compact"/>
        <w:numPr>
          <w:ilvl w:val="0"/>
          <w:numId w:val="1004"/>
        </w:numPr>
      </w:pPr>
      <m:oMath>
        <m:sSup>
          <m:e>
            <m:r>
              <m:t>Γ</m:t>
            </m:r>
          </m:e>
          <m:sup>
            <m:d>
              <m:dPr>
                <m:begChr m:val="("/>
                <m:endChr m:val=")"/>
                <m:sepChr m:val=""/>
                <m:grow/>
              </m:dPr>
              <m:e>
                <m:r>
                  <m:t>k</m:t>
                </m:r>
                <m:r>
                  <m:rPr>
                    <m:sty m:val="p"/>
                  </m:rPr>
                  <m:t>+</m:t>
                </m:r>
                <m:r>
                  <m:t>1</m:t>
                </m:r>
              </m:e>
            </m:d>
          </m:sup>
        </m:sSup>
      </m:oMath>
      <w:r>
        <w:t xml:space="preserve">,</w:t>
      </w:r>
      <w:r>
        <w:t xml:space="preserve"> </w:t>
      </w:r>
      <m:oMath>
        <m:sSubSup>
          <m:e>
            <m:r>
              <m:t>A</m:t>
            </m:r>
          </m:e>
          <m:sub>
            <m:r>
              <m:rPr>
                <m:sty m:val="p"/>
              </m:rPr>
              <m:t>z</m:t>
            </m:r>
          </m:sub>
          <m:sup>
            <m:d>
              <m:dPr>
                <m:begChr m:val="("/>
                <m:endChr m:val=")"/>
                <m:sepChr m:val=""/>
                <m:grow/>
              </m:dPr>
              <m:e>
                <m:r>
                  <m:t>k</m:t>
                </m:r>
                <m:r>
                  <m:rPr>
                    <m:sty m:val="p"/>
                  </m:rPr>
                  <m:t>+</m:t>
                </m:r>
                <m:r>
                  <m:t>1</m:t>
                </m:r>
              </m:e>
            </m:d>
          </m:sup>
        </m:sSubSup>
      </m:oMath>
      <w:r>
        <w:t xml:space="preserve"> </w:t>
      </w:r>
      <w:r>
        <w:t xml:space="preserve">und die synchronen Zielflüsse nach (7) bestimmen; (8) numerisch testen.</w:t>
      </w:r>
    </w:p>
    <w:p>
      <w:pPr>
        <w:pStyle w:val="Compact"/>
        <w:numPr>
          <w:ilvl w:val="0"/>
          <w:numId w:val="1004"/>
        </w:numPr>
      </w:pPr>
      <w:r>
        <w:t xml:space="preserve">Ersatzparameter auf einem</w:t>
      </w:r>
      <w:r>
        <w:t xml:space="preserve"> </w:t>
      </w:r>
      <w:r>
        <w:rPr>
          <w:b/>
          <w:bCs/>
        </w:rPr>
        <w:t xml:space="preserve">festgelegten</w:t>
      </w:r>
      <w:r>
        <w:t xml:space="preserve"> </w:t>
      </w:r>
      <w:r>
        <w:t xml:space="preserve">Kalibrierungsindex fitten, die Skalierungsnormierung prüfen und die ergänzte Maschenbeziehung testen.</w:t>
      </w:r>
    </w:p>
    <w:p>
      <w:pPr>
        <w:pStyle w:val="Compact"/>
        <w:numPr>
          <w:ilvl w:val="0"/>
          <w:numId w:val="1004"/>
        </w:numPr>
      </w:pPr>
      <w:r>
        <w:t xml:space="preserve">Die vier N-1-Transfergrenzen mit einem</w:t>
      </w:r>
      <w:r>
        <w:t xml:space="preserve"> </w:t>
      </w:r>
      <w:r>
        <w:rPr>
          <w:b/>
          <w:bCs/>
        </w:rPr>
        <w:t xml:space="preserve">versionierten</w:t>
      </w:r>
      <w:r>
        <w:t xml:space="preserve"> </w:t>
      </w:r>
      <w:r>
        <w:t xml:space="preserve">Kontingenz- und Regressionsdatensatz berechnen; Ausnahmefälle gesondert markieren.</w:t>
      </w:r>
    </w:p>
    <w:p>
      <w:pPr>
        <w:pStyle w:val="Compact"/>
        <w:numPr>
          <w:ilvl w:val="0"/>
          <w:numId w:val="1004"/>
        </w:numPr>
      </w:pPr>
      <w:r>
        <w:t xml:space="preserve">Fluss-/Kapazitätsqualität</w:t>
      </w:r>
      <w:r>
        <w:t xml:space="preserve"> </w:t>
      </w:r>
      <w:r>
        <w:rPr>
          <w:b/>
          <w:bCs/>
        </w:rPr>
        <w:t xml:space="preserve">auf unabhängigen Teststunden</w:t>
      </w:r>
      <w:r>
        <w:t xml:space="preserve"> </w:t>
      </w:r>
      <w:r>
        <w:t xml:space="preserve">messen und Änderungen nur bei vorher festgelegten Akzeptanzregeln übernehmen.</w:t>
      </w:r>
    </w:p>
    <w:p>
      <w:pPr>
        <w:pStyle w:val="Compact"/>
        <w:numPr>
          <w:ilvl w:val="0"/>
          <w:numId w:val="1004"/>
        </w:numPr>
      </w:pPr>
      <w:r>
        <w:t xml:space="preserve">Falls nicht akzeptiert, zum Clustering zurückgehen; andernfalls das reduzierte Netz mit Zeitreihen und Moduskennzeichen publizieren.</w:t>
      </w:r>
    </w:p>
    <w:p>
      <w:pPr>
        <w:pStyle w:val="FirstParagraph"/>
      </w:pPr>
      <w:r>
        <w:t xml:space="preserve">Anders als eine unkontrollierte Reoptimierung aller Größen auf wechselnden Stunden erhält diese Architektur die Vergleichbarkeit unterschiedlicher Partitionen. Die Verfahrensidee der iterativen Partitionsverbesserung ist dokumentiert [Q1, S. 45–47],</w:t>
      </w:r>
      <w:r>
        <w:t xml:space="preserve"> </w:t>
      </w:r>
      <w:r>
        <w:rPr>
          <w:b/>
          <w:bCs/>
        </w:rPr>
        <w:t xml:space="preserve">nicht</w:t>
      </w:r>
      <w:r>
        <w:t xml:space="preserve"> </w:t>
      </w:r>
      <w:r>
        <w:t xml:space="preserve">jedoch diese konkrete Reihenfolge einschließlich Testdatentrennung und Akzeptanzregeln.</w:t>
      </w:r>
    </w:p>
    <w:bookmarkEnd w:id="85"/>
    <w:bookmarkEnd w:id="86"/>
    <w:bookmarkStart w:id="87" w:name="schlussfolgerungen"/>
    <w:p>
      <w:pPr>
        <w:pStyle w:val="Heading1"/>
      </w:pPr>
      <w:r>
        <w:t xml:space="preserve">15. Schlussfolgerungen</w:t>
      </w:r>
    </w:p>
    <w:p>
      <w:pPr>
        <w:pStyle w:val="FirstParagraph"/>
      </w:pPr>
      <w:r>
        <w:t xml:space="preserve">Die Netzreduktion im TYNDP 2026 ist sachgerecht als</w:t>
      </w:r>
      <w:r>
        <w:t xml:space="preserve"> </w:t>
      </w:r>
      <w:r>
        <w:rPr>
          <w:b/>
          <w:bCs/>
        </w:rPr>
        <w:t xml:space="preserve">zeitreihenbasiert kalibrierte, topologisch informierte und sicherheitsorientiert parametrierte zonale Wirkleistungsnetzapproximation</w:t>
      </w:r>
      <w:r>
        <w:t xml:space="preserve"> </w:t>
      </w:r>
      <w:r>
        <w:t xml:space="preserve">einzuordnen. Der Begriff „Netzreduktion“ darf dabei weder auf das Clustering der Knoten noch auf die elektrische Zusammenfassung von parallelen Leitungen verkürzt werden.</w:t>
      </w:r>
    </w:p>
    <w:p>
      <w:pPr>
        <w:pStyle w:val="BodyText"/>
      </w:pPr>
      <w:r>
        <w:t xml:space="preserve">Der dokumentierte Verfahrenskern besteht aus (i) der engpass- und flussorientierten Knotenzonierung, (ii) der Rekonstruktion synchroner detaillierter AC-Netz-Wirkflüsse durch DC-/PTDF-Rechnungen, (iii) der Flussfehlerkalibrierung äquivalenter Impedanzen und Nullbilanzkorrekturen, (iv) der datenbasierten Ermittlung von N-1-Ersatzkapazitäten und (v) der rückgekoppelten Verbesserung der Partition. Dieser Kern ist fachlich nachvollziehbar und für großräumige langfristige Studien plausibel. [Q1, § 3.8 und Anhang 6.1]</w:t>
      </w:r>
    </w:p>
    <w:p>
      <w:pPr>
        <w:pStyle w:val="BodyText"/>
      </w:pPr>
      <w:r>
        <w:rPr>
          <w:b/>
          <w:bCs/>
        </w:rPr>
        <w:t xml:space="preserve">Das entscheidende wissenschaftliche Defizit liegt nicht im Fehlen einer allgemeinen physikalischen Idee, sondern in fehlenden eindeutigen Definitionen an den Kopplungsstellen.</w:t>
      </w:r>
      <w:r>
        <w:t xml:space="preserve"> </w:t>
      </w:r>
      <w:r>
        <w:t xml:space="preserve">Die veröffentlichte Quelle lässt offen, wie Kalibrierungsstunden ausgewählt werden, wie Nullbilanzflüsse exakt mit Maschengleichungen kombiniert werden, welche Normierung der Ersatzreaktanzen gilt, wie die allgemeine N-1-Kapazitätskurve geschätzt wird und mit welchen Testdaten die Qualität unabhängig nachgewiesen wird.</w:t>
      </w:r>
    </w:p>
    <w:p>
      <w:pPr>
        <w:pStyle w:val="BodyText"/>
      </w:pPr>
      <w:r>
        <w:t xml:space="preserve">Die mathematische Herleitung macht zudem zwei prinzipielle Grenzen sichtbar:</w:t>
      </w:r>
    </w:p>
    <w:p>
      <w:pPr>
        <w:pStyle w:val="Compact"/>
        <w:numPr>
          <w:ilvl w:val="0"/>
          <w:numId w:val="1005"/>
        </w:numPr>
      </w:pPr>
      <w:r>
        <w:rPr>
          <w:b/>
          <w:bCs/>
        </w:rPr>
        <w:t xml:space="preserve">Bilanzäquivalenz ist nicht elektrische Zustandsäquivalenz.</w:t>
      </w:r>
      <w:r>
        <w:t xml:space="preserve"> </w:t>
      </w:r>
      <w:r>
        <w:t xml:space="preserve">Die räumliche Aggregation kann Leistungsbilanzen exakt erhalten, ohne die originalen Winkel- und Zweigflussbeziehungen exakt reproduzieren zu können.</w:t>
      </w:r>
    </w:p>
    <w:p>
      <w:pPr>
        <w:pStyle w:val="Compact"/>
        <w:numPr>
          <w:ilvl w:val="0"/>
          <w:numId w:val="1005"/>
        </w:numPr>
      </w:pPr>
      <w:r>
        <w:rPr>
          <w:b/>
          <w:bCs/>
        </w:rPr>
        <w:t xml:space="preserve">Statistische N-1-Transferäquivalenz ist keine universelle N-1-Sicherheitsgarantie.</w:t>
      </w:r>
      <w:r>
        <w:t xml:space="preserve"> </w:t>
      </w:r>
      <w:r>
        <w:t xml:space="preserve">Vier richtungs- und saisonabhängige Skalargrenzen bilden nur einen Teil des mehrdimensionalen sicherheitskritischen Betriebsraums ab.</w:t>
      </w:r>
    </w:p>
    <w:p>
      <w:pPr>
        <w:pStyle w:val="FirstParagraph"/>
      </w:pPr>
      <w:r>
        <w:rPr>
          <w:b/>
          <w:bCs/>
        </w:rPr>
        <w:t xml:space="preserve">Endurteil:</w:t>
      </w:r>
      <w:r>
        <w:t xml:space="preserve"> </w:t>
      </w:r>
      <w:r>
        <w:t xml:space="preserve">Auf Grundlage der allein untersuchten ENTSO-E-Konsultationsfassung ist eine formal konsistente wissenschaftliche Rekonstruktion möglich; eine</w:t>
      </w:r>
      <w:r>
        <w:t xml:space="preserve"> </w:t>
      </w:r>
      <w:r>
        <w:rPr>
          <w:b/>
          <w:bCs/>
        </w:rPr>
        <w:t xml:space="preserve">eindeutige, numerisch und algorithmisch reproduzierbare Implementierung</w:t>
      </w:r>
      <w:r>
        <w:t xml:space="preserve"> </w:t>
      </w:r>
      <w:r>
        <w:t xml:space="preserve">erfordert die Schließung insbesondere der kritischen Anforderungen</w:t>
      </w:r>
      <w:r>
        <w:t xml:space="preserve"> </w:t>
      </w:r>
      <w:r>
        <w:rPr>
          <w:b/>
          <w:bCs/>
        </w:rPr>
        <w:t xml:space="preserve">NR-01 bis NR-07</w:t>
      </w:r>
      <w:r>
        <w:t xml:space="preserve">. Eine weitergehende Behauptung zur konkreten internen ENTSO-E-Berechnung wäre ohne zusätzliche Originaldaten und Spezifikation nicht belegt.</w:t>
      </w:r>
    </w:p>
    <w:bookmarkEnd w:id="87"/>
    <w:bookmarkStart w:id="92" w:name="Xc2744d2415a6874a17d6bb2019a0fe18d5b0c2e"/>
    <w:p>
      <w:pPr>
        <w:pStyle w:val="Heading1"/>
      </w:pPr>
      <w:r>
        <w:t xml:space="preserve">Anhang A. Mathematische Beweise und Prüfinvarianten</w:t>
      </w:r>
    </w:p>
    <w:bookmarkStart w:id="88" w:name="X152b23f1c253cf24c62517e49e255dee0591620"/>
    <w:p>
      <w:pPr>
        <w:pStyle w:val="Heading2"/>
      </w:pPr>
      <w:r>
        <w:t xml:space="preserve">A.1 Flusserhaltung durch Graphaggregation</w:t>
      </w:r>
    </w:p>
    <w:p>
      <w:pPr>
        <w:pStyle w:val="FirstParagraph"/>
      </w:pPr>
      <w:r>
        <w:t xml:space="preserve">Der Beweis von (8) gilt unabhängig davon, wie die Zonen geografisch zugeschnitten sind,</w:t>
      </w:r>
      <w:r>
        <w:t xml:space="preserve"> </w:t>
      </w:r>
      <w:r>
        <w:rPr>
          <w:b/>
          <w:bCs/>
        </w:rPr>
        <w:t xml:space="preserve">sofern</w:t>
      </w:r>
      <w:r>
        <w:t xml:space="preserve"> </w:t>
      </w:r>
      <w:r>
        <w:t xml:space="preserve">die Zuordnung jedes Originalknotens eindeutig und der Interzonen-Kantenaggregator konsistent ist. Eine mögliche Validierungsinvariante lautet daher</w:t>
      </w:r>
    </w:p>
    <w:p>
      <w:pPr>
        <w:pStyle w:val="BodyText"/>
        <w:tabs>
          <w:tab w:pos="8856" w:val="right"/>
        </w:tabs>
      </w:pPr>
      <m:oMathPara>
        <m:oMathParaPr>
          <m:jc m:val="center"/>
        </m:oMathParaPr>
        <m:oMath>
          <m:sSub>
            <m:e>
              <m:r>
                <m:t>ϵ</m:t>
              </m:r>
            </m:e>
            <m:sub>
              <m:r>
                <m:rPr>
                  <m:sty m:val="p"/>
                </m:rPr>
                <m:t>i</m:t>
              </m:r>
              <m:r>
                <m:rPr>
                  <m:sty m:val="p"/>
                </m:rPr>
                <m:t>n</m:t>
              </m:r>
              <m:r>
                <m:rPr>
                  <m:sty m:val="p"/>
                </m:rPr>
                <m:t>c</m:t>
              </m:r>
            </m:sub>
          </m:sSub>
          <m:r>
            <m:rPr>
              <m:sty m:val="p"/>
            </m:rPr>
            <m:t>=</m:t>
          </m:r>
          <m:r>
            <m:rPr>
              <m:sty m:val="p"/>
            </m:rPr>
            <m:t>∥</m:t>
          </m:r>
          <m:sSub>
            <m:e>
              <m:r>
                <m:t>A</m:t>
              </m:r>
            </m:e>
            <m:sub>
              <m:r>
                <m:rPr>
                  <m:sty m:val="p"/>
                </m:rPr>
                <m:t>z</m:t>
              </m:r>
            </m:sub>
          </m:sSub>
          <m:r>
            <m:t>Γ</m:t>
          </m:r>
          <m:r>
            <m:rPr>
              <m:sty m:val="p"/>
            </m:rPr>
            <m:t>−</m:t>
          </m:r>
          <m:r>
            <m:t>P</m:t>
          </m:r>
          <m:sSub>
            <m:e>
              <m:r>
                <m:t>A</m:t>
              </m:r>
            </m:e>
            <m:sub>
              <m:r>
                <m:rPr>
                  <m:sty m:val="p"/>
                </m:rPr>
                <m:t>d</m:t>
              </m:r>
            </m:sub>
          </m:sSub>
          <m:sSub>
            <m:e>
              <m:r>
                <m:rPr>
                  <m:sty m:val="p"/>
                </m:rPr>
                <m:t>∥</m:t>
              </m:r>
            </m:e>
            <m:sub>
              <m:r>
                <m:rPr>
                  <m:sty m:val="p"/>
                </m:rPr>
                <m:t>max</m:t>
              </m:r>
            </m:sub>
          </m:sSub>
          <m:r>
            <m:rPr>
              <m:sty m:val="p"/>
            </m:rPr>
            <m:t>=</m:t>
          </m:r>
          <m:r>
            <m:t>0</m:t>
          </m:r>
          <m:r>
            <m:rPr>
              <m:sty m:val="p"/>
            </m:rPr>
            <m:t>,</m:t>
          </m:r>
          <m:r>
            <m:t>  </m:t>
          </m:r>
          <m:sSub>
            <m:e>
              <m:r>
                <m:t>ϵ</m:t>
              </m:r>
            </m:e>
            <m:sub>
              <m:r>
                <m:rPr>
                  <m:sty m:val="p"/>
                </m:rPr>
                <m:t>K</m:t>
              </m:r>
              <m:r>
                <m:rPr>
                  <m:sty m:val="p"/>
                </m:rPr>
                <m:t>C</m:t>
              </m:r>
              <m:r>
                <m:rPr>
                  <m:sty m:val="p"/>
                </m:rPr>
                <m:t>L</m:t>
              </m:r>
              <m:r>
                <m:rPr>
                  <m:sty m:val="p"/>
                </m:rPr>
                <m:t>,</m:t>
              </m:r>
              <m:r>
                <m:t>t</m:t>
              </m:r>
            </m:sub>
          </m:sSub>
          <m:r>
            <m:rPr>
              <m:sty m:val="p"/>
            </m:rPr>
            <m:t>=</m:t>
          </m:r>
          <m:r>
            <m:rPr>
              <m:sty m:val="p"/>
            </m:rPr>
            <m:t>∥</m:t>
          </m:r>
          <m:sSub>
            <m:e>
              <m:r>
                <m:t>A</m:t>
              </m:r>
            </m:e>
            <m:sub>
              <m:r>
                <m:rPr>
                  <m:sty m:val="p"/>
                </m:rPr>
                <m:t>z</m:t>
              </m:r>
            </m:sub>
          </m:sSub>
          <m:sSubSup>
            <m:e>
              <m:r>
                <m:t>f</m:t>
              </m:r>
            </m:e>
            <m:sub>
              <m:r>
                <m:t>t</m:t>
              </m:r>
            </m:sub>
            <m:sup>
              <m:r>
                <m:rPr>
                  <m:sty m:val="p"/>
                </m:rPr>
                <m:t>⋆</m:t>
              </m:r>
            </m:sup>
          </m:sSubSup>
          <m:r>
            <m:rPr>
              <m:sty m:val="p"/>
            </m:rPr>
            <m:t>−</m:t>
          </m:r>
          <m:r>
            <m:t>P</m:t>
          </m:r>
          <m:sSubSup>
            <m:e>
              <m:r>
                <m:t>p</m:t>
              </m:r>
            </m:e>
            <m:sub>
              <m:r>
                <m:t>t</m:t>
              </m:r>
            </m:sub>
            <m:sup>
              <m:r>
                <m:rPr>
                  <m:sty m:val="p"/>
                </m:rPr>
                <m:t>d</m:t>
              </m:r>
            </m:sup>
          </m:sSubSup>
          <m:sSub>
            <m:e>
              <m:r>
                <m:rPr>
                  <m:sty m:val="p"/>
                </m:rPr>
                <m:t>∥</m:t>
              </m:r>
            </m:e>
            <m:sub>
              <m:r>
                <m:rPr>
                  <m:sty m:val="p"/>
                </m:rPr>
                <m:t>∞</m:t>
              </m:r>
            </m:sub>
          </m:sSub>
          <m:r>
            <m:rPr>
              <m:sty m:val="p"/>
            </m:rPr>
            <m:t>≈</m:t>
          </m:r>
          <m:r>
            <m:t>0</m:t>
          </m:r>
          <m:r>
            <m:rPr>
              <m:sty m:val="p"/>
            </m:rPr>
            <m:t>.</m:t>
          </m:r>
        </m:oMath>
      </m:oMathPara>
      <w:r>
        <w:rPr>
          <w:color w:val="374151"/>
          <w:sz w:val="18"/>
        </w:rPr>
        <w:tab/>
        <w:t>(A1)</w:t>
      </w:r>
    </w:p>
    <w:p>
      <w:pPr>
        <w:pStyle w:val="FirstParagraph"/>
      </w:pPr>
      <w:r>
        <w:t xml:space="preserve">Wenn Teilnetze (etwa HVDC-Betriebsmittel) als externe Einspeisung statt als AC-Zweig in</w:t>
      </w:r>
      <w:r>
        <w:t xml:space="preserve"> </w:t>
      </w:r>
      <m:oMath>
        <m:sSub>
          <m:e>
            <m:r>
              <m:t>A</m:t>
            </m:r>
          </m:e>
          <m:sub>
            <m:r>
              <m:rPr>
                <m:sty m:val="p"/>
              </m:rPr>
              <m:t>d</m:t>
            </m:r>
          </m:sub>
        </m:sSub>
      </m:oMath>
      <w:r>
        <w:t xml:space="preserve"> </w:t>
      </w:r>
      <w:r>
        <w:t xml:space="preserve">geführt werden, müssen beide Seiten von (A1) dieselbe AC-Bilanzkonvention verwenden. Modellbedingt verbleibende Wirkverluste verletzen die verlustlose DC-Gleichung und sind nicht ohne weitere Festlegung durch (A1) kompensierbar.</w:t>
      </w:r>
    </w:p>
    <w:bookmarkEnd w:id="88"/>
    <w:bookmarkStart w:id="89" w:name="X9697ebb4adc5e3405c90c24717e0f7282aa7983"/>
    <w:p>
      <w:pPr>
        <w:pStyle w:val="Heading2"/>
      </w:pPr>
      <w:r>
        <w:t xml:space="preserve">A.2 Äquivalenz von Winkelmodell und Zyklusgleichung</w:t>
      </w:r>
    </w:p>
    <w:p>
      <w:pPr>
        <w:pStyle w:val="FirstParagraph"/>
      </w:pPr>
      <w:r>
        <w:t xml:space="preserve">Für positive</w:t>
      </w:r>
      <w:r>
        <w:t xml:space="preserve"> </w:t>
      </w:r>
      <m:oMath>
        <m:r>
          <m:t>X</m:t>
        </m:r>
      </m:oMath>
      <w:r>
        <w:t xml:space="preserve"> </w:t>
      </w:r>
      <w:r>
        <w:t xml:space="preserve">gilt</w:t>
      </w:r>
      <w:r>
        <w:t xml:space="preserve"> </w:t>
      </w:r>
      <m:oMath>
        <m:acc>
          <m:accPr>
            <m:chr m:val="̂"/>
          </m:accPr>
          <m:e>
            <m:r>
              <m:t>f</m:t>
            </m:r>
          </m:e>
        </m:acc>
        <m:r>
          <m:rPr>
            <m:sty m:val="p"/>
          </m:rPr>
          <m:t>=</m:t>
        </m:r>
        <m:r>
          <m:t>B</m:t>
        </m:r>
        <m:sSup>
          <m:e>
            <m:r>
              <m:t>A</m:t>
            </m:r>
          </m:e>
          <m:sup>
            <m:r>
              <m:rPr>
                <m:sty m:val="p"/>
                <m:scr m:val="sans-serif"/>
              </m:rPr>
              <m:t>T</m:t>
            </m:r>
          </m:sup>
        </m:sSup>
        <m:r>
          <m:t>θ</m:t>
        </m:r>
      </m:oMath>
      <w:r>
        <w:t xml:space="preserve"> </w:t>
      </w:r>
      <w:r>
        <w:t xml:space="preserve">genau dann, wenn</w:t>
      </w:r>
      <w:r>
        <w:t xml:space="preserve"> </w:t>
      </w:r>
      <m:oMath>
        <m:r>
          <m:t>X</m:t>
        </m:r>
        <m:acc>
          <m:accPr>
            <m:chr m:val="̂"/>
          </m:accPr>
          <m:e>
            <m:r>
              <m:t>f</m:t>
            </m:r>
          </m:e>
        </m:acc>
        <m:r>
          <m:rPr>
            <m:sty m:val="p"/>
          </m:rPr>
          <m:t>∈</m:t>
        </m:r>
        <m:r>
          <m:rPr>
            <m:sty m:val="p"/>
          </m:rPr>
          <m:t>i</m:t>
        </m:r>
        <m:r>
          <m:rPr>
            <m:sty m:val="p"/>
          </m:rPr>
          <m:t>m</m:t>
        </m:r>
        <m:d>
          <m:dPr>
            <m:begChr m:val="("/>
            <m:endChr m:val=")"/>
            <m:sepChr m:val=""/>
            <m:grow/>
          </m:dPr>
          <m:e>
            <m:sSup>
              <m:e>
                <m:r>
                  <m:t>A</m:t>
                </m:r>
              </m:e>
              <m:sup>
                <m:r>
                  <m:rPr>
                    <m:sty m:val="p"/>
                    <m:scr m:val="sans-serif"/>
                  </m:rPr>
                  <m:t>T</m:t>
                </m:r>
              </m:sup>
            </m:sSup>
          </m:e>
        </m:d>
      </m:oMath>
      <w:r>
        <w:t xml:space="preserve">. Nach dem Fundamentalsatz der linearen Algebra ist</w:t>
      </w:r>
      <w:r>
        <w:t xml:space="preserve"> </w:t>
      </w:r>
      <m:oMath>
        <m:r>
          <m:rPr>
            <m:sty m:val="p"/>
          </m:rPr>
          <m:t>i</m:t>
        </m:r>
        <m:r>
          <m:rPr>
            <m:sty m:val="p"/>
          </m:rPr>
          <m:t>m</m:t>
        </m:r>
        <m:d>
          <m:dPr>
            <m:begChr m:val="("/>
            <m:endChr m:val=")"/>
            <m:sepChr m:val=""/>
            <m:grow/>
          </m:dPr>
          <m:e>
            <m:sSup>
              <m:e>
                <m:r>
                  <m:t>A</m:t>
                </m:r>
              </m:e>
              <m:sup>
                <m:r>
                  <m:rPr>
                    <m:sty m:val="p"/>
                    <m:scr m:val="sans-serif"/>
                  </m:rPr>
                  <m:t>T</m:t>
                </m:r>
              </m:sup>
            </m:sSup>
          </m:e>
        </m:d>
        <m:r>
          <m:rPr>
            <m:sty m:val="p"/>
          </m:rPr>
          <m:t>=</m:t>
        </m:r>
        <m:sSup>
          <m:e>
            <m:d>
              <m:dPr>
                <m:begChr m:val="("/>
                <m:endChr m:val=")"/>
                <m:sepChr m:val=""/>
                <m:grow/>
              </m:dPr>
              <m:e>
                <m:r>
                  <m:rPr>
                    <m:sty m:val="p"/>
                  </m:rPr>
                  <m:t>ker</m:t>
                </m:r>
                <m:r>
                  <m:t>A</m:t>
                </m:r>
              </m:e>
            </m:d>
          </m:e>
          <m:sup>
            <m:r>
              <m:rPr>
                <m:sty m:val="p"/>
              </m:rPr>
              <m:t>⊥</m:t>
            </m:r>
          </m:sup>
        </m:sSup>
      </m:oMath>
      <w:r>
        <w:t xml:space="preserve">, sodass</w:t>
      </w:r>
    </w:p>
    <w:p>
      <w:pPr>
        <w:pStyle w:val="BodyText"/>
        <w:tabs>
          <w:tab w:pos="8856" w:val="right"/>
        </w:tabs>
      </w:pPr>
      <m:oMathPara>
        <m:oMathParaPr>
          <m:jc m:val="center"/>
        </m:oMathParaPr>
        <m:oMath>
          <m:r>
            <m:t>X</m:t>
          </m:r>
          <m:acc>
            <m:accPr>
              <m:chr m:val="̂"/>
            </m:accPr>
            <m:e>
              <m:r>
                <m:t>f</m:t>
              </m:r>
            </m:e>
          </m:acc>
          <m:r>
            <m:rPr>
              <m:sty m:val="p"/>
            </m:rPr>
            <m:t>∈</m:t>
          </m:r>
          <m:r>
            <m:rPr>
              <m:sty m:val="p"/>
            </m:rPr>
            <m:t>i</m:t>
          </m:r>
          <m:r>
            <m:rPr>
              <m:sty m:val="p"/>
            </m:rPr>
            <m:t>m</m:t>
          </m:r>
          <m:d>
            <m:dPr>
              <m:begChr m:val="("/>
              <m:endChr m:val=")"/>
              <m:sepChr m:val=""/>
              <m:grow/>
            </m:dPr>
            <m:e>
              <m:sSup>
                <m:e>
                  <m:r>
                    <m:t>A</m:t>
                  </m:r>
                </m:e>
                <m:sup>
                  <m:r>
                    <m:rPr>
                      <m:sty m:val="p"/>
                      <m:scr m:val="sans-serif"/>
                    </m:rPr>
                    <m:t>T</m:t>
                  </m:r>
                </m:sup>
              </m:sSup>
            </m:e>
          </m:d>
          <m:r>
            <m:t> </m:t>
          </m:r>
          <m:r>
            <m:rPr>
              <m:sty m:val="p"/>
            </m:rPr>
            <m:t>⇔</m:t>
          </m:r>
          <m:r>
            <m:t> </m:t>
          </m:r>
          <m:sSup>
            <m:e>
              <m:r>
                <m:t>C</m:t>
              </m:r>
            </m:e>
            <m:sup>
              <m:r>
                <m:rPr>
                  <m:sty m:val="p"/>
                  <m:scr m:val="sans-serif"/>
                </m:rPr>
                <m:t>T</m:t>
              </m:r>
            </m:sup>
          </m:sSup>
          <m:r>
            <m:t>X</m:t>
          </m:r>
          <m:acc>
            <m:accPr>
              <m:chr m:val="̂"/>
            </m:accPr>
            <m:e>
              <m:r>
                <m:t>f</m:t>
              </m:r>
            </m:e>
          </m:acc>
          <m:r>
            <m:rPr>
              <m:sty m:val="p"/>
            </m:rPr>
            <m:t>=</m:t>
          </m:r>
          <m:r>
            <m:t>0</m:t>
          </m:r>
          <m:r>
            <m:rPr>
              <m:sty m:val="p"/>
            </m:rPr>
            <m:t>.</m:t>
          </m:r>
        </m:oMath>
      </m:oMathPara>
      <w:r>
        <w:rPr>
          <w:color w:val="374151"/>
          <w:sz w:val="18"/>
        </w:rPr>
        <w:tab/>
        <w:t>(A2)</w:t>
      </w:r>
    </w:p>
    <w:p>
      <w:pPr>
        <w:pStyle w:val="FirstParagraph"/>
      </w:pPr>
      <w:r>
        <w:t xml:space="preserve">Mit strukturellem Nullbilanzoffset</w:t>
      </w:r>
      <w:r>
        <w:t xml:space="preserve"> </w:t>
      </w:r>
      <m:oMath>
        <m:sSup>
          <m:e>
            <m:r>
              <m:t>c</m:t>
            </m:r>
          </m:e>
          <m:sup>
            <m:r>
              <m:t>0</m:t>
            </m:r>
          </m:sup>
        </m:sSup>
      </m:oMath>
      <w:r>
        <w:t xml:space="preserve"> </w:t>
      </w:r>
      <w:r>
        <w:t xml:space="preserve">wird dieselbe Aussage auf</w:t>
      </w:r>
      <w:r>
        <w:t xml:space="preserve"> </w:t>
      </w:r>
      <m:oMath>
        <m:acc>
          <m:accPr>
            <m:chr m:val="̂"/>
          </m:accPr>
          <m:e>
            <m:r>
              <m:t>f</m:t>
            </m:r>
          </m:e>
        </m:acc>
        <m:r>
          <m:rPr>
            <m:sty m:val="p"/>
          </m:rPr>
          <m:t>−</m:t>
        </m:r>
        <m:sSup>
          <m:e>
            <m:r>
              <m:t>c</m:t>
            </m:r>
          </m:e>
          <m:sup>
            <m:r>
              <m:t>0</m:t>
            </m:r>
          </m:sup>
        </m:sSup>
      </m:oMath>
      <w:r>
        <w:t xml:space="preserve"> </w:t>
      </w:r>
      <w:r>
        <w:t xml:space="preserve">angewendet. Für ein verbundenes Netzwerk mit</w:t>
      </w:r>
      <w:r>
        <w:t xml:space="preserve"> </w:t>
      </w:r>
      <m:oMath>
        <m:r>
          <m:t>r</m:t>
        </m:r>
      </m:oMath>
      <w:r>
        <w:t xml:space="preserve"> </w:t>
      </w:r>
      <w:r>
        <w:t xml:space="preserve">Kanten und</w:t>
      </w:r>
      <w:r>
        <w:t xml:space="preserve"> </w:t>
      </w:r>
      <m:oMath>
        <m:r>
          <m:t>k</m:t>
        </m:r>
      </m:oMath>
      <w:r>
        <w:t xml:space="preserve"> </w:t>
      </w:r>
      <w:r>
        <w:t xml:space="preserve">Zonen gibt es</w:t>
      </w:r>
      <w:r>
        <w:t xml:space="preserve"> </w:t>
      </w:r>
      <m:oMath>
        <m:r>
          <m:t>r</m:t>
        </m:r>
        <m:r>
          <m:rPr>
            <m:sty m:val="p"/>
          </m:rPr>
          <m:t>−</m:t>
        </m:r>
        <m:r>
          <m:t>k</m:t>
        </m:r>
        <m:r>
          <m:rPr>
            <m:sty m:val="p"/>
          </m:rPr>
          <m:t>+</m:t>
        </m:r>
        <m:r>
          <m:t>1</m:t>
        </m:r>
      </m:oMath>
      <w:r>
        <w:t xml:space="preserve"> </w:t>
      </w:r>
      <w:r>
        <w:t xml:space="preserve">unabhängige Maschenbedingungen. Wenn</w:t>
      </w:r>
      <w:r>
        <w:t xml:space="preserve"> </w:t>
      </w:r>
      <m:oMath>
        <m:r>
          <m:t>c</m:t>
        </m:r>
      </m:oMath>
      <w:r>
        <w:t xml:space="preserve"> </w:t>
      </w:r>
      <w:r>
        <w:t xml:space="preserve">Zusammenhangskomponenten existieren, erhöht sich die Zahl auf</w:t>
      </w:r>
      <w:r>
        <w:t xml:space="preserve"> </w:t>
      </w:r>
      <m:oMath>
        <m:r>
          <m:t>r</m:t>
        </m:r>
        <m:r>
          <m:rPr>
            <m:sty m:val="p"/>
          </m:rPr>
          <m:t>−</m:t>
        </m:r>
        <m:r>
          <m:t>k</m:t>
        </m:r>
        <m:r>
          <m:rPr>
            <m:sty m:val="p"/>
          </m:rPr>
          <m:t>+</m:t>
        </m:r>
        <m:r>
          <m:t>c</m:t>
        </m:r>
      </m:oMath>
      <w:r>
        <w:t xml:space="preserve">.</w:t>
      </w:r>
    </w:p>
    <w:bookmarkEnd w:id="89"/>
    <w:bookmarkStart w:id="90" w:name="Xc56c8c8b025fd9808dc344c678b1f0b3e96d32f"/>
    <w:p>
      <w:pPr>
        <w:pStyle w:val="Heading2"/>
      </w:pPr>
      <w:r>
        <w:t xml:space="preserve">A.3 Genauigkeit und Identifizierbarkeit sind getrennte Kriterien</w:t>
      </w:r>
    </w:p>
    <w:p>
      <w:pPr>
        <w:pStyle w:val="FirstParagraph"/>
      </w:pPr>
      <w:r>
        <w:t xml:space="preserve">Aus (24) folgt unmittelbar</w:t>
      </w:r>
    </w:p>
    <w:p>
      <w:pPr>
        <w:pStyle w:val="BodyText"/>
        <w:tabs>
          <w:tab w:pos="8856" w:val="right"/>
        </w:tabs>
      </w:pPr>
      <m:oMathPara>
        <m:oMathParaPr>
          <m:jc m:val="center"/>
        </m:oMathParaPr>
        <m:oMath>
          <m:r>
            <m:t>J</m:t>
          </m:r>
          <m:d>
            <m:dPr>
              <m:begChr m:val="("/>
              <m:endChr m:val=")"/>
              <m:sepChr m:val=""/>
              <m:grow/>
            </m:dPr>
            <m:e>
              <m:r>
                <m:t>α</m:t>
              </m:r>
              <m:r>
                <m:t>X</m:t>
              </m:r>
              <m:r>
                <m:rPr>
                  <m:sty m:val="p"/>
                </m:rPr>
                <m:t>,</m:t>
              </m:r>
              <m:sSup>
                <m:e>
                  <m:r>
                    <m:t>c</m:t>
                  </m:r>
                </m:e>
                <m:sup>
                  <m:r>
                    <m:t>0</m:t>
                  </m:r>
                </m:sup>
              </m:sSup>
            </m:e>
          </m:d>
          <m:r>
            <m:rPr>
              <m:sty m:val="p"/>
            </m:rPr>
            <m:t>=</m:t>
          </m:r>
          <m:r>
            <m:t>J</m:t>
          </m:r>
          <m:d>
            <m:dPr>
              <m:begChr m:val="("/>
              <m:endChr m:val=")"/>
              <m:sepChr m:val=""/>
              <m:grow/>
            </m:dPr>
            <m:e>
              <m:r>
                <m:t>X</m:t>
              </m:r>
              <m:r>
                <m:rPr>
                  <m:sty m:val="p"/>
                </m:rPr>
                <m:t>,</m:t>
              </m:r>
              <m:sSup>
                <m:e>
                  <m:r>
                    <m:t>c</m:t>
                  </m:r>
                </m:e>
                <m:sup>
                  <m:r>
                    <m:t>0</m:t>
                  </m:r>
                </m:sup>
              </m:sSup>
            </m:e>
          </m:d>
          <m:r>
            <m:t>  </m:t>
          </m:r>
          <m:r>
            <m:rPr>
              <m:sty m:val="p"/>
            </m:rPr>
            <m:t>∀</m:t>
          </m:r>
          <m:r>
            <m:t> </m:t>
          </m:r>
          <m:r>
            <m:t>α</m:t>
          </m:r>
          <m:r>
            <m:rPr>
              <m:sty m:val="p"/>
            </m:rPr>
            <m:t>&gt;</m:t>
          </m:r>
          <m:r>
            <m:t>0</m:t>
          </m:r>
        </m:oMath>
      </m:oMathPara>
      <w:r>
        <w:rPr>
          <w:color w:val="374151"/>
          <w:sz w:val="18"/>
        </w:rPr>
        <w:tab/>
        <w:t>(A3)</w:t>
      </w:r>
    </w:p>
    <w:p>
      <w:pPr>
        <w:pStyle w:val="FirstParagraph"/>
      </w:pPr>
      <w:r>
        <w:t xml:space="preserve">für jede Zielfunktion</w:t>
      </w:r>
      <w:r>
        <w:t xml:space="preserve"> </w:t>
      </w:r>
      <m:oMath>
        <m:r>
          <m:t>J</m:t>
        </m:r>
      </m:oMath>
      <w:r>
        <w:t xml:space="preserve">, die ausschließlich auf vorhergesagten Flüssen im Modell (20) beruht, solange sich die übrigen Größen nicht verändern. Damit können</w:t>
      </w:r>
      <w:r>
        <w:t xml:space="preserve"> </w:t>
      </w:r>
      <w:r>
        <w:rPr>
          <w:b/>
          <w:bCs/>
        </w:rPr>
        <w:t xml:space="preserve">verschiedene numerische Reaktanzsätze exakt denselben RMSE</w:t>
      </w:r>
      <w:r>
        <w:t xml:space="preserve"> </w:t>
      </w:r>
      <w:r>
        <w:t xml:space="preserve">besitzen. Ein Report, der nur den RMSE dokumentiert, validiert noch nicht die Eindeutigkeit oder physikalische Skalierung der Reaktanzen.</w:t>
      </w:r>
    </w:p>
    <w:bookmarkEnd w:id="90"/>
    <w:bookmarkStart w:id="91" w:name="X7bd1375697371971aafd6e9b8c26f061d42e2b9"/>
    <w:p>
      <w:pPr>
        <w:pStyle w:val="Heading2"/>
      </w:pPr>
      <w:r>
        <w:t xml:space="preserve">A.4 Alternative zur reinen Normierung: externe physikalische Referenz</w:t>
      </w:r>
    </w:p>
    <w:p>
      <w:pPr>
        <w:pStyle w:val="FirstParagraph"/>
      </w:pPr>
      <w:r>
        <w:t xml:space="preserve">Eine mögliche Identifikationsergänzung wäre, mindestens eine repräsentative Reaktanz je zusammenhängender Netzkomponente festzulegen oder die Parameter auf eine vorab dokumentierte Skalierungsbedingung einzuschränken, beispielsweise</w:t>
      </w:r>
    </w:p>
    <w:p>
      <w:pPr>
        <w:pStyle w:val="BodyText"/>
        <w:tabs>
          <w:tab w:pos="8856" w:val="right"/>
        </w:tabs>
      </w:pPr>
      <m:oMathPara>
        <m:oMathParaPr>
          <m:jc m:val="center"/>
        </m:oMathParaPr>
        <m:oMath>
          <m:nary>
            <m:naryPr>
              <m:chr m:val="∑"/>
              <m:limLoc m:val="undOvr"/>
              <m:subHide m:val="off"/>
              <m:supHide m:val="off"/>
            </m:naryPr>
            <m:sub>
              <m:r>
                <m:t>e</m:t>
              </m:r>
              <m:r>
                <m:rPr>
                  <m:sty m:val="p"/>
                </m:rPr>
                <m:t>=</m:t>
              </m:r>
              <m:r>
                <m:t>1</m:t>
              </m:r>
            </m:sub>
            <m:sup>
              <m:r>
                <m:t>r</m:t>
              </m:r>
            </m:sup>
            <m:e>
              <m:r>
                <m:rPr>
                  <m:sty m:val="p"/>
                </m:rPr>
                <m:t>log</m:t>
              </m:r>
            </m:e>
          </m:nary>
          <m:sSubSup>
            <m:e>
              <m:r>
                <m:t>x</m:t>
              </m:r>
            </m:e>
            <m:sub>
              <m:r>
                <m:t>e</m:t>
              </m:r>
            </m:sub>
            <m:sup>
              <m:r>
                <m:rPr>
                  <m:sty m:val="p"/>
                </m:rPr>
                <m:t>e</m:t>
              </m:r>
              <m:r>
                <m:rPr>
                  <m:sty m:val="p"/>
                </m:rPr>
                <m:t>q</m:t>
              </m:r>
            </m:sup>
          </m:sSubSup>
          <m:r>
            <m:rPr>
              <m:sty m:val="p"/>
            </m:rPr>
            <m:t>=</m:t>
          </m:r>
          <m:r>
            <m:t>κ</m:t>
          </m:r>
        </m:oMath>
      </m:oMathPara>
      <w:r>
        <w:rPr>
          <w:color w:val="374151"/>
          <w:sz w:val="18"/>
        </w:rPr>
        <w:tab/>
        <w:t>(A4)</w:t>
      </w:r>
    </w:p>
    <w:p>
      <w:pPr>
        <w:pStyle w:val="FirstParagraph"/>
      </w:pPr>
      <w:r>
        <w:t xml:space="preserve">für eine</w:t>
      </w:r>
      <w:r>
        <w:t xml:space="preserve"> </w:t>
      </w:r>
      <w:r>
        <w:rPr>
          <w:b/>
          <w:bCs/>
        </w:rPr>
        <w:t xml:space="preserve">extern begründete</w:t>
      </w:r>
      <w:r>
        <w:t xml:space="preserve"> </w:t>
      </w:r>
      <w:r>
        <w:t xml:space="preserve">Referenzkonstante</w:t>
      </w:r>
      <w:r>
        <w:t xml:space="preserve"> </w:t>
      </w:r>
      <m:oMath>
        <m:r>
          <m:t>κ</m:t>
        </m:r>
      </m:oMath>
      <w:r>
        <w:t xml:space="preserve">. Die konkrete Bedingung (A4) ist eine eigene methodische Empfehlung [E] und lässt sich nicht [Q1] als gültige ENTSO-E-Festlegung zuschreiben.</w:t>
      </w:r>
    </w:p>
    <w:bookmarkEnd w:id="91"/>
    <w:bookmarkEnd w:id="92"/>
    <w:bookmarkStart w:id="93" w:name="Xe819f744c60d1af3e6ddac80e7b171d6b7201bb"/>
    <w:p>
      <w:pPr>
        <w:pStyle w:val="Heading1"/>
      </w:pPr>
      <w:r>
        <w:t xml:space="preserve">Anhang B. Auflösung der wichtigsten offenen Spezifikationsfragen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Frage</w:t>
            </w:r>
          </w:p>
        </w:tc>
        <w:tc>
          <w:tcPr/>
          <w:p>
            <w:pPr>
              <w:pStyle w:val="Compact"/>
              <w:jc w:val="left"/>
            </w:pPr>
            <w:r>
              <w:t xml:space="preserve">In der Quelle eindeutig beantwortet?</w:t>
            </w:r>
          </w:p>
        </w:tc>
        <w:tc>
          <w:tcPr/>
          <w:p>
            <w:pPr>
              <w:pStyle w:val="Compact"/>
              <w:jc w:val="left"/>
            </w:pPr>
            <w:r>
              <w:t xml:space="preserve">Zulässige Aussage in einem wissenschaftlichen Manuskript</w:t>
            </w:r>
          </w:p>
        </w:tc>
      </w:tr>
      <w:tr>
        <w:tc>
          <w:tcPr/>
          <w:p>
            <w:pPr>
              <w:pStyle w:val="Compact"/>
              <w:jc w:val="left"/>
            </w:pPr>
            <w:r>
              <w:t xml:space="preserve">Werden 8.760 Stunden für die Engpassidentifikation verwendet?</w:t>
            </w:r>
          </w:p>
        </w:tc>
        <w:tc>
          <w:tcPr/>
          <w:p>
            <w:pPr>
              <w:pStyle w:val="Compact"/>
              <w:jc w:val="left"/>
            </w:pPr>
            <w:r>
              <w:rPr>
                <w:b/>
                <w:bCs/>
              </w:rPr>
              <w:t xml:space="preserve">Grundsätzlich ja</w:t>
            </w:r>
            <w:r>
              <w:t xml:space="preserve">, stündliche jährliche Bewertung; Umfang verschiedener Szenarien muss spezifiziert sein</w:t>
            </w:r>
          </w:p>
        </w:tc>
        <w:tc>
          <w:tcPr/>
          <w:p>
            <w:pPr>
              <w:pStyle w:val="Compact"/>
              <w:jc w:val="left"/>
            </w:pPr>
            <w:r>
              <w:t xml:space="preserve">„Stündliche Überlastungswerte über ein Jahr werden aggregiert.“</w:t>
            </w:r>
          </w:p>
        </w:tc>
      </w:tr>
      <w:tr>
        <w:tc>
          <w:tcPr/>
          <w:p>
            <w:pPr>
              <w:pStyle w:val="Compact"/>
              <w:jc w:val="left"/>
            </w:pPr>
            <w:r>
              <w:t xml:space="preserve">Werden</w:t>
            </w:r>
            <w:r>
              <w:t xml:space="preserve"> </w:t>
            </w:r>
            <w:r>
              <w:rPr>
                <w:b/>
                <w:bCs/>
              </w:rPr>
              <w:t xml:space="preserve">alle</w:t>
            </w:r>
            <w:r>
              <w:t xml:space="preserve"> </w:t>
            </w:r>
            <w:r>
              <w:t xml:space="preserve">Stunden zur Impedanzidentifikation verwendet?</w:t>
            </w:r>
          </w:p>
        </w:tc>
        <w:tc>
          <w:tcPr/>
          <w:p>
            <w:pPr>
              <w:pStyle w:val="Compact"/>
              <w:jc w:val="left"/>
            </w:pPr>
            <w:r>
              <w:rPr>
                <w:b/>
                <w:bCs/>
              </w:rPr>
              <w:t xml:space="preserve">Nein, nicht festgelegt</w:t>
            </w:r>
          </w:p>
        </w:tc>
        <w:tc>
          <w:tcPr/>
          <w:p>
            <w:pPr>
              <w:pStyle w:val="Compact"/>
              <w:jc w:val="left"/>
            </w:pPr>
            <w:r>
              <w:t xml:space="preserve">„Es wird eine Stichprobe synchroner physikalischer Flüsse verwendet.“</w:t>
            </w:r>
          </w:p>
        </w:tc>
      </w:tr>
      <w:tr>
        <w:tc>
          <w:tcPr/>
          <w:p>
            <w:pPr>
              <w:pStyle w:val="Compact"/>
              <w:jc w:val="left"/>
            </w:pPr>
            <w:r>
              <w:t xml:space="preserve">Werden Klimaszenario-Gewichte als Impedanz-Fitgewichte verwendet?</w:t>
            </w:r>
          </w:p>
        </w:tc>
        <w:tc>
          <w:tcPr/>
          <w:p>
            <w:pPr>
              <w:pStyle w:val="Compact"/>
              <w:jc w:val="left"/>
            </w:pPr>
            <w:r>
              <w:rPr>
                <w:b/>
                <w:bCs/>
              </w:rPr>
              <w:t xml:space="preserve">Nicht belegt</w:t>
            </w:r>
          </w:p>
        </w:tc>
        <w:tc>
          <w:tcPr/>
          <w:p>
            <w:pPr>
              <w:pStyle w:val="Compact"/>
              <w:jc w:val="left"/>
            </w:pPr>
            <w:r>
              <w:t xml:space="preserve">„Die IoSN-Ausbauoptimierung nutzt die ausgewiesenen Wettergewichte; ein Transfer auf den Impedanz-Fit ist offen.“</w:t>
            </w:r>
          </w:p>
        </w:tc>
      </w:tr>
      <w:tr>
        <w:tc>
          <w:tcPr/>
          <w:p>
            <w:pPr>
              <w:pStyle w:val="Compact"/>
              <w:jc w:val="left"/>
            </w:pPr>
            <w:r>
              <w:t xml:space="preserve">Ist das Ersatznetz ein vollständiges AC-Lastflussäquivalent?</w:t>
            </w:r>
          </w:p>
        </w:tc>
        <w:tc>
          <w:tcPr/>
          <w:p>
            <w:pPr>
              <w:pStyle w:val="Compact"/>
              <w:jc w:val="left"/>
            </w:pPr>
            <w:r>
              <w:rPr>
                <w:b/>
                <w:bCs/>
              </w:rPr>
              <w:t xml:space="preserve">Nein, nicht nachgewiesen</w:t>
            </w:r>
          </w:p>
        </w:tc>
        <w:tc>
          <w:tcPr/>
          <w:p>
            <w:pPr>
              <w:pStyle w:val="Compact"/>
              <w:jc w:val="left"/>
            </w:pPr>
            <w:r>
              <w:t xml:space="preserve">„Die expliziten elektrischen Nebenbedingungen sind in DC-Näherung formuliert.“</w:t>
            </w:r>
          </w:p>
        </w:tc>
      </w:tr>
      <w:tr>
        <w:tc>
          <w:tcPr/>
          <w:p>
            <w:pPr>
              <w:pStyle w:val="Compact"/>
              <w:jc w:val="left"/>
            </w:pPr>
            <w:r>
              <w:t xml:space="preserve">Sind elektrische Nettoflüsse über Zonen konservativ aggregierbar?</w:t>
            </w:r>
          </w:p>
        </w:tc>
        <w:tc>
          <w:tcPr/>
          <w:p>
            <w:pPr>
              <w:pStyle w:val="Compact"/>
              <w:jc w:val="left"/>
            </w:pPr>
            <w:r>
              <w:rPr>
                <w:b/>
                <w:bCs/>
              </w:rPr>
              <w:t xml:space="preserve">Ja, unter konsistenten DC-/Bilanzannahmen</w:t>
            </w:r>
          </w:p>
        </w:tc>
        <w:tc>
          <w:tcPr/>
          <w:p>
            <w:pPr>
              <w:pStyle w:val="Compact"/>
              <w:jc w:val="left"/>
            </w:pPr>
            <w:r>
              <w:t xml:space="preserve">„Die Knotenbilanz kann durch</w:t>
            </w:r>
            <w:r>
              <w:t xml:space="preserve"> </w:t>
            </w:r>
            <m:oMath>
              <m:sSub>
                <m:e>
                  <m:r>
                    <m:t>A</m:t>
                  </m:r>
                </m:e>
                <m:sub>
                  <m:r>
                    <m:t>z</m:t>
                  </m:r>
                </m:sub>
              </m:sSub>
              <m:r>
                <m:t>Γ</m:t>
              </m:r>
              <m:r>
                <m:rPr>
                  <m:sty m:val="p"/>
                </m:rPr>
                <m:t>=</m:t>
              </m:r>
              <m:r>
                <m:t>P</m:t>
              </m:r>
              <m:sSub>
                <m:e>
                  <m:r>
                    <m:t>A</m:t>
                  </m:r>
                </m:e>
                <m:sub>
                  <m:r>
                    <m:t>d</m:t>
                  </m:r>
                </m:sub>
              </m:sSub>
            </m:oMath>
            <w:r>
              <w:t xml:space="preserve"> </w:t>
            </w:r>
            <w:r>
              <w:t xml:space="preserve">erhalten werden.“</w:t>
            </w:r>
          </w:p>
        </w:tc>
      </w:tr>
      <w:tr>
        <w:tc>
          <w:tcPr/>
          <w:p>
            <w:pPr>
              <w:pStyle w:val="Compact"/>
              <w:jc w:val="left"/>
            </w:pPr>
            <w:r>
              <w:t xml:space="preserve">Ist die absolute Skala äquivalenter Reaktanzen aus DC-Flussdaten bestimmbar?</w:t>
            </w:r>
          </w:p>
        </w:tc>
        <w:tc>
          <w:tcPr/>
          <w:p>
            <w:pPr>
              <w:pStyle w:val="Compact"/>
              <w:jc w:val="left"/>
            </w:pPr>
            <w:r>
              <w:rPr>
                <w:b/>
                <w:bCs/>
              </w:rPr>
              <w:t xml:space="preserve">Nein</w:t>
            </w:r>
          </w:p>
        </w:tc>
        <w:tc>
          <w:tcPr/>
          <w:p>
            <w:pPr>
              <w:pStyle w:val="Compact"/>
              <w:jc w:val="left"/>
            </w:pPr>
            <w:r>
              <w:t xml:space="preserve">„Globales Reaktanz-Scaling ist ohne zusätzliche Referenz nicht identifizierbar.“</w:t>
            </w:r>
          </w:p>
        </w:tc>
      </w:tr>
      <w:tr>
        <w:tc>
          <w:tcPr/>
          <w:p>
            <w:pPr>
              <w:pStyle w:val="Compact"/>
              <w:jc w:val="left"/>
            </w:pPr>
            <w:r>
              <w:t xml:space="preserve">Gibt es je Zonenlink vier N-1-Kapazitäten?</w:t>
            </w:r>
          </w:p>
        </w:tc>
        <w:tc>
          <w:tcPr/>
          <w:p>
            <w:pPr>
              <w:pStyle w:val="Compact"/>
              <w:jc w:val="left"/>
            </w:pPr>
            <w:r>
              <w:rPr>
                <w:b/>
                <w:bCs/>
              </w:rPr>
              <w:t xml:space="preserve">Ja</w:t>
            </w:r>
          </w:p>
        </w:tc>
        <w:tc>
          <w:tcPr/>
          <w:p>
            <w:pPr>
              <w:pStyle w:val="Compact"/>
              <w:jc w:val="left"/>
            </w:pPr>
            <w:r>
              <w:t xml:space="preserve">„Sommer/Winter und beide Flussrichtungen.“</w:t>
            </w:r>
          </w:p>
        </w:tc>
      </w:tr>
      <w:tr>
        <w:tc>
          <w:tcPr/>
          <w:p>
            <w:pPr>
              <w:pStyle w:val="Compact"/>
              <w:jc w:val="left"/>
            </w:pPr>
            <w:r>
              <w:t xml:space="preserve">Ist eine allgemeine Kapazitätsregression veröffentlicht?</w:t>
            </w:r>
          </w:p>
        </w:tc>
        <w:tc>
          <w:tcPr/>
          <w:p>
            <w:pPr>
              <w:pStyle w:val="Compact"/>
              <w:jc w:val="left"/>
            </w:pPr>
            <w:r>
              <w:rPr>
                <w:b/>
                <w:bCs/>
              </w:rPr>
              <w:t xml:space="preserve">Nein</w:t>
            </w:r>
          </w:p>
        </w:tc>
        <w:tc>
          <w:tcPr/>
          <w:p>
            <w:pPr>
              <w:pStyle w:val="Compact"/>
              <w:jc w:val="left"/>
            </w:pPr>
            <w:r>
              <w:t xml:space="preserve">„Die Kapazität ergibt sich aus dem Schnitt geschätzter Belastungsdaten mit 100 %; Details sind offen.“</w:t>
            </w:r>
          </w:p>
        </w:tc>
      </w:tr>
      <w:tr>
        <w:tc>
          <w:tcPr/>
          <w:p>
            <w:pPr>
              <w:pStyle w:val="Compact"/>
              <w:jc w:val="left"/>
            </w:pPr>
            <w:r>
              <w:t xml:space="preserve">Sind alle N-1-Kontingenzen zwingend enthalten?</w:t>
            </w:r>
          </w:p>
        </w:tc>
        <w:tc>
          <w:tcPr/>
          <w:p>
            <w:pPr>
              <w:pStyle w:val="Compact"/>
              <w:jc w:val="left"/>
            </w:pPr>
            <w:r>
              <w:rPr>
                <w:b/>
                <w:bCs/>
              </w:rPr>
              <w:t xml:space="preserve">Nein</w:t>
            </w:r>
          </w:p>
        </w:tc>
        <w:tc>
          <w:tcPr/>
          <w:p>
            <w:pPr>
              <w:pStyle w:val="Compact"/>
              <w:jc w:val="left"/>
            </w:pPr>
            <w:r>
              <w:t xml:space="preserve">„LODF und ausgewählte CBCO; bestimmte Fälle können ausgeschlossen werden.“</w:t>
            </w:r>
          </w:p>
        </w:tc>
      </w:tr>
      <w:tr>
        <w:tc>
          <w:tcPr/>
          <w:p>
            <w:pPr>
              <w:pStyle w:val="Compact"/>
              <w:jc w:val="left"/>
            </w:pPr>
            <w:r>
              <w:t xml:space="preserve">Werden interne Engpässe in der primären LF-Ausbauoptimierung aktiv begrenzt?</w:t>
            </w:r>
          </w:p>
        </w:tc>
        <w:tc>
          <w:tcPr/>
          <w:p>
            <w:pPr>
              <w:pStyle w:val="Compact"/>
              <w:jc w:val="left"/>
            </w:pPr>
            <w:r>
              <w:rPr>
                <w:b/>
                <w:bCs/>
              </w:rPr>
              <w:t xml:space="preserve">Nein, gemäß Zielsetzung nicht</w:t>
            </w:r>
          </w:p>
        </w:tc>
        <w:tc>
          <w:tcPr/>
          <w:p>
            <w:pPr>
              <w:pStyle w:val="Compact"/>
              <w:jc w:val="left"/>
            </w:pPr>
            <w:r>
              <w:t xml:space="preserve">„Interne Kapazitätsgrenzen werden für die primäre LF-Optimierung deaktiviert.“</w:t>
            </w:r>
          </w:p>
        </w:tc>
      </w:tr>
      <w:tr>
        <w:tc>
          <w:tcPr/>
          <w:p>
            <w:pPr>
              <w:pStyle w:val="Compact"/>
              <w:jc w:val="left"/>
            </w:pPr>
            <w:r>
              <w:t xml:space="preserve">Können die Ergebnisse ohne Originaltopologie und Ein-/Ausgangsdaten vollständig nachgerechnet werden?</w:t>
            </w:r>
          </w:p>
        </w:tc>
        <w:tc>
          <w:tcPr/>
          <w:p>
            <w:pPr>
              <w:pStyle w:val="Compact"/>
              <w:jc w:val="left"/>
            </w:pPr>
            <w:r>
              <w:rPr>
                <w:b/>
                <w:bCs/>
              </w:rPr>
              <w:t xml:space="preserve">Nein</w:t>
            </w:r>
          </w:p>
        </w:tc>
        <w:tc>
          <w:tcPr/>
          <w:p>
            <w:pPr>
              <w:pStyle w:val="Compact"/>
              <w:jc w:val="left"/>
            </w:pPr>
            <w:r>
              <w:t xml:space="preserve">„Die Methodik ist konzeptionell rekonstruierbar, aber nicht numerisch vollständig replizierbar.“</w:t>
            </w:r>
          </w:p>
        </w:tc>
      </w:tr>
    </w:tbl>
    <w:bookmarkEnd w:id="93"/>
    <w:bookmarkStart w:id="94" w:name="quellenverzeichnis"/>
    <w:p>
      <w:pPr>
        <w:pStyle w:val="Heading1"/>
      </w:pPr>
      <w:r>
        <w:t xml:space="preserve">Quellenverzeichnis</w:t>
      </w:r>
    </w:p>
    <w:p>
      <w:pPr>
        <w:pStyle w:val="FirstParagraph"/>
      </w:pPr>
      <w:r>
        <w:rPr>
          <w:b/>
          <w:bCs/>
        </w:rPr>
        <w:t xml:space="preserve">[Q1]</w:t>
      </w:r>
      <w:r>
        <w:t xml:space="preserve"> </w:t>
      </w:r>
      <w:r>
        <w:t xml:space="preserve">ENTSO-E Planning Study Team / System Development Committee (2026).</w:t>
      </w:r>
      <w:r>
        <w:t xml:space="preserve"> </w:t>
      </w:r>
      <w:r>
        <w:rPr>
          <w:i/>
          <w:iCs/>
        </w:rPr>
        <w:t xml:space="preserve">TYNDP 2026 Identification of System Needs Methodology.</w:t>
      </w:r>
      <w:r>
        <w:t xml:space="preserve"> </w:t>
      </w:r>
      <w:r>
        <w:rPr>
          <w:b/>
          <w:bCs/>
        </w:rPr>
        <w:t xml:space="preserve">Version for Public Consultation</w:t>
      </w:r>
      <w:r>
        <w:t xml:space="preserve">, 25 February 2026, 65 S. Ausschließlich verwendete fachliche Primärquelle. Zuordnung der wichtigsten Fundstellen: § 3.7, S. 18–21; § 3.8.1, S. 23–27; § 3.8.2, S. 27; § 3.8.3–3.8.4, S. 28–29; § 3.9, S. 29; Anhang 6.1, S. 45–51; Anhang 6.3, S. 57–62.</w:t>
      </w:r>
      <w:r>
        <w:t xml:space="preserve"> </w:t>
      </w:r>
      <w:hyperlink r:id="rId21">
        <w:r>
          <w:rPr>
            <w:rStyle w:val="Hyperlink"/>
          </w:rPr>
          <w:t xml:space="preserve">https://eepublicdownloads.blob.core.windows.net/public-cdn-container/clean-documents/tyndp-documents/TYNDP2026/TYNDP_2026_identification_of_system_needs_methodology_for_consultation.pdf</w:t>
        </w:r>
      </w:hyperlink>
    </w:p>
    <w:bookmarkEnd w:id="94"/>
    <w:sectPr>
      <w:headerReference w:type="default" r:id="rId9"/>
      <w:footerReference w:type="default" r:id="rId10"/>
      <w:pgMar w:header="482" w:footer="48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5"/>
        <w:sz w:val="16"/>
      </w:rPr>
      <w:t xml:space="preserve">ENTSO-E IoSN  |  Netzreduktion     ·     Seite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5"/>
        <w:sz w:val="16"/>
      </w:rPr>
      <w:t>Wissenschaftlicher Methodikbericht  |  ENTSO-E TYNDP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https://eepublicdownloads.blob.core.windows.net/public-cdn-container/clean-documents/tyndp-documents/TYNDP2026/TYNDP_2026_identification_of_system_needs_methodology_for_consultation.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1" Type="http://schemas.openxmlformats.org/officeDocument/2006/relationships/hyperlink" Target="https://eepublicdownloads.blob.core.windows.net/public-cdn-container/clean-documents/tyndp-documents/TYNDP2026/TYNDP_2026_identification_of_system_needs_methodology_for_consul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Netzreduktion im ENTSO-E TYNDP 2026</dc:title>
  <dc:creator/>
  <dc:language>de-DE</dc:language>
  <cp:keywords>ENTSO-E, TYNDP 2026, IoSN, Zonal Clustering, Netzreduktion, PTDF, LODF, N-1, DC-Lastfluss</cp:keywords>
  <dcterms:created xsi:type="dcterms:W3CDTF">2026-10-16T10:12:01Z</dcterms:created>
  <dcterms:modified xsi:type="dcterms:W3CDTF">2026-10-16T10:12:01Z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Dieser Bericht analysiert die im Entwurf der ENTSO-E-Methodik zur Identification of System Needs (IoSN) für den TYNDP 2026 veröffentlichte zonale Netzreduktion. Ausschließliche Primärquelle ist die Konsultationsfassung vom 25. Februar 2026. Die drei methodisch verschiedenen Schritte der Knotenzonierung, elektrischen Ersatznetzkalibrierung und N-1-orientierten Kapazitätsäquivalenz werden systematisch rekonstruiert. Eine Graphen- und Matrizenformulierung macht die Bilanz- und Maschengleichungen, die Verwendung stündlicher Leistungsflüsse, die strukturellen Nullbilanzflüsse und die Grenzen der Parameteridentifikation präzise nachvollziehbar. Die mathematischen Ergänzungen sind ausdrücklich keine von ENTSO-E veröffentlichten Implementierungsgleichungen. Bewertet werden Reproduzierbarkeit, zeitliche Repräsentativität, betriebliche Sicherheitsäquivalenz und Konsequenzen für die europäische Ausbauoptimierung.</vt:lpwstr>
  </property>
  <property fmtid="{D5CDD505-2E9C-101B-9397-08002B2CF9AE}" pid="3" name="date">
    <vt:lpwstr>16. Oktober 2026</vt:lpwstr>
  </property>
  <property fmtid="{D5CDD505-2E9C-101B-9397-08002B2CF9AE}" pid="4" name="subtitle">
    <vt:lpwstr>Wissenschaftlicher Methodikbericht mit mathematischer Rekonstruktion, Spezifikationsprüfung und Anforderungen an Reproduzierbarkeit</vt:lpwstr>
  </property>
</Properties>
</file>