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200" w:before="600"/>
        <w:jc w:val="center"/>
      </w:pPr>
      <w:r>
        <w:rPr>
          <w:rFonts w:ascii="Arial" w:cs="Arial" w:eastAsia="Arial" w:hAnsi="Arial"/>
          <w:b/>
          <w:bCs/>
          <w:color w:val="1F5C3A"/>
          <w:sz w:val="44"/>
          <w:szCs w:val="44"/>
          <w:rtl/>
        </w:rPr>
        <w:t xml:space="preserve">أسرة الاستدامة – معهد الدلتا العالي للهندسة والتكنولوجيا (الدقهلية)</w:t>
      </w:r>
    </w:p>
    <w:p>
      <w:pPr>
        <w:bidi/>
        <w:spacing w:after="300"/>
        <w:jc w:val="center"/>
      </w:pPr>
      <w:r>
        <w:rPr>
          <w:rFonts w:ascii="Arial" w:cs="Arial" w:eastAsia="Arial" w:hAnsi="Arial"/>
          <w:sz w:val="28"/>
          <w:szCs w:val="28"/>
          <w:rtl/>
        </w:rPr>
        <w:t xml:space="preserve">ملف التأسيس والخطة السنوية والاستعداد لتصنيف UI GreenMetric</w:t>
      </w:r>
    </w:p>
    <w:p>
      <w:pPr>
        <w:bidi/>
        <w:spacing w:after="100" w:line="320"/>
        <w:jc w:val="lef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محتويات الملف:</w:t>
      </w:r>
    </w:p>
    <w:p>
      <w:pPr>
        <w:pStyle w:val="ListParagraph"/>
        <w:numPr>
          <w:ilvl w:val="0"/>
          <w:numId w:val="2"/>
        </w:numPr>
        <w:bidi/>
        <w:spacing w:after="60" w:line="32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أولًا: نموذج طلب تكوين الأسرة</w:t>
      </w:r>
    </w:p>
    <w:p>
      <w:pPr>
        <w:pStyle w:val="ListParagraph"/>
        <w:numPr>
          <w:ilvl w:val="0"/>
          <w:numId w:val="2"/>
        </w:numPr>
        <w:bidi/>
        <w:spacing w:after="60" w:line="32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ثانيًا: لائحة الأسرة</w:t>
      </w:r>
    </w:p>
    <w:p>
      <w:pPr>
        <w:pStyle w:val="ListParagraph"/>
        <w:numPr>
          <w:ilvl w:val="0"/>
          <w:numId w:val="2"/>
        </w:numPr>
        <w:bidi/>
        <w:spacing w:after="60" w:line="32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ثالثًا: الخطة السنوية (12 شهرًا)</w:t>
      </w:r>
    </w:p>
    <w:p>
      <w:pPr>
        <w:pStyle w:val="ListParagraph"/>
        <w:numPr>
          <w:ilvl w:val="0"/>
          <w:numId w:val="2"/>
        </w:numPr>
        <w:bidi/>
        <w:spacing w:after="60" w:line="32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رابعًا: نموذج جرد النفايات (خط الأساس)</w:t>
      </w:r>
    </w:p>
    <w:p>
      <w:pPr>
        <w:pStyle w:val="ListParagraph"/>
        <w:numPr>
          <w:ilvl w:val="0"/>
          <w:numId w:val="2"/>
        </w:numPr>
        <w:bidi/>
        <w:spacing w:after="60" w:line="32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خامسًا: قائمة أدلة UI GreenMetric</w:t>
      </w:r>
    </w:p>
    <w:p>
      <w:pPr>
        <w:pStyle w:val="ListParagraph"/>
        <w:numPr>
          <w:ilvl w:val="0"/>
          <w:numId w:val="2"/>
        </w:numPr>
        <w:bidi/>
        <w:spacing w:after="60" w:line="32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سادسًا: مبادرات هندسية خاصة بالمعهد</w:t>
      </w:r>
    </w:p>
    <w:p>
      <w:pPr>
        <w:bidi/>
        <w:spacing w:after="100" w:line="320"/>
        <w:jc w:val="left"/>
      </w:pPr>
      <w:r>
        <w:rPr>
          <w:rFonts w:ascii="Arial" w:cs="Arial" w:eastAsia="Arial" w:hAnsi="Arial"/>
          <w:i/>
          <w:iCs/>
          <w:sz w:val="21"/>
          <w:szCs w:val="21"/>
          <w:rtl/>
        </w:rPr>
        <w:t xml:space="preserve">ملاحظة: يُنصح بمراجعة موقع UI GreenMetric الرسمي (greenmetric.ui.ac.id) لمعرفة مواعيد الدورة الحالية وتفاصيل الاستبيان، وتأكيد أهلية التسجيل المستقل للمعهد عبر مراسلة support@uigreenmetric.com.</w:t>
      </w:r>
    </w:p>
    <w:p>
      <w:r>
        <w:br w:type="page"/>
      </w:r>
    </w:p>
    <w:p>
      <w:pPr>
        <w:pStyle w:val="Heading1"/>
        <w:bidi/>
        <w:spacing w:after="120" w:before="240"/>
        <w:jc w:val="left"/>
      </w:pPr>
      <w:r>
        <w:rPr>
          <w:rFonts w:ascii="Arial" w:cs="Arial" w:eastAsia="Arial" w:hAnsi="Arial"/>
          <w:b/>
          <w:bCs/>
          <w:color w:val="1F5C3A"/>
          <w:sz w:val="32"/>
          <w:szCs w:val="32"/>
          <w:rtl/>
        </w:rPr>
        <w:t xml:space="preserve">أولًا: نموذج طلب تكوين أسرة</w:t>
      </w:r>
    </w:p>
    <w:p>
      <w:pPr>
        <w:bidi/>
        <w:spacing w:after="100" w:line="32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السيد الأستاذ الدكتور / عميد المعهد            تحية طيبة وبعد،</w:t>
      </w:r>
    </w:p>
    <w:p>
      <w:pPr>
        <w:bidi/>
        <w:spacing w:after="100" w:line="32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نتشرف بالتقدم بطلب تكوين أسرة طلابية باسم "أسرة الاستدامة" تحت مظلة اتحاد الطلبة، وذلك وفق البيانات التالية:</w:t>
      </w:r>
    </w:p>
    <w:p>
      <w:pPr>
        <w:pStyle w:val="ListParagraph"/>
        <w:numPr>
          <w:ilvl w:val="0"/>
          <w:numId w:val="2"/>
        </w:numPr>
        <w:bidi/>
        <w:spacing w:after="60" w:line="32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اسم الأسرة: أسرة الاستدامة – معهد الدلتا العالي للهندسة والتكنولوجيا (الدقهلية)</w:t>
      </w:r>
    </w:p>
    <w:p>
      <w:pPr>
        <w:pStyle w:val="ListParagraph"/>
        <w:numPr>
          <w:ilvl w:val="0"/>
          <w:numId w:val="2"/>
        </w:numPr>
        <w:bidi/>
        <w:spacing w:after="60" w:line="32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الرؤية: معهد الدلتا العالي للهندسة والتكنولوجيا معهد هندسي منخفض البصمة الكربونية ومؤهل للمنافسة في التصنيفات الدولية للاستدامة.</w:t>
      </w:r>
    </w:p>
    <w:p>
      <w:pPr>
        <w:pStyle w:val="ListParagraph"/>
        <w:numPr>
          <w:ilvl w:val="0"/>
          <w:numId w:val="2"/>
        </w:numPr>
        <w:bidi/>
        <w:spacing w:after="60" w:line="32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الرسالة: تمكين الطلبة من تطبيق المعرفة الهندسية في ترشيد الطاقة والمياه وإدارة النفايات ونشر ثقافة الاستدامة.</w:t>
      </w:r>
    </w:p>
    <w:p>
      <w:pPr>
        <w:bidi/>
        <w:spacing w:after="100" w:line="320"/>
        <w:jc w:val="lef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الأهداف القابلة للقياس:</w:t>
      </w:r>
    </w:p>
    <w:p>
      <w:pPr>
        <w:pStyle w:val="ListParagraph"/>
        <w:numPr>
          <w:ilvl w:val="0"/>
          <w:numId w:val="2"/>
        </w:numPr>
        <w:bidi/>
        <w:spacing w:after="60" w:line="32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خفض النفايات المتجهة للمقالب 30% خلال 12 شهرًا.</w:t>
      </w:r>
    </w:p>
    <w:p>
      <w:pPr>
        <w:pStyle w:val="ListParagraph"/>
        <w:numPr>
          <w:ilvl w:val="0"/>
          <w:numId w:val="2"/>
        </w:numPr>
        <w:bidi/>
        <w:spacing w:after="60" w:line="32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خفض استهلاك الورق 40% عبر التحول الرقمي.</w:t>
      </w:r>
    </w:p>
    <w:p>
      <w:pPr>
        <w:pStyle w:val="ListParagraph"/>
        <w:numPr>
          <w:ilvl w:val="0"/>
          <w:numId w:val="2"/>
        </w:numPr>
        <w:bidi/>
        <w:spacing w:after="60" w:line="32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استبدال الإضاءة التقليدية بـ LED بنسبة 100% (أو أقرب نسبة ممكنة).</w:t>
      </w:r>
    </w:p>
    <w:p>
      <w:pPr>
        <w:pStyle w:val="ListParagraph"/>
        <w:numPr>
          <w:ilvl w:val="0"/>
          <w:numId w:val="2"/>
        </w:numPr>
        <w:bidi/>
        <w:spacing w:after="60" w:line="32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إنشاء نقاط فرز من المصدر في جميع المباني والورش والمعامل.</w:t>
      </w:r>
    </w:p>
    <w:p>
      <w:pPr>
        <w:pStyle w:val="ListParagraph"/>
        <w:numPr>
          <w:ilvl w:val="0"/>
          <w:numId w:val="2"/>
        </w:numPr>
        <w:bidi/>
        <w:spacing w:after="60" w:line="32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تنفيذ 6 فعاليات توعوية و3 مشروعات تطبيقية على الأقل.</w:t>
      </w:r>
    </w:p>
    <w:p>
      <w:pPr>
        <w:pStyle w:val="ListParagraph"/>
        <w:numPr>
          <w:ilvl w:val="0"/>
          <w:numId w:val="2"/>
        </w:numPr>
        <w:bidi/>
        <w:spacing w:after="60" w:line="32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تجهيز ملف أدلة كامل لمحاور UI GreenMetric الستة.</w:t>
      </w:r>
    </w:p>
    <w:p>
      <w:pPr>
        <w:bidi/>
        <w:spacing w:after="100" w:line="320"/>
        <w:jc w:val="lef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بيانات الأسرة:</w:t>
      </w:r>
    </w:p>
    <w:p>
      <w:pPr>
        <w:pStyle w:val="ListParagraph"/>
        <w:numPr>
          <w:ilvl w:val="0"/>
          <w:numId w:val="2"/>
        </w:numPr>
        <w:bidi/>
        <w:spacing w:after="60" w:line="32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المشرفة على الأسرة: د. ....................................................</w:t>
      </w:r>
    </w:p>
    <w:p>
      <w:pPr>
        <w:pStyle w:val="ListParagraph"/>
        <w:numPr>
          <w:ilvl w:val="0"/>
          <w:numId w:val="2"/>
        </w:numPr>
        <w:bidi/>
        <w:spacing w:after="60" w:line="32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رئيس الأسرة (طالب/ـة): ....................................................</w:t>
      </w:r>
    </w:p>
    <w:p>
      <w:pPr>
        <w:pStyle w:val="ListParagraph"/>
        <w:numPr>
          <w:ilvl w:val="0"/>
          <w:numId w:val="2"/>
        </w:numPr>
        <w:bidi/>
        <w:spacing w:after="60" w:line="32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نائب الرئيس: ....................................................</w:t>
      </w:r>
    </w:p>
    <w:p>
      <w:pPr>
        <w:pStyle w:val="ListParagraph"/>
        <w:numPr>
          <w:ilvl w:val="0"/>
          <w:numId w:val="2"/>
        </w:numPr>
        <w:bidi/>
        <w:spacing w:after="60" w:line="32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عدد الأعضاء المبدئي: ........ (الحد الأدنى المقترح 20 عضوًا)</w:t>
      </w:r>
    </w:p>
    <w:p>
      <w:pPr>
        <w:pStyle w:val="ListParagraph"/>
        <w:numPr>
          <w:ilvl w:val="0"/>
          <w:numId w:val="2"/>
        </w:numPr>
        <w:bidi/>
        <w:spacing w:after="60" w:line="32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تاريخ التقديم: .... / .... / ........</w:t>
      </w:r>
    </w:p>
    <w:p>
      <w:pPr>
        <w:bidi/>
        <w:spacing w:after="100" w:line="32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المرفقات: كشف أسماء المؤسسين وأرقامهم الأكاديمية – الخطة السنوية – اللائحة – خطاب دعم من اتحاد الطلبة.</w:t>
      </w:r>
    </w:p>
    <w:p>
      <w:pPr>
        <w:bidi/>
        <w:spacing w:after="100" w:line="32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توقيع المشرفة: ..................        توقيع رئيس الاتحاد: ..................        اعتماد العميد: ..................</w:t>
      </w:r>
    </w:p>
    <w:p>
      <w:r>
        <w:br w:type="page"/>
      </w:r>
    </w:p>
    <w:p>
      <w:pPr>
        <w:pStyle w:val="Heading1"/>
        <w:bidi/>
        <w:spacing w:after="120" w:before="240"/>
        <w:jc w:val="left"/>
      </w:pPr>
      <w:r>
        <w:rPr>
          <w:rFonts w:ascii="Arial" w:cs="Arial" w:eastAsia="Arial" w:hAnsi="Arial"/>
          <w:b/>
          <w:bCs/>
          <w:color w:val="1F5C3A"/>
          <w:sz w:val="32"/>
          <w:szCs w:val="32"/>
          <w:rtl/>
        </w:rPr>
        <w:t xml:space="preserve">ثانيًا: لائحة أسرة الاستدامة</w:t>
      </w:r>
    </w:p>
    <w:tbl>
      <w:tblPr>
        <w:bidiVisual/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5C3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  <w:rtl/>
              </w:rPr>
              <w:t xml:space="preserve">البند</w:t>
            </w:r>
          </w:p>
        </w:tc>
        <w:tc>
          <w:tcPr>
            <w:tcW w:type="dxa" w:w="6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5C3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  <w:rtl/>
              </w:rPr>
              <w:t xml:space="preserve">النص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المادة 1 – الاسم والتبعية</w:t>
            </w:r>
          </w:p>
        </w:tc>
        <w:tc>
          <w:tcPr>
            <w:tcW w:type="dxa" w:w="6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أسرة الاستدامة أسرة طلابية تابعة لاتحاد الطلبة وتحت إشراف عضو هيئة تدريس يعيّنه العميد.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المادة 2 – العضوية</w:t>
            </w:r>
          </w:p>
        </w:tc>
        <w:tc>
          <w:tcPr>
            <w:tcW w:type="dxa" w:w="6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مفتوحة لجميع طلبة المعهد. تُسقط العضوية بالغياب عن ثلاثة اجتماعات متتالية دون عذر أو بمخالفة اللائحة.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المادة 3 – الهيكل</w:t>
            </w:r>
          </w:p>
        </w:tc>
        <w:tc>
          <w:tcPr>
            <w:tcW w:type="dxa" w:w="6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المشرفة، رئيس، نائب، أمين سر، أمين صندوق، ورؤساء اللجان: النفايات والتدوير، الطاقة، المياه، المواصلات، المساحات الخضراء، الإعلام والتوثيق، البحث والتعليم.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المادة 4 – الاجتماعات</w:t>
            </w:r>
          </w:p>
        </w:tc>
        <w:tc>
          <w:tcPr>
            <w:tcW w:type="dxa" w:w="6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اجتماع عام شهري، واجتماع مجلس اللجان كل أسبوعين، مع محضر مكتوب وتوزيع مهام بمواعيد محددة.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المادة 5 – اتخاذ القرار</w:t>
            </w:r>
          </w:p>
        </w:tc>
        <w:tc>
          <w:tcPr>
            <w:tcW w:type="dxa" w:w="6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بالأغلبية، وللمشرفة حق الاعتراض على ما يخالف لوائح المعهد أو سلامة الأفراد.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المادة 6 – الانتخابات</w:t>
            </w:r>
          </w:p>
        </w:tc>
        <w:tc>
          <w:tcPr>
            <w:tcW w:type="dxa" w:w="6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سنوية لمناصب الرئيس والنائب وأمين السر وأمين الصندوق، ويُشترط خبرة سابقة كعضو لا تقل عن فصل دراسي.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المادة 7 – الموارد المالية</w:t>
            </w:r>
          </w:p>
        </w:tc>
        <w:tc>
          <w:tcPr>
            <w:tcW w:type="dxa" w:w="6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دعم المعهد والاتحاد، والرعايات، وعوائد بيع المواد المعاد تدويرها، ويُحفظ سجل مالي معتمد.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المادة 8 – التوثيق</w:t>
            </w:r>
          </w:p>
        </w:tc>
        <w:tc>
          <w:tcPr>
            <w:tcW w:type="dxa" w:w="6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يلتزم كل نشاط بتوثيق بالصور والمحضر وكشف الحضور وتقرير موجز، ويُحفظ في أرشيف الأدلة.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المادة 9 – السلامة</w:t>
            </w:r>
          </w:p>
        </w:tc>
        <w:tc>
          <w:tcPr>
            <w:tcW w:type="dxa" w:w="6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الالتزام بقواعد السلامة المهنية في الورش والمعامل عند التعامل مع المخلفات الخطرة.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المادة 10 – التعديل</w:t>
            </w:r>
          </w:p>
        </w:tc>
        <w:tc>
          <w:tcPr>
            <w:tcW w:type="dxa" w:w="6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لا تُعدَّل اللائحة إلا بموافقة ثلثي الأعضاء واعتماد العميد.</w:t>
            </w:r>
          </w:p>
        </w:tc>
      </w:tr>
    </w:tbl>
    <w:p>
      <w:r>
        <w:br w:type="page"/>
      </w:r>
    </w:p>
    <w:p>
      <w:pPr>
        <w:pStyle w:val="Heading1"/>
        <w:bidi/>
        <w:spacing w:after="120" w:before="240"/>
        <w:jc w:val="left"/>
      </w:pPr>
      <w:r>
        <w:rPr>
          <w:rFonts w:ascii="Arial" w:cs="Arial" w:eastAsia="Arial" w:hAnsi="Arial"/>
          <w:b/>
          <w:bCs/>
          <w:color w:val="1F5C3A"/>
          <w:sz w:val="32"/>
          <w:szCs w:val="32"/>
          <w:rtl/>
        </w:rPr>
        <w:t xml:space="preserve">ثالثًا: الخطة السنوية (12 شهرًا)</w:t>
      </w:r>
    </w:p>
    <w:tbl>
      <w:tblPr>
        <w:bidiVisual/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100"/>
        <w:gridCol w:w="4000"/>
        <w:gridCol w:w="2300"/>
      </w:tblGrid>
      <w:tr>
        <w:trPr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5C3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  <w:rtl/>
              </w:rPr>
              <w:t xml:space="preserve">الشهر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5C3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  <w:rtl/>
              </w:rPr>
              <w:t xml:space="preserve">المرحلة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5C3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  <w:rtl/>
              </w:rPr>
              <w:t xml:space="preserve">الأنشطة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5C3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  <w:rtl/>
              </w:rPr>
              <w:t xml:space="preserve">المخرج/الدليل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1–2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التأسيس وخط الأساس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اعتماد الأسرة، تشكيل اللجان، جرد النفايات والطاقة والمياه، قراءة فواتير سنة سابقة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ملف خط الأساس + محضر التأسيس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3–4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الفرز والتوعية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تركيب حاويات فرز ملونة، حملة توعية كبرى، أول ورشة عمل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صور الحاويات + تقرير الحملة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5–6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الطاقة والمياه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تدقيق طاقة (Energy Audit) بإشراف الأقسام، استبدال إضاءة LED، حملة ترشيد، إصلاح التسريبات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تقرير التدقيق + قبل/بعد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7–8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الورش والمعامل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إدارة الخردة المعدنية والزيوت والمخلفات الإلكترونية مع جهات معتمدة، بروتوكول تدوير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عقد/بروتوكول + سجل كميات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9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المواصلات والمساحات الخضراء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مشاركة المواصلات، مواقف دراجات، زراعة وكومبوست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صور + قوائم مشاركة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10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البحث والتعليم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ربط مشروعات التخرج بالاستدامة، محاضرات، مسابقة ابتكار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قائمة مشروعات وأبحاث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11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تجميع الأدلة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تعبئة استبيان GreenMetric ورفع الأدلة عبر حساب المعهد في الموقع الرسمي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ملف الأدلة النهائي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12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التقييم والتخطيط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قياس النتائج مقابل خط الأساس، تقرير سنوي، تدريب الدفعة الجديدة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التقرير السنوي</w:t>
            </w:r>
          </w:p>
        </w:tc>
      </w:tr>
    </w:tbl>
    <w:p>
      <w:r>
        <w:br w:type="page"/>
      </w:r>
    </w:p>
    <w:p>
      <w:pPr>
        <w:pStyle w:val="Heading1"/>
        <w:bidi/>
        <w:spacing w:after="120" w:before="240"/>
        <w:jc w:val="left"/>
      </w:pPr>
      <w:r>
        <w:rPr>
          <w:rFonts w:ascii="Arial" w:cs="Arial" w:eastAsia="Arial" w:hAnsi="Arial"/>
          <w:b/>
          <w:bCs/>
          <w:color w:val="1F5C3A"/>
          <w:sz w:val="32"/>
          <w:szCs w:val="32"/>
          <w:rtl/>
        </w:rPr>
        <w:t xml:space="preserve">رابعًا: نموذج جرد النفايات (خط الأساس)</w:t>
      </w:r>
    </w:p>
    <w:p>
      <w:pPr>
        <w:bidi/>
        <w:spacing w:after="100" w:line="32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يُجرى الوزن لمدة 7 أيام متتالية في كل موقع، ويُسجَّل بالكيلوجرام، ثم يُكرَّر شهريًا لقياس التقدم.</w:t>
      </w:r>
    </w:p>
    <w:p>
      <w:pPr>
        <w:bidi/>
        <w:spacing w:after="100" w:line="32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الموقع/المبنى ..............................................................</w:t>
      </w:r>
    </w:p>
    <w:p>
      <w:pPr>
        <w:bidi/>
        <w:spacing w:after="100" w:line="32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تاريخ الجرد ..............................................................</w:t>
      </w:r>
    </w:p>
    <w:p>
      <w:pPr>
        <w:bidi/>
        <w:spacing w:after="100" w:line="32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اسم المسؤول ..............................................................</w:t>
      </w:r>
    </w:p>
    <w:tbl>
      <w:tblPr>
        <w:bidiVisual/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100"/>
        <w:gridCol w:w="1100"/>
        <w:gridCol w:w="1100"/>
        <w:gridCol w:w="1100"/>
        <w:gridCol w:w="2000"/>
      </w:tblGrid>
      <w:tr>
        <w:trPr>
          <w:tblHeader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5C3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  <w:rtl/>
              </w:rPr>
              <w:t xml:space="preserve">نوع المخلف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5C3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  <w:rtl/>
              </w:rPr>
              <w:t xml:space="preserve">اليوم 1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5C3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  <w:rtl/>
              </w:rPr>
              <w:t xml:space="preserve">اليوم 2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5C3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  <w:rtl/>
              </w:rPr>
              <w:t xml:space="preserve">...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5C3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  <w:rtl/>
              </w:rPr>
              <w:t xml:space="preserve">اليوم 7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5C3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  <w:rtl/>
              </w:rPr>
              <w:t xml:space="preserve">الإجمالي (كجم)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ورق وكرتون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بلاستيك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معادن وخردة ورش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زجاج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نفايات عضوية (كافتيريا)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مخلفات إلكترونية وكابلات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أحبار وبطاريات وزيوت (خطرة)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نفايات عامة غير قابلة للتدوير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/>
            </w:r>
          </w:p>
        </w:tc>
      </w:tr>
    </w:tbl>
    <w:p>
      <w:pPr>
        <w:bidi/>
        <w:spacing w:after="100" w:line="32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/>
      </w:r>
    </w:p>
    <w:p>
      <w:pPr>
        <w:bidi/>
        <w:spacing w:after="100" w:line="320"/>
        <w:jc w:val="lef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نسبة التحويل عن المقالب = (إجمالي المُعاد تدويره ÷ إجمالي النفايات) × 100</w:t>
      </w:r>
    </w:p>
    <w:p>
      <w:r>
        <w:br w:type="page"/>
      </w:r>
    </w:p>
    <w:p>
      <w:pPr>
        <w:pStyle w:val="Heading1"/>
        <w:bidi/>
        <w:spacing w:after="120" w:before="240"/>
        <w:jc w:val="left"/>
      </w:pPr>
      <w:r>
        <w:rPr>
          <w:rFonts w:ascii="Arial" w:cs="Arial" w:eastAsia="Arial" w:hAnsi="Arial"/>
          <w:b/>
          <w:bCs/>
          <w:color w:val="1F5C3A"/>
          <w:sz w:val="32"/>
          <w:szCs w:val="32"/>
          <w:rtl/>
        </w:rPr>
        <w:t xml:space="preserve">خامسًا: قائمة أدلة UI GreenMetric</w:t>
      </w:r>
    </w:p>
    <w:p>
      <w:pPr>
        <w:bidi/>
        <w:spacing w:after="100" w:line="32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المحاور الستة وأوزانها التقريبية. تُحفظ الأدلة في مجلد لكل محور (صور بتاريخ، سياسات موقعة، تقارير، فواتير، روابط).</w:t>
      </w:r>
    </w:p>
    <w:tbl>
      <w:tblPr>
        <w:bidiVisual/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600"/>
        <w:gridCol w:w="2500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5C3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  <w:rtl/>
              </w:rPr>
              <w:t xml:space="preserve">المحور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5C3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  <w:rtl/>
              </w:rPr>
              <w:t xml:space="preserve">أمثلة على المطلوب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5C3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البنية التحتية (15%)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نسبة المساحات الخضراء والمفتوحة، خريطة الحرم، مبانٍ صديقة للبيئة، تسهيلات ذوي الإعاقة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صور + خرائط + مساحات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الطاقة وتغير المناخ (21%)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إضاءة LED، أجهزة موفرة، خلايا شمسية، عدادات ذكية، حساب البصمة الكربونية، سياسة ترشيد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فواتير + تقرير تدقيق + صور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النفايات (18%)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برنامج فرز وتدوير، تقليل الورق والبلاستيك، معالجة العضوي، المخلفات الخطرة والإلكترونية، معالجة الصرف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أوزان + عقود + صور + سياسة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المياه (10%)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برنامج ترشيد، إعادة استخدام المياه، أجهزة موفرة، معالجة المياه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فواتير + صور + سياسة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النقل (18%)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حافلات داخلية، مشاركة مواصلات، مواقف دراجات، مسارات مشاة، تقليل المركبات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صور + إحصاءات + قرارات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التعليم والبحث (18%)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مقررات واستدامة، أبحاث وإنتاج علمي، فعاليات، أسرة طلابية، موقع وتقرير استدامة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  <w:rtl/>
              </w:rPr>
              <w:t xml:space="preserve">قائمة مقررات + أبحاث + حضور</w:t>
            </w:r>
          </w:p>
        </w:tc>
      </w:tr>
    </w:tbl>
    <w:p>
      <w:r>
        <w:br w:type="page"/>
      </w:r>
    </w:p>
    <w:p>
      <w:pPr>
        <w:pStyle w:val="Heading1"/>
        <w:bidi/>
        <w:spacing w:after="120" w:before="240"/>
        <w:jc w:val="left"/>
      </w:pPr>
      <w:r>
        <w:rPr>
          <w:rFonts w:ascii="Arial" w:cs="Arial" w:eastAsia="Arial" w:hAnsi="Arial"/>
          <w:b/>
          <w:bCs/>
          <w:color w:val="1F5C3A"/>
          <w:sz w:val="32"/>
          <w:szCs w:val="32"/>
          <w:rtl/>
        </w:rPr>
        <w:t xml:space="preserve">سادسًا: مبادرات هندسية خاصة بالمعهد</w:t>
      </w:r>
    </w:p>
    <w:p>
      <w:pPr>
        <w:pStyle w:val="ListParagraph"/>
        <w:numPr>
          <w:ilvl w:val="0"/>
          <w:numId w:val="2"/>
        </w:numPr>
        <w:bidi/>
        <w:spacing w:after="60" w:line="32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مشروعات تخرج: تدقيق طاقة للمباني، ومحطة شمسية صغيرة، وأنظمة تحكم ذكية في الإضاءة والتكييف.</w:t>
      </w:r>
    </w:p>
    <w:p>
      <w:pPr>
        <w:pStyle w:val="ListParagraph"/>
        <w:numPr>
          <w:ilvl w:val="0"/>
          <w:numId w:val="2"/>
        </w:numPr>
        <w:bidi/>
        <w:spacing w:after="60" w:line="32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ورش ومعامل: فصل الخردة المعدنية وتدويرها، وإعادة استخدام قطع الغيار، وإدارة الزيوت والمذيبات بشكل آمن.</w:t>
      </w:r>
    </w:p>
    <w:p>
      <w:pPr>
        <w:pStyle w:val="ListParagraph"/>
        <w:numPr>
          <w:ilvl w:val="0"/>
          <w:numId w:val="2"/>
        </w:numPr>
        <w:bidi/>
        <w:spacing w:after="60" w:line="32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الطباعة ثلاثية الأبعاد: إعادة تدوير بقايا الخيوط والدعامات.</w:t>
      </w:r>
    </w:p>
    <w:p>
      <w:pPr>
        <w:pStyle w:val="ListParagraph"/>
        <w:numPr>
          <w:ilvl w:val="0"/>
          <w:numId w:val="2"/>
        </w:numPr>
        <w:bidi/>
        <w:spacing w:after="60" w:line="32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التحول الرقمي: تسليم المخططات والتقارير وتصحيحها إلكترونيًا وتقليل الطباعة.</w:t>
      </w:r>
    </w:p>
    <w:p>
      <w:pPr>
        <w:pStyle w:val="ListParagraph"/>
        <w:numPr>
          <w:ilvl w:val="0"/>
          <w:numId w:val="2"/>
        </w:numPr>
        <w:bidi/>
        <w:spacing w:after="60" w:line="32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المخلفات الإلكترونية: يوم سنوي لجمع الأجهزة والكابلات وتسليمها لجهة معتمدة.</w:t>
      </w:r>
    </w:p>
    <w:p>
      <w:pPr>
        <w:pStyle w:val="ListParagraph"/>
        <w:numPr>
          <w:ilvl w:val="0"/>
          <w:numId w:val="2"/>
        </w:numPr>
        <w:bidi/>
        <w:spacing w:after="60" w:line="32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المياه: عدادات فرعية للمعامل وكشف التسريبات بحساسات بسيطة.</w:t>
      </w:r>
    </w:p>
    <w:p>
      <w:pPr>
        <w:pStyle w:val="ListParagraph"/>
        <w:numPr>
          <w:ilvl w:val="0"/>
          <w:numId w:val="2"/>
        </w:numPr>
        <w:bidi/>
        <w:spacing w:after="60" w:line="32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مسابقة "ابتكار أخضر" بين أقسام المعهد بجوائز رمزية.</w:t>
      </w:r>
    </w:p>
    <w:p>
      <w:pPr>
        <w:pStyle w:val="ListParagraph"/>
        <w:numPr>
          <w:ilvl w:val="0"/>
          <w:numId w:val="2"/>
        </w:numPr>
        <w:bidi/>
        <w:spacing w:after="60" w:line="32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لوحة مؤشرات (Dashboard) شهرية تعرض وزن النفايات واستهلاك الكهرباء والمياه بإشراف لجنة الإعلام.</w:t>
      </w:r>
    </w:p>
    <w:p>
      <w:pPr>
        <w:bidi/>
        <w:spacing w:after="100" w:line="32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/>
      </w:r>
    </w:p>
    <w:p>
      <w:pPr>
        <w:bidi/>
        <w:spacing w:after="100" w:line="320"/>
        <w:jc w:val="lef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 المشرفة: الاعتماد والتمثيل أمام الإدارة، والتوجيه العلمي وربط الأنشطة بمعايير GreenMetric، والتنسيق مع الصيانة والنظافة والمشتريات، ومراجعة جودة الأدلة، والتحفيز والتدريب المستمر للدفعات الجديدة.</w:t>
      </w:r>
    </w:p>
    <w:sectPr>
      <w:pgSz w:w="11906" w:h="16838" w:orient="portrait"/>
      <w:pgMar w:top="1200" w:right="1253" w:bottom="1200" w:left="125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2026-10-07T22:41:54.089Z</dcterms:created>
  <dcterms:modified xsi:type="dcterms:W3CDTF">2026-10-07T22:41:54.097Z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