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CA2EB" w14:textId="13E9A6BA" w:rsidR="00E937D0" w:rsidRPr="00B071DB" w:rsidRDefault="00B071DB" w:rsidP="0072325A">
      <w:pPr>
        <w:pStyle w:val="Titre1"/>
        <w:rPr>
          <w:rFonts w:ascii="Times New Roman" w:hAnsi="Times New Roman" w:cs="Times New Roman"/>
          <w:u w:val="single"/>
          <w:lang w:val="en-US"/>
        </w:rPr>
      </w:pPr>
      <w:bookmarkStart w:id="0" w:name="OLE_LINK19"/>
      <w:bookmarkStart w:id="1" w:name="OLE_LINK20"/>
      <w:r w:rsidRPr="00B071DB">
        <w:rPr>
          <w:rFonts w:ascii="Times New Roman" w:hAnsi="Times New Roman" w:cs="Times New Roman"/>
          <w:u w:val="single"/>
          <w:lang w:val="en-US"/>
        </w:rPr>
        <w:t>Introduction:</w:t>
      </w:r>
    </w:p>
    <w:p w14:paraId="3FE1F20F" w14:textId="02BFF508" w:rsidR="00A85D0B" w:rsidRDefault="009D4492" w:rsidP="00481201">
      <w:pPr>
        <w:spacing w:after="120"/>
        <w:ind w:firstLine="708"/>
        <w:jc w:val="both"/>
        <w:rPr>
          <w:lang w:val="en-US"/>
        </w:rPr>
      </w:pPr>
      <w:r>
        <w:rPr>
          <w:lang w:val="en-US"/>
        </w:rPr>
        <w:t xml:space="preserve">The mutational catalog of a given cancer genome is an archeological record of the </w:t>
      </w:r>
      <w:r w:rsidR="00AC574A">
        <w:rPr>
          <w:lang w:val="en-US"/>
        </w:rPr>
        <w:t xml:space="preserve">endogenous and exogenous </w:t>
      </w:r>
      <w:r>
        <w:rPr>
          <w:lang w:val="en-US"/>
        </w:rPr>
        <w:t xml:space="preserve">mutational processes </w:t>
      </w:r>
      <w:r w:rsidR="00574E6E">
        <w:rPr>
          <w:lang w:val="en-US"/>
        </w:rPr>
        <w:t>operati</w:t>
      </w:r>
      <w:r w:rsidR="007F35A9">
        <w:rPr>
          <w:lang w:val="en-US"/>
        </w:rPr>
        <w:t>ve</w:t>
      </w:r>
      <w:r>
        <w:rPr>
          <w:lang w:val="en-US"/>
        </w:rPr>
        <w:t xml:space="preserve"> during </w:t>
      </w:r>
      <w:r w:rsidR="00574E6E">
        <w:rPr>
          <w:lang w:val="en-US"/>
        </w:rPr>
        <w:t>the</w:t>
      </w:r>
      <w:r>
        <w:rPr>
          <w:lang w:val="en-US"/>
        </w:rPr>
        <w:t xml:space="preserve"> lifetime</w:t>
      </w:r>
      <w:r w:rsidR="00574E6E">
        <w:rPr>
          <w:lang w:val="en-US"/>
        </w:rPr>
        <w:t xml:space="preserve"> of a cancer patient</w:t>
      </w:r>
      <w:r w:rsidR="000D1D99">
        <w:rPr>
          <w:lang w:val="en-US"/>
        </w:rPr>
        <w:t>. From the very first fertilized egg and until the development of a cancerous cell, DNA is continuously accumulating mutations</w:t>
      </w:r>
      <w:r w:rsidR="000D2189">
        <w:rPr>
          <w:lang w:val="en-US"/>
        </w:rPr>
        <w:t xml:space="preserve"> (Figure 01</w:t>
      </w:r>
      <w:r w:rsidR="00D415F6">
        <w:rPr>
          <w:lang w:val="en-US"/>
        </w:rPr>
        <w:t xml:space="preserve">; </w:t>
      </w:r>
      <w:r w:rsidR="00D415F6">
        <w:rPr>
          <w:lang w:val="en-US"/>
        </w:rPr>
        <w:t>Stratton et al., 2009)</w:t>
      </w:r>
      <w:r w:rsidR="000D1D99">
        <w:rPr>
          <w:lang w:val="en-US"/>
        </w:rPr>
        <w:t xml:space="preserve">. </w:t>
      </w:r>
    </w:p>
    <w:p w14:paraId="35B5A9C6" w14:textId="77777777" w:rsidR="00886D93" w:rsidRDefault="00886D93" w:rsidP="00886D93">
      <w:pPr>
        <w:keepNext/>
      </w:pPr>
      <w:r>
        <w:fldChar w:fldCharType="begin"/>
      </w:r>
      <w:r>
        <w:instrText xml:space="preserve"> INCLUDEPICTURE "https://media.springernature.com/full/springer-static/image/art%3A10.1038%2Fnature07943/MediaObjects/41586_2009_Article_BFnature07943_Fig1_HTML.jpg" \* MERGEFORMATINET </w:instrText>
      </w:r>
      <w:r>
        <w:fldChar w:fldCharType="separate"/>
      </w:r>
      <w:r>
        <w:rPr>
          <w:noProof/>
        </w:rPr>
        <w:drawing>
          <wp:inline distT="0" distB="0" distL="0" distR="0" wp14:anchorId="0264285B" wp14:editId="16D444D9">
            <wp:extent cx="5760720" cy="2251710"/>
            <wp:effectExtent l="0" t="0" r="5080" b="0"/>
            <wp:docPr id="1" name="Imag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251710"/>
                    </a:xfrm>
                    <a:prstGeom prst="rect">
                      <a:avLst/>
                    </a:prstGeom>
                    <a:noFill/>
                    <a:ln>
                      <a:noFill/>
                    </a:ln>
                  </pic:spPr>
                </pic:pic>
              </a:graphicData>
            </a:graphic>
          </wp:inline>
        </w:drawing>
      </w:r>
      <w:r>
        <w:fldChar w:fldCharType="end"/>
      </w:r>
    </w:p>
    <w:p w14:paraId="576CE1C1" w14:textId="3B0B2191" w:rsidR="00886D93" w:rsidRPr="00D80AF2" w:rsidRDefault="00886D93" w:rsidP="00886D93">
      <w:pPr>
        <w:pStyle w:val="Lgende"/>
        <w:jc w:val="center"/>
        <w:rPr>
          <w:lang w:val="en-US"/>
        </w:rPr>
      </w:pPr>
      <w:r w:rsidRPr="00D80AF2">
        <w:rPr>
          <w:lang w:val="en-US"/>
        </w:rPr>
        <w:t xml:space="preserve">Figure </w:t>
      </w:r>
      <w:r>
        <w:fldChar w:fldCharType="begin"/>
      </w:r>
      <w:r w:rsidRPr="00D80AF2">
        <w:rPr>
          <w:lang w:val="en-US"/>
        </w:rPr>
        <w:instrText xml:space="preserve"> SEQ Figure \* ARABIC </w:instrText>
      </w:r>
      <w:r>
        <w:fldChar w:fldCharType="separate"/>
      </w:r>
      <w:r w:rsidRPr="00D80AF2">
        <w:rPr>
          <w:noProof/>
          <w:lang w:val="en-US"/>
        </w:rPr>
        <w:t>1</w:t>
      </w:r>
      <w:r>
        <w:fldChar w:fldCharType="end"/>
      </w:r>
    </w:p>
    <w:p w14:paraId="2CB1A908" w14:textId="6A505BAC" w:rsidR="00481201" w:rsidRDefault="00AC574A" w:rsidP="00481201">
      <w:pPr>
        <w:spacing w:after="120"/>
        <w:jc w:val="both"/>
        <w:rPr>
          <w:lang w:val="en-US"/>
        </w:rPr>
      </w:pPr>
      <w:proofErr w:type="gramStart"/>
      <w:r>
        <w:rPr>
          <w:lang w:val="en-US"/>
        </w:rPr>
        <w:t>The vast majority of</w:t>
      </w:r>
      <w:proofErr w:type="gramEnd"/>
      <w:r w:rsidR="000D1D99">
        <w:rPr>
          <w:lang w:val="en-US"/>
        </w:rPr>
        <w:t xml:space="preserve"> mutations</w:t>
      </w:r>
      <w:r>
        <w:rPr>
          <w:lang w:val="en-US"/>
        </w:rPr>
        <w:t xml:space="preserve"> occurring</w:t>
      </w:r>
      <w:r w:rsidR="000D1D99">
        <w:rPr>
          <w:lang w:val="en-US"/>
        </w:rPr>
        <w:t xml:space="preserve"> are effectively repaired.</w:t>
      </w:r>
      <w:r>
        <w:rPr>
          <w:lang w:val="en-US"/>
        </w:rPr>
        <w:t xml:space="preserve"> However, in some cases </w:t>
      </w:r>
      <w:r w:rsidR="00D80AF2">
        <w:rPr>
          <w:lang w:val="en-US"/>
        </w:rPr>
        <w:t>the</w:t>
      </w:r>
      <w:r>
        <w:rPr>
          <w:lang w:val="en-US"/>
        </w:rPr>
        <w:t xml:space="preserve"> mutation </w:t>
      </w:r>
      <w:r w:rsidR="008716AD">
        <w:rPr>
          <w:lang w:val="en-US"/>
        </w:rPr>
        <w:t>cannot</w:t>
      </w:r>
      <w:r w:rsidR="00D80AF2">
        <w:rPr>
          <w:lang w:val="en-US"/>
        </w:rPr>
        <w:t xml:space="preserve"> </w:t>
      </w:r>
      <w:r w:rsidR="008716AD">
        <w:rPr>
          <w:lang w:val="en-US"/>
        </w:rPr>
        <w:t xml:space="preserve">profit from a proper </w:t>
      </w:r>
      <w:r w:rsidR="00D80AF2">
        <w:rPr>
          <w:lang w:val="en-US"/>
        </w:rPr>
        <w:t>repair</w:t>
      </w:r>
      <w:r w:rsidR="008716AD">
        <w:rPr>
          <w:lang w:val="en-US"/>
        </w:rPr>
        <w:t xml:space="preserve"> which</w:t>
      </w:r>
      <w:r w:rsidR="00D80AF2">
        <w:rPr>
          <w:lang w:val="en-US"/>
        </w:rPr>
        <w:t xml:space="preserve"> could lead to cell apoptosis, senescence or challenge genome stability leading to various outcomes</w:t>
      </w:r>
      <w:r w:rsidR="00481201">
        <w:rPr>
          <w:lang w:val="en-US"/>
        </w:rPr>
        <w:t xml:space="preserve"> (</w:t>
      </w:r>
      <w:proofErr w:type="spellStart"/>
      <w:r w:rsidR="00481201">
        <w:rPr>
          <w:lang w:val="en-US"/>
        </w:rPr>
        <w:t>Hakem</w:t>
      </w:r>
      <w:proofErr w:type="spellEnd"/>
      <w:r w:rsidR="00481201">
        <w:rPr>
          <w:lang w:val="en-US"/>
        </w:rPr>
        <w:t>, 2008)</w:t>
      </w:r>
      <w:r w:rsidR="00D80AF2">
        <w:rPr>
          <w:lang w:val="en-US"/>
        </w:rPr>
        <w:t>.</w:t>
      </w:r>
      <w:bookmarkStart w:id="2" w:name="OLE_LINK3"/>
      <w:bookmarkStart w:id="3" w:name="OLE_LINK4"/>
      <w:r w:rsidR="00481201">
        <w:rPr>
          <w:lang w:val="en-US"/>
        </w:rPr>
        <w:t xml:space="preserve"> </w:t>
      </w:r>
      <w:r w:rsidR="00416F1C" w:rsidRPr="002D6441">
        <w:rPr>
          <w:lang w:val="en-US"/>
        </w:rPr>
        <w:t xml:space="preserve">Previous studies were able to elucidate </w:t>
      </w:r>
      <w:r w:rsidR="000175AF" w:rsidRPr="002D6441">
        <w:rPr>
          <w:lang w:val="en-US"/>
        </w:rPr>
        <w:t>several</w:t>
      </w:r>
      <w:r w:rsidR="00416F1C" w:rsidRPr="002D6441">
        <w:rPr>
          <w:lang w:val="en-US"/>
        </w:rPr>
        <w:t xml:space="preserve"> mutations’ consequences</w:t>
      </w:r>
      <w:r w:rsidR="00E950C7">
        <w:rPr>
          <w:lang w:val="en-US"/>
        </w:rPr>
        <w:t xml:space="preserve"> (</w:t>
      </w:r>
      <w:r w:rsidR="00412DED">
        <w:rPr>
          <w:lang w:val="en-US"/>
        </w:rPr>
        <w:t xml:space="preserve">Chin et al., 2011; </w:t>
      </w:r>
      <w:proofErr w:type="spellStart"/>
      <w:r w:rsidR="00E950C7">
        <w:rPr>
          <w:lang w:val="en-US"/>
        </w:rPr>
        <w:t>Poduri</w:t>
      </w:r>
      <w:proofErr w:type="spellEnd"/>
      <w:r w:rsidR="00E950C7">
        <w:rPr>
          <w:lang w:val="en-US"/>
        </w:rPr>
        <w:t xml:space="preserve"> </w:t>
      </w:r>
      <w:r w:rsidR="00E950C7">
        <w:rPr>
          <w:lang w:val="en-US"/>
        </w:rPr>
        <w:t xml:space="preserve">et al., 2013; </w:t>
      </w:r>
      <w:proofErr w:type="spellStart"/>
      <w:r w:rsidR="00E950C7" w:rsidRPr="00E950C7">
        <w:rPr>
          <w:lang w:val="en-US"/>
        </w:rPr>
        <w:t>Vuong</w:t>
      </w:r>
      <w:proofErr w:type="spellEnd"/>
      <w:r w:rsidR="00E950C7">
        <w:rPr>
          <w:lang w:val="en-US"/>
        </w:rPr>
        <w:t xml:space="preserve"> et al.,</w:t>
      </w:r>
      <w:r w:rsidR="00E950C7">
        <w:rPr>
          <w:lang w:val="en-US"/>
        </w:rPr>
        <w:t xml:space="preserve"> 2014)</w:t>
      </w:r>
      <w:r w:rsidR="00416F1C" w:rsidRPr="002D6441">
        <w:rPr>
          <w:lang w:val="en-US"/>
        </w:rPr>
        <w:t>, some of which are currently used as prognostics</w:t>
      </w:r>
      <w:r w:rsidR="007C76A2">
        <w:rPr>
          <w:lang w:val="en-US"/>
        </w:rPr>
        <w:t xml:space="preserve"> (</w:t>
      </w:r>
      <w:r w:rsidR="00B229EC">
        <w:rPr>
          <w:lang w:val="en-US"/>
        </w:rPr>
        <w:t xml:space="preserve">Olivier et al., 2011; </w:t>
      </w:r>
      <w:r w:rsidR="007C76A2">
        <w:rPr>
          <w:lang w:val="en-US"/>
        </w:rPr>
        <w:t>Griffith et al., 2018)</w:t>
      </w:r>
      <w:r w:rsidR="002D6441" w:rsidRPr="002D6441">
        <w:rPr>
          <w:lang w:val="en-US"/>
        </w:rPr>
        <w:t xml:space="preserve"> </w:t>
      </w:r>
      <w:r w:rsidR="002023DA">
        <w:rPr>
          <w:lang w:val="en-US"/>
        </w:rPr>
        <w:t>or</w:t>
      </w:r>
      <w:r w:rsidR="002D6441" w:rsidRPr="002D6441">
        <w:rPr>
          <w:lang w:val="en-US"/>
        </w:rPr>
        <w:t xml:space="preserve"> predictive</w:t>
      </w:r>
      <w:r w:rsidR="00337A91">
        <w:rPr>
          <w:lang w:val="en-US"/>
        </w:rPr>
        <w:t xml:space="preserve"> (</w:t>
      </w:r>
      <w:r w:rsidR="00337A91" w:rsidRPr="00337A91">
        <w:rPr>
          <w:lang w:val="en-US"/>
        </w:rPr>
        <w:t>Martin</w:t>
      </w:r>
      <w:r w:rsidR="00337A91">
        <w:rPr>
          <w:lang w:val="en-US"/>
        </w:rPr>
        <w:t xml:space="preserve"> et al., 2013)</w:t>
      </w:r>
      <w:r w:rsidR="002D6441" w:rsidRPr="002D6441">
        <w:rPr>
          <w:lang w:val="en-US"/>
        </w:rPr>
        <w:t xml:space="preserve"> </w:t>
      </w:r>
      <w:r w:rsidR="00416F1C" w:rsidRPr="002D6441">
        <w:rPr>
          <w:lang w:val="en-US"/>
        </w:rPr>
        <w:t>markers</w:t>
      </w:r>
      <w:r w:rsidR="00004D06" w:rsidRPr="002D6441">
        <w:rPr>
          <w:lang w:val="en-US"/>
        </w:rPr>
        <w:t xml:space="preserve">. As an </w:t>
      </w:r>
      <w:r w:rsidR="00517D6A" w:rsidRPr="002D6441">
        <w:rPr>
          <w:lang w:val="en-US"/>
        </w:rPr>
        <w:t>example,</w:t>
      </w:r>
      <w:r w:rsidR="00517D6A">
        <w:rPr>
          <w:lang w:val="en-US"/>
        </w:rPr>
        <w:t xml:space="preserve"> </w:t>
      </w:r>
      <w:r w:rsidR="00011E76">
        <w:rPr>
          <w:lang w:val="en-US"/>
        </w:rPr>
        <w:t>breast cancer patients with BRCA1 mutations were found to exhibit a significantly worse survival rate over a period of ten years compared to patients without BRCA1 mutations (</w:t>
      </w:r>
      <w:proofErr w:type="spellStart"/>
      <w:r w:rsidR="00011E76">
        <w:rPr>
          <w:lang w:val="en-US"/>
        </w:rPr>
        <w:t>Hu</w:t>
      </w:r>
      <w:r w:rsidR="00011E76" w:rsidRPr="00011E76">
        <w:rPr>
          <w:lang w:val="en-US"/>
        </w:rPr>
        <w:t>szno</w:t>
      </w:r>
      <w:proofErr w:type="spellEnd"/>
      <w:r w:rsidR="00011E76">
        <w:rPr>
          <w:lang w:val="en-US"/>
        </w:rPr>
        <w:t xml:space="preserve"> et al., 2019).</w:t>
      </w:r>
      <w:bookmarkEnd w:id="2"/>
      <w:bookmarkEnd w:id="3"/>
      <w:r w:rsidR="007765D5">
        <w:rPr>
          <w:lang w:val="en-US"/>
        </w:rPr>
        <w:t xml:space="preserve"> </w:t>
      </w:r>
      <w:r w:rsidR="000175AF">
        <w:rPr>
          <w:lang w:val="en-US"/>
        </w:rPr>
        <w:t>Despite the advances made in terms of understanding the consequences of mutations</w:t>
      </w:r>
      <w:r w:rsidR="000B362D">
        <w:rPr>
          <w:lang w:val="en-US"/>
        </w:rPr>
        <w:t xml:space="preserve">, </w:t>
      </w:r>
      <w:r w:rsidR="000175AF">
        <w:rPr>
          <w:lang w:val="en-US"/>
        </w:rPr>
        <w:t>there is</w:t>
      </w:r>
      <w:r w:rsidR="000B362D">
        <w:rPr>
          <w:lang w:val="en-US"/>
        </w:rPr>
        <w:t xml:space="preserve"> still </w:t>
      </w:r>
      <w:r w:rsidR="000175AF">
        <w:rPr>
          <w:lang w:val="en-US"/>
        </w:rPr>
        <w:t>a lack of</w:t>
      </w:r>
      <w:r w:rsidR="000B362D">
        <w:rPr>
          <w:lang w:val="en-US"/>
        </w:rPr>
        <w:t xml:space="preserve"> understanding </w:t>
      </w:r>
      <w:r w:rsidR="00DE2C26">
        <w:rPr>
          <w:lang w:val="en-US"/>
        </w:rPr>
        <w:t xml:space="preserve">of </w:t>
      </w:r>
      <w:r w:rsidR="008716AD">
        <w:rPr>
          <w:lang w:val="en-US"/>
        </w:rPr>
        <w:t>the reason</w:t>
      </w:r>
      <w:r w:rsidR="00DE2C26">
        <w:rPr>
          <w:lang w:val="en-US"/>
        </w:rPr>
        <w:t>s</w:t>
      </w:r>
      <w:r w:rsidR="008716AD">
        <w:rPr>
          <w:lang w:val="en-US"/>
        </w:rPr>
        <w:t xml:space="preserve"> behind</w:t>
      </w:r>
      <w:r w:rsidR="000B362D">
        <w:rPr>
          <w:lang w:val="en-US"/>
        </w:rPr>
        <w:t xml:space="preserve"> these mutations</w:t>
      </w:r>
      <w:r w:rsidR="004518AF">
        <w:rPr>
          <w:lang w:val="en-US"/>
        </w:rPr>
        <w:t xml:space="preserve"> in the first place</w:t>
      </w:r>
      <w:r w:rsidR="000B362D">
        <w:rPr>
          <w:lang w:val="en-US"/>
        </w:rPr>
        <w:t xml:space="preserve">. </w:t>
      </w:r>
    </w:p>
    <w:p w14:paraId="5F8A7FF3" w14:textId="477ED849" w:rsidR="005A5EEA" w:rsidRDefault="00A85D0B" w:rsidP="008716AD">
      <w:pPr>
        <w:spacing w:after="120"/>
        <w:ind w:firstLine="708"/>
        <w:jc w:val="both"/>
        <w:rPr>
          <w:lang w:val="en-US"/>
        </w:rPr>
      </w:pPr>
      <w:r>
        <w:rPr>
          <w:lang w:val="en-US"/>
        </w:rPr>
        <w:t>Owing to</w:t>
      </w:r>
      <w:r w:rsidR="00B03954">
        <w:rPr>
          <w:lang w:val="en-US"/>
        </w:rPr>
        <w:t xml:space="preserve"> large scale</w:t>
      </w:r>
      <w:r>
        <w:rPr>
          <w:lang w:val="en-US"/>
        </w:rPr>
        <w:t xml:space="preserve"> sequencing </w:t>
      </w:r>
      <w:r w:rsidR="004518AF">
        <w:rPr>
          <w:lang w:val="en-US"/>
        </w:rPr>
        <w:t>initiatives</w:t>
      </w:r>
      <w:r>
        <w:rPr>
          <w:lang w:val="en-US"/>
        </w:rPr>
        <w:t xml:space="preserve"> such as T</w:t>
      </w:r>
      <w:r w:rsidR="00075052">
        <w:rPr>
          <w:lang w:val="en-US"/>
        </w:rPr>
        <w:t xml:space="preserve">he </w:t>
      </w:r>
      <w:r>
        <w:rPr>
          <w:lang w:val="en-US"/>
        </w:rPr>
        <w:t>C</w:t>
      </w:r>
      <w:r w:rsidR="00075052">
        <w:rPr>
          <w:lang w:val="en-US"/>
        </w:rPr>
        <w:t xml:space="preserve">ancer </w:t>
      </w:r>
      <w:r>
        <w:rPr>
          <w:lang w:val="en-US"/>
        </w:rPr>
        <w:t>G</w:t>
      </w:r>
      <w:r w:rsidR="00075052">
        <w:rPr>
          <w:lang w:val="en-US"/>
        </w:rPr>
        <w:t xml:space="preserve">enome </w:t>
      </w:r>
      <w:r>
        <w:rPr>
          <w:lang w:val="en-US"/>
        </w:rPr>
        <w:t>A</w:t>
      </w:r>
      <w:r w:rsidR="00075052">
        <w:rPr>
          <w:lang w:val="en-US"/>
        </w:rPr>
        <w:t xml:space="preserve">tlas </w:t>
      </w:r>
      <w:r w:rsidR="007765D5">
        <w:rPr>
          <w:lang w:val="en-US"/>
        </w:rPr>
        <w:t>-</w:t>
      </w:r>
      <w:r w:rsidR="00075052">
        <w:rPr>
          <w:lang w:val="en-US"/>
        </w:rPr>
        <w:t>TCGA</w:t>
      </w:r>
      <w:r w:rsidR="007765D5">
        <w:rPr>
          <w:lang w:val="en-US"/>
        </w:rPr>
        <w:t>-</w:t>
      </w:r>
      <w:r>
        <w:rPr>
          <w:lang w:val="en-US"/>
        </w:rPr>
        <w:t xml:space="preserve"> and P</w:t>
      </w:r>
      <w:r w:rsidR="00075052">
        <w:rPr>
          <w:lang w:val="en-US"/>
        </w:rPr>
        <w:t>an-</w:t>
      </w:r>
      <w:r>
        <w:rPr>
          <w:lang w:val="en-US"/>
        </w:rPr>
        <w:t>C</w:t>
      </w:r>
      <w:r w:rsidR="00075052">
        <w:rPr>
          <w:lang w:val="en-US"/>
        </w:rPr>
        <w:t xml:space="preserve">ancer </w:t>
      </w:r>
      <w:r>
        <w:rPr>
          <w:lang w:val="en-US"/>
        </w:rPr>
        <w:t>A</w:t>
      </w:r>
      <w:r w:rsidR="00075052">
        <w:rPr>
          <w:lang w:val="en-US"/>
        </w:rPr>
        <w:t xml:space="preserve">nalysis of </w:t>
      </w:r>
      <w:r>
        <w:rPr>
          <w:lang w:val="en-US"/>
        </w:rPr>
        <w:t>W</w:t>
      </w:r>
      <w:r w:rsidR="00075052">
        <w:rPr>
          <w:lang w:val="en-US"/>
        </w:rPr>
        <w:t xml:space="preserve">hole </w:t>
      </w:r>
      <w:r>
        <w:rPr>
          <w:lang w:val="en-US"/>
        </w:rPr>
        <w:t>G</w:t>
      </w:r>
      <w:r w:rsidR="00075052">
        <w:rPr>
          <w:lang w:val="en-US"/>
        </w:rPr>
        <w:t>enome</w:t>
      </w:r>
      <w:r w:rsidR="007765D5">
        <w:rPr>
          <w:lang w:val="en-US"/>
        </w:rPr>
        <w:t xml:space="preserve"> -PCAWG-</w:t>
      </w:r>
      <w:r w:rsidR="00075052">
        <w:rPr>
          <w:lang w:val="en-US"/>
        </w:rPr>
        <w:t xml:space="preserve"> (</w:t>
      </w:r>
      <w:r w:rsidR="00075052" w:rsidRPr="00075052">
        <w:rPr>
          <w:lang w:val="en-US"/>
        </w:rPr>
        <w:t>ICGC/TCGA</w:t>
      </w:r>
      <w:r w:rsidR="00F46836">
        <w:rPr>
          <w:lang w:val="en-US"/>
        </w:rPr>
        <w:t>,</w:t>
      </w:r>
      <w:r w:rsidR="00075052">
        <w:rPr>
          <w:lang w:val="en-US"/>
        </w:rPr>
        <w:t xml:space="preserve"> 2020)</w:t>
      </w:r>
      <w:r w:rsidR="000B362D">
        <w:rPr>
          <w:lang w:val="en-US"/>
        </w:rPr>
        <w:t>, thousan</w:t>
      </w:r>
      <w:r w:rsidR="008C2ED2">
        <w:rPr>
          <w:lang w:val="en-US"/>
        </w:rPr>
        <w:t>d</w:t>
      </w:r>
      <w:r w:rsidR="000B362D">
        <w:rPr>
          <w:lang w:val="en-US"/>
        </w:rPr>
        <w:t xml:space="preserve">s of cancer mutational catalogs were obtained spanning most of the cancer types, thus offering the unique opportunity to extract the mutational patterns left by the mutational </w:t>
      </w:r>
      <w:proofErr w:type="gramStart"/>
      <w:r w:rsidR="000B362D">
        <w:rPr>
          <w:lang w:val="en-US"/>
        </w:rPr>
        <w:t>processes</w:t>
      </w:r>
      <w:proofErr w:type="gramEnd"/>
      <w:r w:rsidR="000B362D">
        <w:rPr>
          <w:lang w:val="en-US"/>
        </w:rPr>
        <w:t xml:space="preserve"> operative in cancer</w:t>
      </w:r>
      <w:r w:rsidR="007765D5">
        <w:rPr>
          <w:lang w:val="en-US"/>
        </w:rPr>
        <w:t>.</w:t>
      </w:r>
      <w:r w:rsidR="00F610E8">
        <w:rPr>
          <w:lang w:val="en-US"/>
        </w:rPr>
        <w:t xml:space="preserve"> </w:t>
      </w:r>
      <w:r w:rsidR="004518AF">
        <w:rPr>
          <w:lang w:val="en-US"/>
        </w:rPr>
        <w:t>These mutational patterns are usually referred to as mutational signatures</w:t>
      </w:r>
      <w:r w:rsidR="004507FE">
        <w:rPr>
          <w:lang w:val="en-US"/>
        </w:rPr>
        <w:t>,</w:t>
      </w:r>
      <w:r w:rsidR="007765D5">
        <w:rPr>
          <w:lang w:val="en-US"/>
        </w:rPr>
        <w:t xml:space="preserve"> which can be viewed as </w:t>
      </w:r>
      <w:r w:rsidR="00322E2D">
        <w:rPr>
          <w:lang w:val="en-US"/>
        </w:rPr>
        <w:t xml:space="preserve">a probability mass function of a multinomial distribution for context-based mutation types. </w:t>
      </w:r>
      <w:r w:rsidR="00134B87">
        <w:rPr>
          <w:lang w:val="en-US"/>
        </w:rPr>
        <w:t>Frequently six mutation types are used [</w:t>
      </w:r>
      <w:r w:rsidR="00134B87" w:rsidRPr="00134B87">
        <w:rPr>
          <w:lang w:val="en-US"/>
        </w:rPr>
        <w:t>C&gt;A</w:t>
      </w:r>
      <w:r w:rsidR="00134B87">
        <w:rPr>
          <w:lang w:val="en-US"/>
        </w:rPr>
        <w:t xml:space="preserve">, </w:t>
      </w:r>
      <w:r w:rsidR="00134B87" w:rsidRPr="00134B87">
        <w:rPr>
          <w:lang w:val="en-US"/>
        </w:rPr>
        <w:t>C&gt;</w:t>
      </w:r>
      <w:r w:rsidR="00134B87">
        <w:rPr>
          <w:lang w:val="en-US"/>
        </w:rPr>
        <w:t xml:space="preserve">G, </w:t>
      </w:r>
      <w:r w:rsidR="00134B87" w:rsidRPr="00134B87">
        <w:rPr>
          <w:lang w:val="en-US"/>
        </w:rPr>
        <w:t>C&gt;</w:t>
      </w:r>
      <w:r w:rsidR="00134B87">
        <w:rPr>
          <w:lang w:val="en-US"/>
        </w:rPr>
        <w:t xml:space="preserve">T, </w:t>
      </w:r>
      <w:r w:rsidR="00134B87" w:rsidRPr="00134B87">
        <w:rPr>
          <w:lang w:val="en-US"/>
        </w:rPr>
        <w:t>T&gt;A</w:t>
      </w:r>
      <w:r w:rsidR="00134B87">
        <w:rPr>
          <w:lang w:val="en-US"/>
        </w:rPr>
        <w:t xml:space="preserve">, </w:t>
      </w:r>
      <w:r w:rsidR="00134B87" w:rsidRPr="00134B87">
        <w:rPr>
          <w:lang w:val="en-US"/>
        </w:rPr>
        <w:t>T&gt;</w:t>
      </w:r>
      <w:r w:rsidR="00134B87">
        <w:rPr>
          <w:lang w:val="en-US"/>
        </w:rPr>
        <w:t xml:space="preserve">C, </w:t>
      </w:r>
      <w:r w:rsidR="00134B87" w:rsidRPr="00134B87">
        <w:rPr>
          <w:lang w:val="en-US"/>
        </w:rPr>
        <w:t>T&gt;</w:t>
      </w:r>
      <w:r w:rsidR="00134B87">
        <w:rPr>
          <w:lang w:val="en-US"/>
        </w:rPr>
        <w:t>G] plus the flanking 5’ and 3’ bases yielding 96 mutation type (Alexandrov et al., 20</w:t>
      </w:r>
      <w:r w:rsidR="009E4B51">
        <w:rPr>
          <w:lang w:val="en-US"/>
        </w:rPr>
        <w:t>13</w:t>
      </w:r>
      <w:r w:rsidR="00134B87">
        <w:rPr>
          <w:lang w:val="en-US"/>
        </w:rPr>
        <w:t>).</w:t>
      </w:r>
      <w:r w:rsidR="00F610E8">
        <w:rPr>
          <w:lang w:val="en-US"/>
        </w:rPr>
        <w:t xml:space="preserve"> </w:t>
      </w:r>
      <w:r w:rsidR="004507FE">
        <w:rPr>
          <w:lang w:val="en-US"/>
        </w:rPr>
        <w:t>I</w:t>
      </w:r>
      <w:r w:rsidR="004518AF">
        <w:rPr>
          <w:lang w:val="en-US"/>
        </w:rPr>
        <w:t xml:space="preserve">t is hypothesized that every signature is an imprint of a mutational process that was operative in the cancer cell. Thus, a mutational catalog is regarded as the combination of mutations generated by these mutational </w:t>
      </w:r>
      <w:r w:rsidR="004507FE">
        <w:rPr>
          <w:lang w:val="en-US"/>
        </w:rPr>
        <w:t>processe</w:t>
      </w:r>
      <w:r w:rsidR="004518AF">
        <w:rPr>
          <w:lang w:val="en-US"/>
        </w:rPr>
        <w:t>s</w:t>
      </w:r>
      <w:r w:rsidR="004507FE">
        <w:rPr>
          <w:lang w:val="en-US"/>
        </w:rPr>
        <w:t xml:space="preserve"> that are represented by the mutational signatures </w:t>
      </w:r>
      <w:r w:rsidR="00F610E8">
        <w:rPr>
          <w:lang w:val="en-US"/>
        </w:rPr>
        <w:t>(</w:t>
      </w:r>
      <w:r w:rsidR="00F610E8">
        <w:rPr>
          <w:lang w:val="en-US"/>
        </w:rPr>
        <w:t>Alexandrov et al., 20</w:t>
      </w:r>
      <w:r w:rsidR="00F610E8">
        <w:rPr>
          <w:lang w:val="en-US"/>
        </w:rPr>
        <w:t>13).</w:t>
      </w:r>
      <w:r w:rsidR="008716AD">
        <w:rPr>
          <w:lang w:val="en-US"/>
        </w:rPr>
        <w:t xml:space="preserve"> </w:t>
      </w:r>
      <w:r w:rsidR="00902247">
        <w:rPr>
          <w:lang w:val="en-US"/>
        </w:rPr>
        <w:t>In 2013 Alexandrov and colleagues published the first m</w:t>
      </w:r>
      <w:r w:rsidR="000175AF">
        <w:rPr>
          <w:lang w:val="en-US"/>
        </w:rPr>
        <w:t xml:space="preserve">athematical </w:t>
      </w:r>
      <w:r w:rsidR="00902247">
        <w:rPr>
          <w:lang w:val="en-US"/>
        </w:rPr>
        <w:t>approach</w:t>
      </w:r>
      <w:r w:rsidR="000175AF">
        <w:rPr>
          <w:lang w:val="en-US"/>
        </w:rPr>
        <w:t xml:space="preserve"> </w:t>
      </w:r>
      <w:r w:rsidR="00B03954">
        <w:rPr>
          <w:lang w:val="en-US"/>
        </w:rPr>
        <w:t xml:space="preserve">for </w:t>
      </w:r>
      <w:r w:rsidR="00902247">
        <w:rPr>
          <w:lang w:val="en-US"/>
        </w:rPr>
        <w:t>decipher</w:t>
      </w:r>
      <w:r w:rsidR="00B03954">
        <w:rPr>
          <w:lang w:val="en-US"/>
        </w:rPr>
        <w:t>ing</w:t>
      </w:r>
      <w:r w:rsidR="00902247">
        <w:rPr>
          <w:lang w:val="en-US"/>
        </w:rPr>
        <w:t xml:space="preserve"> </w:t>
      </w:r>
      <w:r w:rsidR="000175AF">
        <w:rPr>
          <w:lang w:val="en-US"/>
        </w:rPr>
        <w:t>the mutational signatures operating in each cancer type</w:t>
      </w:r>
      <w:r w:rsidR="00902247">
        <w:rPr>
          <w:lang w:val="en-US"/>
        </w:rPr>
        <w:t xml:space="preserve">, this method is currently known as </w:t>
      </w:r>
      <w:proofErr w:type="spellStart"/>
      <w:r w:rsidR="00902247">
        <w:rPr>
          <w:lang w:val="en-US"/>
        </w:rPr>
        <w:t>SigProfiler</w:t>
      </w:r>
      <w:proofErr w:type="spellEnd"/>
      <w:r w:rsidR="004507FE">
        <w:rPr>
          <w:lang w:val="en-US"/>
        </w:rPr>
        <w:t xml:space="preserve"> </w:t>
      </w:r>
      <w:r w:rsidR="008716AD">
        <w:rPr>
          <w:lang w:val="en-US"/>
        </w:rPr>
        <w:t>(</w:t>
      </w:r>
      <w:r w:rsidR="008716AD">
        <w:rPr>
          <w:lang w:val="en-US"/>
        </w:rPr>
        <w:t>Alexandrov et al., 2013</w:t>
      </w:r>
      <w:r w:rsidR="008716AD">
        <w:rPr>
          <w:lang w:val="en-US"/>
        </w:rPr>
        <w:t xml:space="preserve">) </w:t>
      </w:r>
      <w:r w:rsidR="004507FE">
        <w:rPr>
          <w:lang w:val="en-US"/>
        </w:rPr>
        <w:t>and is the one used to extract the reference signatures that are available at</w:t>
      </w:r>
      <w:r w:rsidR="00DE2C26">
        <w:rPr>
          <w:lang w:val="en-US"/>
        </w:rPr>
        <w:t xml:space="preserve"> the</w:t>
      </w:r>
      <w:r w:rsidR="004507FE">
        <w:rPr>
          <w:lang w:val="en-US"/>
        </w:rPr>
        <w:t xml:space="preserve"> C</w:t>
      </w:r>
      <w:r w:rsidR="00F610E8">
        <w:rPr>
          <w:lang w:val="en-US"/>
        </w:rPr>
        <w:t xml:space="preserve">atalog </w:t>
      </w:r>
      <w:proofErr w:type="gramStart"/>
      <w:r w:rsidR="004507FE">
        <w:rPr>
          <w:lang w:val="en-US"/>
        </w:rPr>
        <w:t>O</w:t>
      </w:r>
      <w:r w:rsidR="00F610E8">
        <w:rPr>
          <w:lang w:val="en-US"/>
        </w:rPr>
        <w:t>f</w:t>
      </w:r>
      <w:proofErr w:type="gramEnd"/>
      <w:r w:rsidR="00F610E8">
        <w:rPr>
          <w:lang w:val="en-US"/>
        </w:rPr>
        <w:t xml:space="preserve"> </w:t>
      </w:r>
      <w:r w:rsidR="004507FE">
        <w:rPr>
          <w:lang w:val="en-US"/>
        </w:rPr>
        <w:t>S</w:t>
      </w:r>
      <w:r w:rsidR="00F610E8">
        <w:rPr>
          <w:lang w:val="en-US"/>
        </w:rPr>
        <w:t xml:space="preserve">omatic </w:t>
      </w:r>
      <w:r w:rsidR="004507FE">
        <w:rPr>
          <w:lang w:val="en-US"/>
        </w:rPr>
        <w:t>M</w:t>
      </w:r>
      <w:r w:rsidR="00F610E8">
        <w:rPr>
          <w:lang w:val="en-US"/>
        </w:rPr>
        <w:t xml:space="preserve">utations </w:t>
      </w:r>
      <w:r w:rsidR="004507FE">
        <w:rPr>
          <w:lang w:val="en-US"/>
        </w:rPr>
        <w:t>I</w:t>
      </w:r>
      <w:r w:rsidR="00F610E8">
        <w:rPr>
          <w:lang w:val="en-US"/>
        </w:rPr>
        <w:t xml:space="preserve">n </w:t>
      </w:r>
      <w:r w:rsidR="004507FE">
        <w:rPr>
          <w:lang w:val="en-US"/>
        </w:rPr>
        <w:t>C</w:t>
      </w:r>
      <w:r w:rsidR="00F610E8">
        <w:rPr>
          <w:lang w:val="en-US"/>
        </w:rPr>
        <w:t>ancer -COSMIC-</w:t>
      </w:r>
      <w:r w:rsidR="00A91453">
        <w:rPr>
          <w:lang w:val="en-US"/>
        </w:rPr>
        <w:t xml:space="preserve"> </w:t>
      </w:r>
      <w:r w:rsidR="00A91453">
        <w:rPr>
          <w:lang w:val="en-US"/>
        </w:rPr>
        <w:t>(</w:t>
      </w:r>
      <w:r w:rsidR="00A91453" w:rsidRPr="00A91453">
        <w:rPr>
          <w:lang w:val="en-US"/>
        </w:rPr>
        <w:t>Tate</w:t>
      </w:r>
      <w:r w:rsidR="00A91453">
        <w:rPr>
          <w:lang w:val="en-US"/>
        </w:rPr>
        <w:t xml:space="preserve"> et al., 2019</w:t>
      </w:r>
      <w:r w:rsidR="00A91453">
        <w:rPr>
          <w:lang w:val="en-US"/>
        </w:rPr>
        <w:t>).</w:t>
      </w:r>
      <w:r w:rsidR="00A91453">
        <w:rPr>
          <w:lang w:val="en-US"/>
        </w:rPr>
        <w:t xml:space="preserve"> </w:t>
      </w:r>
      <w:r w:rsidR="00902247">
        <w:rPr>
          <w:lang w:val="en-US"/>
        </w:rPr>
        <w:t xml:space="preserve">Since then, several other tools were developed for the same purpose </w:t>
      </w:r>
      <w:r w:rsidR="00F10D75">
        <w:rPr>
          <w:lang w:val="en-US"/>
        </w:rPr>
        <w:t>(</w:t>
      </w:r>
      <w:r w:rsidR="008716AD">
        <w:rPr>
          <w:lang w:val="en-US"/>
        </w:rPr>
        <w:t xml:space="preserve">See </w:t>
      </w:r>
      <w:proofErr w:type="spellStart"/>
      <w:r w:rsidR="00F10D75" w:rsidRPr="00F10D75">
        <w:rPr>
          <w:lang w:val="en-US"/>
        </w:rPr>
        <w:t>Omichessan</w:t>
      </w:r>
      <w:proofErr w:type="spellEnd"/>
      <w:r w:rsidR="00F10D75">
        <w:rPr>
          <w:lang w:val="en-US"/>
        </w:rPr>
        <w:t xml:space="preserve"> et al., 2019</w:t>
      </w:r>
      <w:r w:rsidR="008716AD">
        <w:rPr>
          <w:lang w:val="en-US"/>
        </w:rPr>
        <w:t xml:space="preserve"> for a comprehensive list of tools</w:t>
      </w:r>
      <w:r w:rsidR="00F10D75">
        <w:rPr>
          <w:lang w:val="en-US"/>
        </w:rPr>
        <w:t xml:space="preserve">). </w:t>
      </w:r>
      <w:r w:rsidR="005A5EEA">
        <w:rPr>
          <w:lang w:val="en-US"/>
        </w:rPr>
        <w:t xml:space="preserve">The largest study in this sense was also performed by Alexandrov and colleagues in 2020. It yielded 49 single base substitutions </w:t>
      </w:r>
      <w:r w:rsidR="005A5EEA">
        <w:rPr>
          <w:lang w:val="en-US"/>
        </w:rPr>
        <w:t>signatures</w:t>
      </w:r>
      <w:r w:rsidR="005A5EEA">
        <w:rPr>
          <w:lang w:val="en-US"/>
        </w:rPr>
        <w:t xml:space="preserve"> (SBS), 11 doublet base substitutions </w:t>
      </w:r>
      <w:r w:rsidR="005A5EEA">
        <w:rPr>
          <w:lang w:val="en-US"/>
        </w:rPr>
        <w:t>signatures</w:t>
      </w:r>
      <w:r w:rsidR="005A5EEA">
        <w:rPr>
          <w:lang w:val="en-US"/>
        </w:rPr>
        <w:t xml:space="preserve"> (DBS), and 17 insertion-deletion </w:t>
      </w:r>
      <w:r w:rsidR="005A5EEA">
        <w:rPr>
          <w:lang w:val="en-US"/>
        </w:rPr>
        <w:lastRenderedPageBreak/>
        <w:t xml:space="preserve">signatures (INDELS). Some of these signatures are of known </w:t>
      </w:r>
      <w:proofErr w:type="spellStart"/>
      <w:r w:rsidR="005A5EEA">
        <w:rPr>
          <w:lang w:val="en-US"/>
        </w:rPr>
        <w:t>aetiology</w:t>
      </w:r>
      <w:proofErr w:type="spellEnd"/>
      <w:r w:rsidR="005A5EEA">
        <w:rPr>
          <w:lang w:val="en-US"/>
        </w:rPr>
        <w:t xml:space="preserve"> while many remain ambiguous </w:t>
      </w:r>
      <w:r w:rsidR="00F10D75">
        <w:rPr>
          <w:lang w:val="en-US"/>
        </w:rPr>
        <w:t>(Alexandrov et al., 2020).</w:t>
      </w:r>
    </w:p>
    <w:p w14:paraId="7445BDD2" w14:textId="6695E4DE" w:rsidR="00DF0624" w:rsidRDefault="00DF0624" w:rsidP="00374503">
      <w:pPr>
        <w:ind w:firstLine="708"/>
        <w:jc w:val="both"/>
        <w:rPr>
          <w:lang w:val="en-US"/>
        </w:rPr>
      </w:pPr>
      <w:r>
        <w:rPr>
          <w:lang w:val="en-US"/>
        </w:rPr>
        <w:t xml:space="preserve">Replication stress is a phenomenon that can challenge the genome stability through interference with replication fork progression. Replication stress can be originated from different events that could be endogenous or exogenous. Namely, DNA lesions, misincorporation of ribonucleotides, unusual DNA structures, conflicts between replication and transcription machineries as well as other </w:t>
      </w:r>
      <w:r w:rsidR="00F54EBD">
        <w:rPr>
          <w:lang w:val="en-US"/>
        </w:rPr>
        <w:t xml:space="preserve">sources </w:t>
      </w:r>
      <w:bookmarkStart w:id="4" w:name="OLE_LINK17"/>
      <w:bookmarkStart w:id="5" w:name="OLE_LINK18"/>
      <w:r w:rsidR="00F54EBD">
        <w:rPr>
          <w:lang w:val="en-US"/>
        </w:rPr>
        <w:t xml:space="preserve">(Zeman and </w:t>
      </w:r>
      <w:proofErr w:type="spellStart"/>
      <w:r w:rsidR="00F54EBD">
        <w:rPr>
          <w:lang w:val="en-US"/>
        </w:rPr>
        <w:t>Cimprich</w:t>
      </w:r>
      <w:proofErr w:type="spellEnd"/>
      <w:r w:rsidR="00F54EBD">
        <w:rPr>
          <w:lang w:val="en-US"/>
        </w:rPr>
        <w:t>, 2014).</w:t>
      </w:r>
      <w:bookmarkEnd w:id="4"/>
      <w:bookmarkEnd w:id="5"/>
    </w:p>
    <w:p w14:paraId="383830BB" w14:textId="7EF5D923" w:rsidR="00374503" w:rsidRDefault="00AD2363" w:rsidP="00374503">
      <w:pPr>
        <w:ind w:firstLine="708"/>
        <w:jc w:val="both"/>
        <w:rPr>
          <w:lang w:val="en-US"/>
        </w:rPr>
      </w:pPr>
      <w:r>
        <w:rPr>
          <w:lang w:val="en-US"/>
        </w:rPr>
        <w:t>Replication stress</w:t>
      </w:r>
      <w:r w:rsidR="00F02DBF">
        <w:rPr>
          <w:lang w:val="en-US"/>
        </w:rPr>
        <w:t xml:space="preserve"> response</w:t>
      </w:r>
      <w:r>
        <w:rPr>
          <w:lang w:val="en-US"/>
        </w:rPr>
        <w:t xml:space="preserve"> involve many </w:t>
      </w:r>
      <w:r w:rsidR="00F02DBF">
        <w:rPr>
          <w:lang w:val="en-US"/>
        </w:rPr>
        <w:t xml:space="preserve">pathways themselves include several </w:t>
      </w:r>
      <w:r>
        <w:rPr>
          <w:lang w:val="en-US"/>
        </w:rPr>
        <w:t>components</w:t>
      </w:r>
      <w:r w:rsidR="00E97BA5">
        <w:rPr>
          <w:lang w:val="en-US"/>
        </w:rPr>
        <w:t>. A depletion of one of these components or a malfunctioning will lead to an unresolved replication stress which could increase the chances of mutation occurrence</w:t>
      </w:r>
      <w:r w:rsidR="00DB56DD">
        <w:rPr>
          <w:lang w:val="en-US"/>
        </w:rPr>
        <w:t xml:space="preserve"> </w:t>
      </w:r>
      <w:r w:rsidR="00DB56DD">
        <w:rPr>
          <w:lang w:val="en-US"/>
        </w:rPr>
        <w:t xml:space="preserve">(Zeman and </w:t>
      </w:r>
      <w:proofErr w:type="spellStart"/>
      <w:r w:rsidR="00DB56DD">
        <w:rPr>
          <w:lang w:val="en-US"/>
        </w:rPr>
        <w:t>Cimprich</w:t>
      </w:r>
      <w:proofErr w:type="spellEnd"/>
      <w:r w:rsidR="00DB56DD">
        <w:rPr>
          <w:lang w:val="en-US"/>
        </w:rPr>
        <w:t>, 2014).</w:t>
      </w:r>
      <w:r w:rsidR="00E97BA5">
        <w:rPr>
          <w:lang w:val="en-US"/>
        </w:rPr>
        <w:t xml:space="preserve"> Such perturbations could impact the mutational </w:t>
      </w:r>
      <w:r w:rsidR="00894FE0">
        <w:rPr>
          <w:lang w:val="en-US"/>
        </w:rPr>
        <w:t>catalog;</w:t>
      </w:r>
      <w:r w:rsidR="00E97BA5">
        <w:rPr>
          <w:lang w:val="en-US"/>
        </w:rPr>
        <w:t xml:space="preserve"> </w:t>
      </w:r>
      <w:r w:rsidR="00EB0D50">
        <w:rPr>
          <w:lang w:val="en-US"/>
        </w:rPr>
        <w:t>thus,</w:t>
      </w:r>
      <w:r w:rsidR="00E97BA5">
        <w:rPr>
          <w:lang w:val="en-US"/>
        </w:rPr>
        <w:t xml:space="preserve"> the</w:t>
      </w:r>
      <w:r w:rsidR="00894FE0">
        <w:rPr>
          <w:lang w:val="en-US"/>
        </w:rPr>
        <w:t>y could leave</w:t>
      </w:r>
      <w:r w:rsidR="00E97BA5">
        <w:rPr>
          <w:lang w:val="en-US"/>
        </w:rPr>
        <w:t xml:space="preserve"> mutational </w:t>
      </w:r>
      <w:r w:rsidR="00894FE0">
        <w:rPr>
          <w:lang w:val="en-US"/>
        </w:rPr>
        <w:t>imprints</w:t>
      </w:r>
      <w:r w:rsidR="00E97BA5">
        <w:rPr>
          <w:lang w:val="en-US"/>
        </w:rPr>
        <w:t>, and they</w:t>
      </w:r>
      <w:r>
        <w:rPr>
          <w:lang w:val="en-US"/>
        </w:rPr>
        <w:t xml:space="preserve"> could be considered as</w:t>
      </w:r>
      <w:r w:rsidR="00E97BA5">
        <w:rPr>
          <w:lang w:val="en-US"/>
        </w:rPr>
        <w:t xml:space="preserve"> potential</w:t>
      </w:r>
      <w:r>
        <w:rPr>
          <w:lang w:val="en-US"/>
        </w:rPr>
        <w:t xml:space="preserve"> </w:t>
      </w:r>
      <w:proofErr w:type="spellStart"/>
      <w:r>
        <w:rPr>
          <w:lang w:val="en-US"/>
        </w:rPr>
        <w:t>aetiologies</w:t>
      </w:r>
      <w:proofErr w:type="spellEnd"/>
      <w:r w:rsidR="00F02DBF">
        <w:rPr>
          <w:lang w:val="en-US"/>
        </w:rPr>
        <w:t>.</w:t>
      </w:r>
    </w:p>
    <w:p w14:paraId="179D47BA" w14:textId="3B786799" w:rsidR="008C5091" w:rsidRDefault="008C5091" w:rsidP="008C5091">
      <w:pPr>
        <w:ind w:firstLine="708"/>
        <w:jc w:val="both"/>
        <w:rPr>
          <w:lang w:val="en-US"/>
        </w:rPr>
      </w:pPr>
      <w:r>
        <w:rPr>
          <w:lang w:val="en-US"/>
        </w:rPr>
        <w:t>Previous studies have identified an asymmetrical distribution of mutations along the strands</w:t>
      </w:r>
      <w:r w:rsidR="00DB56DD">
        <w:rPr>
          <w:lang w:val="en-US"/>
        </w:rPr>
        <w:t xml:space="preserve">. This asymmetry can be divided into transcriptional asymmetry observed mainly with mutations originating from UV lights and smoking, and a replicative asymmetry observed with POLE, APOBEC and MSI associated mutations (Nicholas et al., 2015). </w:t>
      </w:r>
      <w:r>
        <w:rPr>
          <w:lang w:val="en-US"/>
        </w:rPr>
        <w:t xml:space="preserve"> </w:t>
      </w:r>
    </w:p>
    <w:p w14:paraId="79CF1535" w14:textId="088603BA" w:rsidR="008C5091" w:rsidRDefault="0035049A" w:rsidP="008C5091">
      <w:pPr>
        <w:ind w:firstLine="708"/>
        <w:jc w:val="both"/>
        <w:rPr>
          <w:lang w:val="en-US"/>
        </w:rPr>
      </w:pPr>
      <w:r>
        <w:rPr>
          <w:lang w:val="en-US"/>
        </w:rPr>
        <w:t>Furthermore,</w:t>
      </w:r>
      <w:r w:rsidR="008C5091">
        <w:rPr>
          <w:lang w:val="en-US"/>
        </w:rPr>
        <w:t xml:space="preserve"> studies in the team have shown that </w:t>
      </w:r>
      <w:r w:rsidR="00EA1D1B">
        <w:rPr>
          <w:lang w:val="en-US"/>
        </w:rPr>
        <w:t>R-loops tend to form at the promoters and terminators of highly transcribed genes and when TOP1 is depleted this tendency increases at TTS, especially for converging genes (</w:t>
      </w:r>
      <w:proofErr w:type="spellStart"/>
      <w:r w:rsidR="00EA1D1B">
        <w:rPr>
          <w:lang w:val="en-US"/>
        </w:rPr>
        <w:t>Promonet</w:t>
      </w:r>
      <w:proofErr w:type="spellEnd"/>
      <w:r w:rsidR="00EA1D1B">
        <w:rPr>
          <w:lang w:val="en-US"/>
        </w:rPr>
        <w:t xml:space="preserve"> et al., 2020). </w:t>
      </w:r>
    </w:p>
    <w:p w14:paraId="70C5F0DA" w14:textId="29A72864" w:rsidR="008C5091" w:rsidRDefault="00974956" w:rsidP="008C5091">
      <w:pPr>
        <w:ind w:firstLine="708"/>
        <w:jc w:val="both"/>
        <w:rPr>
          <w:lang w:val="en-US"/>
        </w:rPr>
      </w:pPr>
      <w:r>
        <w:rPr>
          <w:lang w:val="en-US"/>
        </w:rPr>
        <w:t>To the best of our knowledge there is no study that has addressed the issue of signatures associated with replication stress</w:t>
      </w:r>
      <w:r w:rsidR="00CB5075">
        <w:rPr>
          <w:lang w:val="en-US"/>
        </w:rPr>
        <w:t>. Yet, there</w:t>
      </w:r>
      <w:r>
        <w:rPr>
          <w:lang w:val="en-US"/>
        </w:rPr>
        <w:t xml:space="preserve"> is </w:t>
      </w:r>
      <w:r w:rsidR="00AA43A1">
        <w:rPr>
          <w:lang w:val="en-US"/>
        </w:rPr>
        <w:t xml:space="preserve">mounting </w:t>
      </w:r>
      <w:r>
        <w:rPr>
          <w:lang w:val="en-US"/>
        </w:rPr>
        <w:t xml:space="preserve">evidence that there could be different mutational processes operating </w:t>
      </w:r>
      <w:r w:rsidR="00CB5075">
        <w:rPr>
          <w:lang w:val="en-US"/>
        </w:rPr>
        <w:t>during replication phase</w:t>
      </w:r>
      <w:r w:rsidR="005365B2">
        <w:rPr>
          <w:lang w:val="en-US"/>
        </w:rPr>
        <w:t>.</w:t>
      </w:r>
      <w:r w:rsidR="00CB5075">
        <w:rPr>
          <w:lang w:val="en-US"/>
        </w:rPr>
        <w:t xml:space="preserve"> All of this</w:t>
      </w:r>
      <w:r w:rsidR="008C5091">
        <w:rPr>
          <w:lang w:val="en-US"/>
        </w:rPr>
        <w:t xml:space="preserve"> let us hypothesis that there might be signatures specific to replication stres</w:t>
      </w:r>
      <w:r w:rsidR="00CB5075">
        <w:rPr>
          <w:lang w:val="en-US"/>
        </w:rPr>
        <w:t>s.</w:t>
      </w:r>
    </w:p>
    <w:p w14:paraId="6C9CEEF1" w14:textId="78F2F707" w:rsidR="008C5091" w:rsidRDefault="0035049A" w:rsidP="008C5091">
      <w:pPr>
        <w:ind w:firstLine="708"/>
        <w:jc w:val="both"/>
        <w:rPr>
          <w:lang w:val="en-US"/>
        </w:rPr>
      </w:pPr>
      <w:r>
        <w:rPr>
          <w:lang w:val="en-US"/>
        </w:rPr>
        <w:t>The goal of this project is to se</w:t>
      </w:r>
      <w:r w:rsidR="005365B2">
        <w:rPr>
          <w:lang w:val="en-US"/>
        </w:rPr>
        <w:t>arch for</w:t>
      </w:r>
      <w:r>
        <w:rPr>
          <w:lang w:val="en-US"/>
        </w:rPr>
        <w:t xml:space="preserve"> mutational signatures</w:t>
      </w:r>
      <w:r w:rsidR="005365B2">
        <w:rPr>
          <w:lang w:val="en-US"/>
        </w:rPr>
        <w:t xml:space="preserve"> associated with replication stress. More specifically, if there are different mutational processes</w:t>
      </w:r>
      <w:r>
        <w:rPr>
          <w:lang w:val="en-US"/>
        </w:rPr>
        <w:t xml:space="preserve"> operating at TSS and TTS of a given set of genes or if there is a mutational asymmetry between the two regions</w:t>
      </w:r>
      <w:r w:rsidR="005365B2">
        <w:rPr>
          <w:lang w:val="en-US"/>
        </w:rPr>
        <w:t>.</w:t>
      </w:r>
    </w:p>
    <w:p w14:paraId="747C6FCB" w14:textId="7F3847EE" w:rsidR="00574E6E" w:rsidRDefault="00574E6E" w:rsidP="00574E6E">
      <w:pPr>
        <w:jc w:val="both"/>
        <w:rPr>
          <w:lang w:val="en-US"/>
        </w:rPr>
      </w:pPr>
    </w:p>
    <w:p w14:paraId="27E9E29E" w14:textId="64616AD6" w:rsidR="00F610E8" w:rsidRPr="00F610E8" w:rsidRDefault="00F610E8" w:rsidP="00F610E8">
      <w:pPr>
        <w:spacing w:after="120"/>
        <w:jc w:val="both"/>
        <w:rPr>
          <w:lang w:val="en-US"/>
        </w:rPr>
      </w:pPr>
      <w:r w:rsidRPr="00F610E8">
        <w:rPr>
          <w:lang w:val="en-US"/>
        </w:rPr>
        <w:t xml:space="preserve">Alexandrov, L. B., Nik-Zainal, S., Wedge, D. C., Campbell, P. J., &amp; Stratton, M. R. (2013). Deciphering signatures of mutational processes operative in human cancer. </w:t>
      </w:r>
      <w:r w:rsidRPr="00F610E8">
        <w:rPr>
          <w:i/>
          <w:iCs/>
          <w:lang w:val="en-US"/>
        </w:rPr>
        <w:t>Cell reports</w:t>
      </w:r>
      <w:r w:rsidRPr="00F610E8">
        <w:rPr>
          <w:lang w:val="en-US"/>
        </w:rPr>
        <w:t xml:space="preserve">, </w:t>
      </w:r>
      <w:r w:rsidRPr="00F610E8">
        <w:rPr>
          <w:i/>
          <w:iCs/>
          <w:lang w:val="en-US"/>
        </w:rPr>
        <w:t>3</w:t>
      </w:r>
      <w:r w:rsidRPr="00F610E8">
        <w:rPr>
          <w:lang w:val="en-US"/>
        </w:rPr>
        <w:t xml:space="preserve">(1), 246–259. </w:t>
      </w:r>
      <w:hyperlink r:id="rId5" w:history="1">
        <w:r w:rsidRPr="0075401C">
          <w:rPr>
            <w:rStyle w:val="Lienhypertexte"/>
            <w:lang w:val="en-US"/>
          </w:rPr>
          <w:t>https://doi.org/10.1016/j.celrep.2012.12.008</w:t>
        </w:r>
      </w:hyperlink>
      <w:r>
        <w:rPr>
          <w:lang w:val="en-US"/>
        </w:rPr>
        <w:t xml:space="preserve"> </w:t>
      </w:r>
    </w:p>
    <w:p w14:paraId="00E3477A" w14:textId="30A0E7D0" w:rsidR="00134B87" w:rsidRPr="00134B87" w:rsidRDefault="00134B87" w:rsidP="00134B87">
      <w:pPr>
        <w:spacing w:after="120"/>
        <w:jc w:val="both"/>
      </w:pPr>
      <w:r w:rsidRPr="00134B87">
        <w:rPr>
          <w:lang w:val="en-US"/>
        </w:rPr>
        <w:t xml:space="preserve">Alexandrov, L. B., Kim, J., </w:t>
      </w:r>
      <w:proofErr w:type="spellStart"/>
      <w:r w:rsidRPr="00134B87">
        <w:rPr>
          <w:lang w:val="en-US"/>
        </w:rPr>
        <w:t>Haradhvala</w:t>
      </w:r>
      <w:proofErr w:type="spellEnd"/>
      <w:r w:rsidRPr="00134B87">
        <w:rPr>
          <w:lang w:val="en-US"/>
        </w:rPr>
        <w:t xml:space="preserve">, N. J., Huang, M. N., Tian Ng, A. W., Wu, Y., Boot, A., Covington, K. R., </w:t>
      </w:r>
      <w:proofErr w:type="spellStart"/>
      <w:r w:rsidRPr="00134B87">
        <w:rPr>
          <w:lang w:val="en-US"/>
        </w:rPr>
        <w:t>Gordenin</w:t>
      </w:r>
      <w:proofErr w:type="spellEnd"/>
      <w:r w:rsidRPr="00134B87">
        <w:rPr>
          <w:lang w:val="en-US"/>
        </w:rPr>
        <w:t xml:space="preserve">, D. A., Bergstrom, E. N., Islam, S., Lopez-Bigas, N., </w:t>
      </w:r>
      <w:proofErr w:type="spellStart"/>
      <w:r w:rsidRPr="00134B87">
        <w:rPr>
          <w:lang w:val="en-US"/>
        </w:rPr>
        <w:t>Klimczak</w:t>
      </w:r>
      <w:proofErr w:type="spellEnd"/>
      <w:r w:rsidRPr="00134B87">
        <w:rPr>
          <w:lang w:val="en-US"/>
        </w:rPr>
        <w:t xml:space="preserve">, L. J., McPherson, J. R., </w:t>
      </w:r>
      <w:proofErr w:type="spellStart"/>
      <w:r w:rsidRPr="00134B87">
        <w:rPr>
          <w:lang w:val="en-US"/>
        </w:rPr>
        <w:t>Morganella</w:t>
      </w:r>
      <w:proofErr w:type="spellEnd"/>
      <w:r w:rsidRPr="00134B87">
        <w:rPr>
          <w:lang w:val="en-US"/>
        </w:rPr>
        <w:t xml:space="preserve">, S., </w:t>
      </w:r>
      <w:proofErr w:type="spellStart"/>
      <w:r w:rsidRPr="00134B87">
        <w:rPr>
          <w:lang w:val="en-US"/>
        </w:rPr>
        <w:t>Sabarinathan</w:t>
      </w:r>
      <w:proofErr w:type="spellEnd"/>
      <w:r w:rsidRPr="00134B87">
        <w:rPr>
          <w:lang w:val="en-US"/>
        </w:rPr>
        <w:t xml:space="preserve">, R., Wheeler, D. A., </w:t>
      </w:r>
      <w:proofErr w:type="spellStart"/>
      <w:r w:rsidRPr="00134B87">
        <w:rPr>
          <w:lang w:val="en-US"/>
        </w:rPr>
        <w:t>Mustonen</w:t>
      </w:r>
      <w:proofErr w:type="spellEnd"/>
      <w:r w:rsidRPr="00134B87">
        <w:rPr>
          <w:lang w:val="en-US"/>
        </w:rPr>
        <w:t xml:space="preserve">, V., PCAWG Mutational Signatures Working Group, Getz, G., … PCAWG Consortium (2020). The repertoire of mutational signatures in human cancer. </w:t>
      </w:r>
      <w:r>
        <w:rPr>
          <w:i/>
          <w:iCs/>
        </w:rPr>
        <w:t>Nature</w:t>
      </w:r>
      <w:r>
        <w:t xml:space="preserve">, </w:t>
      </w:r>
      <w:r>
        <w:rPr>
          <w:i/>
          <w:iCs/>
        </w:rPr>
        <w:t>578</w:t>
      </w:r>
      <w:r>
        <w:t xml:space="preserve">(7793), 94–101. </w:t>
      </w:r>
      <w:hyperlink r:id="rId6" w:history="1">
        <w:r w:rsidRPr="0075401C">
          <w:rPr>
            <w:rStyle w:val="Lienhypertexte"/>
          </w:rPr>
          <w:t>https://doi.org/10.1038/s41586-020-1943-3</w:t>
        </w:r>
      </w:hyperlink>
      <w:r>
        <w:t xml:space="preserve"> </w:t>
      </w:r>
    </w:p>
    <w:p w14:paraId="0641E17A" w14:textId="45C710FB" w:rsidR="00412DED" w:rsidRPr="007C76A2" w:rsidRDefault="00412DED" w:rsidP="007C76A2">
      <w:pPr>
        <w:spacing w:before="120" w:after="120"/>
        <w:jc w:val="both"/>
        <w:rPr>
          <w:lang w:val="en-US"/>
        </w:rPr>
      </w:pPr>
      <w:r w:rsidRPr="00412DED">
        <w:rPr>
          <w:lang w:val="en-US"/>
        </w:rPr>
        <w:t xml:space="preserve">Chin, L., Andersen, J. N., &amp; </w:t>
      </w:r>
      <w:proofErr w:type="spellStart"/>
      <w:r w:rsidRPr="00412DED">
        <w:rPr>
          <w:lang w:val="en-US"/>
        </w:rPr>
        <w:t>Futreal</w:t>
      </w:r>
      <w:proofErr w:type="spellEnd"/>
      <w:r w:rsidRPr="00412DED">
        <w:rPr>
          <w:lang w:val="en-US"/>
        </w:rPr>
        <w:t xml:space="preserve">, P. A. (2011). Cancer genomics: from discovery science to personalized medicine. </w:t>
      </w:r>
      <w:r>
        <w:rPr>
          <w:i/>
          <w:iCs/>
        </w:rPr>
        <w:t xml:space="preserve">Nature </w:t>
      </w:r>
      <w:proofErr w:type="spellStart"/>
      <w:r>
        <w:rPr>
          <w:i/>
          <w:iCs/>
        </w:rPr>
        <w:t>medicine</w:t>
      </w:r>
      <w:proofErr w:type="spellEnd"/>
      <w:r>
        <w:t xml:space="preserve">, </w:t>
      </w:r>
      <w:r>
        <w:rPr>
          <w:i/>
          <w:iCs/>
        </w:rPr>
        <w:t>17</w:t>
      </w:r>
      <w:r>
        <w:t xml:space="preserve">(3), 297–303. </w:t>
      </w:r>
      <w:hyperlink r:id="rId7" w:history="1">
        <w:r w:rsidRPr="007C76A2">
          <w:rPr>
            <w:rStyle w:val="Lienhypertexte"/>
            <w:lang w:val="en-US"/>
          </w:rPr>
          <w:t>https://doi.org/10.1038/nm.2323</w:t>
        </w:r>
      </w:hyperlink>
      <w:r w:rsidRPr="007C76A2">
        <w:rPr>
          <w:lang w:val="en-US"/>
        </w:rPr>
        <w:t xml:space="preserve"> </w:t>
      </w:r>
    </w:p>
    <w:p w14:paraId="6796F5B0" w14:textId="3F6138FF" w:rsidR="007C76A2" w:rsidRDefault="007C76A2" w:rsidP="007C76A2">
      <w:pPr>
        <w:spacing w:before="120" w:after="120"/>
        <w:jc w:val="both"/>
        <w:rPr>
          <w:lang w:val="en-US"/>
        </w:rPr>
      </w:pPr>
      <w:r w:rsidRPr="007C76A2">
        <w:rPr>
          <w:lang w:val="en-US"/>
        </w:rPr>
        <w:t xml:space="preserve">Griffith, O. L., Spies, N. C., Anurag, M., Griffith, M., Luo, J., Tu, D., Yeo, B., </w:t>
      </w:r>
      <w:proofErr w:type="spellStart"/>
      <w:r w:rsidRPr="007C76A2">
        <w:rPr>
          <w:lang w:val="en-US"/>
        </w:rPr>
        <w:t>Kunisaki</w:t>
      </w:r>
      <w:proofErr w:type="spellEnd"/>
      <w:r w:rsidRPr="007C76A2">
        <w:rPr>
          <w:lang w:val="en-US"/>
        </w:rPr>
        <w:t xml:space="preserve">, J., Miller, C. A., </w:t>
      </w:r>
      <w:proofErr w:type="spellStart"/>
      <w:r w:rsidRPr="007C76A2">
        <w:rPr>
          <w:lang w:val="en-US"/>
        </w:rPr>
        <w:t>Krysiak</w:t>
      </w:r>
      <w:proofErr w:type="spellEnd"/>
      <w:r w:rsidRPr="007C76A2">
        <w:rPr>
          <w:lang w:val="en-US"/>
        </w:rPr>
        <w:t xml:space="preserve">, K., </w:t>
      </w:r>
      <w:proofErr w:type="spellStart"/>
      <w:r w:rsidRPr="007C76A2">
        <w:rPr>
          <w:lang w:val="en-US"/>
        </w:rPr>
        <w:t>Hundal</w:t>
      </w:r>
      <w:proofErr w:type="spellEnd"/>
      <w:r w:rsidRPr="007C76A2">
        <w:rPr>
          <w:lang w:val="en-US"/>
        </w:rPr>
        <w:t xml:space="preserve">, J., Ainscough, B. J., Skidmore, Z. L., Campbell, K., Kumar, R., </w:t>
      </w:r>
      <w:proofErr w:type="spellStart"/>
      <w:r w:rsidRPr="007C76A2">
        <w:rPr>
          <w:lang w:val="en-US"/>
        </w:rPr>
        <w:t>Fronick</w:t>
      </w:r>
      <w:proofErr w:type="spellEnd"/>
      <w:r w:rsidRPr="007C76A2">
        <w:rPr>
          <w:lang w:val="en-US"/>
        </w:rPr>
        <w:t xml:space="preserve">, C., Cook, L., Snider, J. E., Davies, S., </w:t>
      </w:r>
      <w:proofErr w:type="spellStart"/>
      <w:r w:rsidRPr="007C76A2">
        <w:rPr>
          <w:lang w:val="en-US"/>
        </w:rPr>
        <w:t>Kavuri</w:t>
      </w:r>
      <w:proofErr w:type="spellEnd"/>
      <w:r w:rsidRPr="007C76A2">
        <w:rPr>
          <w:lang w:val="en-US"/>
        </w:rPr>
        <w:t xml:space="preserve">, S. M., … Ellis, M. J. (2018). The prognostic effects of somatic mutations in ER-positive breast cancer. </w:t>
      </w:r>
      <w:r>
        <w:rPr>
          <w:i/>
          <w:iCs/>
        </w:rPr>
        <w:t>Nature communications</w:t>
      </w:r>
      <w:r>
        <w:t xml:space="preserve">, </w:t>
      </w:r>
      <w:r>
        <w:rPr>
          <w:i/>
          <w:iCs/>
        </w:rPr>
        <w:t>9</w:t>
      </w:r>
      <w:r>
        <w:t xml:space="preserve">(1), 3476. </w:t>
      </w:r>
      <w:hyperlink r:id="rId8" w:history="1">
        <w:r w:rsidRPr="007C76A2">
          <w:rPr>
            <w:rStyle w:val="Lienhypertexte"/>
            <w:lang w:val="en-US"/>
          </w:rPr>
          <w:t>https://doi.org/10.1038/s41467-018-05914-x</w:t>
        </w:r>
      </w:hyperlink>
      <w:r w:rsidRPr="007C76A2">
        <w:rPr>
          <w:lang w:val="en-US"/>
        </w:rPr>
        <w:t xml:space="preserve"> </w:t>
      </w:r>
    </w:p>
    <w:p w14:paraId="0FD45DEA" w14:textId="01A2294D" w:rsidR="00481201" w:rsidRPr="00481201" w:rsidRDefault="00481201" w:rsidP="00481201">
      <w:pPr>
        <w:spacing w:after="120"/>
        <w:jc w:val="both"/>
      </w:pPr>
      <w:proofErr w:type="spellStart"/>
      <w:r w:rsidRPr="00481201">
        <w:rPr>
          <w:lang w:val="en-US"/>
        </w:rPr>
        <w:t>Hakem</w:t>
      </w:r>
      <w:proofErr w:type="spellEnd"/>
      <w:r w:rsidRPr="00481201">
        <w:rPr>
          <w:lang w:val="en-US"/>
        </w:rPr>
        <w:t xml:space="preserve"> R. (2008). DNA-damage repair; the good, the bad, and the ugly. </w:t>
      </w:r>
      <w:r>
        <w:rPr>
          <w:i/>
          <w:iCs/>
        </w:rPr>
        <w:t>The EMBO journal</w:t>
      </w:r>
      <w:r>
        <w:t xml:space="preserve">, </w:t>
      </w:r>
      <w:r>
        <w:rPr>
          <w:i/>
          <w:iCs/>
        </w:rPr>
        <w:t>27</w:t>
      </w:r>
      <w:r>
        <w:t xml:space="preserve">(4), 589–605. </w:t>
      </w:r>
      <w:hyperlink r:id="rId9" w:history="1">
        <w:r w:rsidRPr="0075401C">
          <w:rPr>
            <w:rStyle w:val="Lienhypertexte"/>
          </w:rPr>
          <w:t>https://doi.org/10.1038/emboj.2008.15</w:t>
        </w:r>
      </w:hyperlink>
      <w:r>
        <w:t xml:space="preserve"> </w:t>
      </w:r>
    </w:p>
    <w:p w14:paraId="3E945A4F" w14:textId="32A4F4F1" w:rsidR="00011E76" w:rsidRDefault="00011E76" w:rsidP="00011E76">
      <w:pPr>
        <w:spacing w:after="120"/>
      </w:pPr>
      <w:proofErr w:type="spellStart"/>
      <w:r w:rsidRPr="00011E76">
        <w:rPr>
          <w:lang w:val="en-US"/>
        </w:rPr>
        <w:t>Huszno</w:t>
      </w:r>
      <w:proofErr w:type="spellEnd"/>
      <w:r w:rsidRPr="00011E76">
        <w:rPr>
          <w:lang w:val="en-US"/>
        </w:rPr>
        <w:t xml:space="preserve">, J., </w:t>
      </w:r>
      <w:proofErr w:type="spellStart"/>
      <w:r w:rsidRPr="00011E76">
        <w:rPr>
          <w:lang w:val="en-US"/>
        </w:rPr>
        <w:t>Kołosza</w:t>
      </w:r>
      <w:proofErr w:type="spellEnd"/>
      <w:r w:rsidRPr="00011E76">
        <w:rPr>
          <w:lang w:val="en-US"/>
        </w:rPr>
        <w:t xml:space="preserve">, Z., &amp; </w:t>
      </w:r>
      <w:proofErr w:type="spellStart"/>
      <w:r w:rsidRPr="00011E76">
        <w:rPr>
          <w:lang w:val="en-US"/>
        </w:rPr>
        <w:t>Grzybowska</w:t>
      </w:r>
      <w:proofErr w:type="spellEnd"/>
      <w:r w:rsidRPr="00011E76">
        <w:rPr>
          <w:lang w:val="en-US"/>
        </w:rPr>
        <w:t xml:space="preserve">, E. (2019). </w:t>
      </w:r>
      <w:r w:rsidRPr="00011E76">
        <w:rPr>
          <w:i/>
          <w:iCs/>
          <w:lang w:val="en-US"/>
        </w:rPr>
        <w:t>BRCA1</w:t>
      </w:r>
      <w:r w:rsidRPr="00011E76">
        <w:rPr>
          <w:lang w:val="en-US"/>
        </w:rPr>
        <w:t xml:space="preserve"> mutation in breast cancer patients: Analysis of prognostic factors and survival. </w:t>
      </w:r>
      <w:proofErr w:type="spellStart"/>
      <w:r>
        <w:rPr>
          <w:i/>
          <w:iCs/>
        </w:rPr>
        <w:t>Oncology</w:t>
      </w:r>
      <w:proofErr w:type="spellEnd"/>
      <w:r>
        <w:rPr>
          <w:i/>
          <w:iCs/>
        </w:rPr>
        <w:t xml:space="preserve"> </w:t>
      </w:r>
      <w:proofErr w:type="spellStart"/>
      <w:r>
        <w:rPr>
          <w:i/>
          <w:iCs/>
        </w:rPr>
        <w:t>letters</w:t>
      </w:r>
      <w:proofErr w:type="spellEnd"/>
      <w:r>
        <w:t xml:space="preserve">, </w:t>
      </w:r>
      <w:r>
        <w:rPr>
          <w:i/>
          <w:iCs/>
        </w:rPr>
        <w:t>17</w:t>
      </w:r>
      <w:r>
        <w:t xml:space="preserve">(2), 1986–1995. </w:t>
      </w:r>
      <w:hyperlink r:id="rId10" w:history="1">
        <w:r w:rsidRPr="0075401C">
          <w:rPr>
            <w:rStyle w:val="Lienhypertexte"/>
          </w:rPr>
          <w:t>https://doi.org/10.3892/ol.2018.9770</w:t>
        </w:r>
      </w:hyperlink>
      <w:r>
        <w:t xml:space="preserve"> </w:t>
      </w:r>
    </w:p>
    <w:p w14:paraId="7D559D69" w14:textId="57E52072" w:rsidR="00075052" w:rsidRPr="00075052" w:rsidRDefault="00075052" w:rsidP="00075052">
      <w:pPr>
        <w:spacing w:after="120"/>
        <w:jc w:val="both"/>
        <w:rPr>
          <w:lang w:val="en-US"/>
        </w:rPr>
      </w:pPr>
      <w:r w:rsidRPr="00075052">
        <w:rPr>
          <w:lang w:val="en-US"/>
        </w:rPr>
        <w:lastRenderedPageBreak/>
        <w:t xml:space="preserve">ICGC/TCGA Pan-Cancer Analysis of Whole Genomes Consortium (2020). Pan-cancer analysis of whole genomes. </w:t>
      </w:r>
      <w:r w:rsidRPr="00075052">
        <w:rPr>
          <w:i/>
          <w:iCs/>
          <w:lang w:val="en-US"/>
        </w:rPr>
        <w:t>Nature</w:t>
      </w:r>
      <w:r w:rsidRPr="00075052">
        <w:rPr>
          <w:lang w:val="en-US"/>
        </w:rPr>
        <w:t xml:space="preserve">, </w:t>
      </w:r>
      <w:r w:rsidRPr="00075052">
        <w:rPr>
          <w:i/>
          <w:iCs/>
          <w:lang w:val="en-US"/>
        </w:rPr>
        <w:t>578</w:t>
      </w:r>
      <w:r w:rsidRPr="00075052">
        <w:rPr>
          <w:lang w:val="en-US"/>
        </w:rPr>
        <w:t xml:space="preserve">(7793), 82–93. </w:t>
      </w:r>
      <w:hyperlink r:id="rId11" w:history="1">
        <w:r w:rsidRPr="00075052">
          <w:rPr>
            <w:rStyle w:val="Lienhypertexte"/>
            <w:lang w:val="en-US"/>
          </w:rPr>
          <w:t>https://doi.org/10.1038/s41586-020-1969-6</w:t>
        </w:r>
      </w:hyperlink>
      <w:r w:rsidRPr="00075052">
        <w:rPr>
          <w:lang w:val="en-US"/>
        </w:rPr>
        <w:t xml:space="preserve"> </w:t>
      </w:r>
    </w:p>
    <w:p w14:paraId="47216D08" w14:textId="152B2A42" w:rsidR="00337A91" w:rsidRDefault="00337A91" w:rsidP="00337A91">
      <w:pPr>
        <w:spacing w:after="120"/>
        <w:jc w:val="both"/>
      </w:pPr>
      <w:r w:rsidRPr="00337A91">
        <w:rPr>
          <w:lang w:val="en-US"/>
        </w:rPr>
        <w:t xml:space="preserve">Martin, P., </w:t>
      </w:r>
      <w:proofErr w:type="spellStart"/>
      <w:r w:rsidRPr="00337A91">
        <w:rPr>
          <w:lang w:val="en-US"/>
        </w:rPr>
        <w:t>Leighl</w:t>
      </w:r>
      <w:proofErr w:type="spellEnd"/>
      <w:r w:rsidRPr="00337A91">
        <w:rPr>
          <w:lang w:val="en-US"/>
        </w:rPr>
        <w:t xml:space="preserve">, N. B., Tsao, M. S., &amp; Shepherd, F. A. (2013). KRAS mutations as prognostic and predictive markers in non-small cell lung cancer. </w:t>
      </w:r>
      <w:r w:rsidRPr="00337A91">
        <w:rPr>
          <w:i/>
          <w:iCs/>
          <w:lang w:val="en-US"/>
        </w:rPr>
        <w:t xml:space="preserve">Journal of thoracic </w:t>
      </w:r>
      <w:proofErr w:type="gramStart"/>
      <w:r w:rsidRPr="00337A91">
        <w:rPr>
          <w:i/>
          <w:iCs/>
          <w:lang w:val="en-US"/>
        </w:rPr>
        <w:t>oncology :</w:t>
      </w:r>
      <w:proofErr w:type="gramEnd"/>
      <w:r w:rsidRPr="00337A91">
        <w:rPr>
          <w:i/>
          <w:iCs/>
          <w:lang w:val="en-US"/>
        </w:rPr>
        <w:t xml:space="preserve"> official publication of the International Association for the Study of Lung Cancer</w:t>
      </w:r>
      <w:r w:rsidRPr="00337A91">
        <w:rPr>
          <w:lang w:val="en-US"/>
        </w:rPr>
        <w:t xml:space="preserve">, </w:t>
      </w:r>
      <w:r w:rsidRPr="00337A91">
        <w:rPr>
          <w:i/>
          <w:iCs/>
          <w:lang w:val="en-US"/>
        </w:rPr>
        <w:t>8</w:t>
      </w:r>
      <w:r w:rsidRPr="00337A91">
        <w:rPr>
          <w:lang w:val="en-US"/>
        </w:rPr>
        <w:t xml:space="preserve">(5), 530–542. </w:t>
      </w:r>
      <w:hyperlink r:id="rId12" w:history="1">
        <w:r w:rsidRPr="0075401C">
          <w:rPr>
            <w:rStyle w:val="Lienhypertexte"/>
          </w:rPr>
          <w:t>https://doi.org/10.1097/JTO.0b013e318283d958</w:t>
        </w:r>
      </w:hyperlink>
      <w:r>
        <w:t xml:space="preserve"> </w:t>
      </w:r>
    </w:p>
    <w:p w14:paraId="3400D901" w14:textId="352590FB" w:rsidR="00DB56DD" w:rsidRPr="00337A91" w:rsidRDefault="00DB56DD" w:rsidP="00DB56DD">
      <w:pPr>
        <w:spacing w:after="120"/>
        <w:jc w:val="both"/>
      </w:pPr>
      <w:proofErr w:type="spellStart"/>
      <w:r>
        <w:t>Haradhvala</w:t>
      </w:r>
      <w:proofErr w:type="spellEnd"/>
      <w:r>
        <w:t xml:space="preserve">, N. J., Polak, P., </w:t>
      </w:r>
      <w:proofErr w:type="spellStart"/>
      <w:r>
        <w:t>Stojanov</w:t>
      </w:r>
      <w:proofErr w:type="spellEnd"/>
      <w:r>
        <w:t xml:space="preserve">, P., Covington, K. R., </w:t>
      </w:r>
      <w:proofErr w:type="spellStart"/>
      <w:r>
        <w:t>Shinbrot</w:t>
      </w:r>
      <w:proofErr w:type="spellEnd"/>
      <w:r>
        <w:t xml:space="preserve">, E., Hess, J. M., </w:t>
      </w:r>
      <w:proofErr w:type="spellStart"/>
      <w:r>
        <w:t>Rheinbay</w:t>
      </w:r>
      <w:proofErr w:type="spellEnd"/>
      <w:r>
        <w:t xml:space="preserve">, E., Kim, J., </w:t>
      </w:r>
      <w:proofErr w:type="spellStart"/>
      <w:r>
        <w:t>Maruvka</w:t>
      </w:r>
      <w:proofErr w:type="spellEnd"/>
      <w:r>
        <w:t xml:space="preserve">, Y. E., </w:t>
      </w:r>
      <w:proofErr w:type="spellStart"/>
      <w:r>
        <w:t>Braunstein</w:t>
      </w:r>
      <w:proofErr w:type="spellEnd"/>
      <w:r>
        <w:t xml:space="preserve">, L. Z., </w:t>
      </w:r>
      <w:proofErr w:type="spellStart"/>
      <w:r>
        <w:t>Kamburov</w:t>
      </w:r>
      <w:proofErr w:type="spellEnd"/>
      <w:r>
        <w:t xml:space="preserve">, A., </w:t>
      </w:r>
      <w:proofErr w:type="spellStart"/>
      <w:r>
        <w:t>Hanawalt</w:t>
      </w:r>
      <w:proofErr w:type="spellEnd"/>
      <w:r>
        <w:t xml:space="preserve">, P. C., Wheeler, D. A., </w:t>
      </w:r>
      <w:proofErr w:type="spellStart"/>
      <w:r>
        <w:t>Koren</w:t>
      </w:r>
      <w:proofErr w:type="spellEnd"/>
      <w:r>
        <w:t xml:space="preserve">, A., Lawrence, M. S., &amp; Getz, G. (2016). </w:t>
      </w:r>
      <w:r w:rsidRPr="00DB56DD">
        <w:rPr>
          <w:lang w:val="en-US"/>
        </w:rPr>
        <w:t xml:space="preserve">Mutational Strand Asymmetries in Cancer Genomes Reveal Mechanisms of DNA Damage and Repair. </w:t>
      </w:r>
      <w:proofErr w:type="spellStart"/>
      <w:r>
        <w:rPr>
          <w:i/>
          <w:iCs/>
        </w:rPr>
        <w:t>Cell</w:t>
      </w:r>
      <w:proofErr w:type="spellEnd"/>
      <w:r>
        <w:t xml:space="preserve">, </w:t>
      </w:r>
      <w:r>
        <w:rPr>
          <w:i/>
          <w:iCs/>
        </w:rPr>
        <w:t>164</w:t>
      </w:r>
      <w:r>
        <w:t xml:space="preserve">(3), 538–549. </w:t>
      </w:r>
      <w:hyperlink r:id="rId13" w:history="1">
        <w:r w:rsidRPr="0075401C">
          <w:rPr>
            <w:rStyle w:val="Lienhypertexte"/>
          </w:rPr>
          <w:t>https://doi.org/10.1016/j.cell.2015.12.050</w:t>
        </w:r>
      </w:hyperlink>
      <w:r>
        <w:t xml:space="preserve"> </w:t>
      </w:r>
    </w:p>
    <w:p w14:paraId="7C091950" w14:textId="06CA661D" w:rsidR="00B229EC" w:rsidRDefault="00B229EC" w:rsidP="00B229EC">
      <w:pPr>
        <w:spacing w:after="120"/>
        <w:jc w:val="both"/>
      </w:pPr>
      <w:r w:rsidRPr="00B229EC">
        <w:rPr>
          <w:lang w:val="en-US"/>
        </w:rPr>
        <w:t xml:space="preserve">Olivier, M., &amp; </w:t>
      </w:r>
      <w:proofErr w:type="spellStart"/>
      <w:r w:rsidRPr="00B229EC">
        <w:rPr>
          <w:lang w:val="en-US"/>
        </w:rPr>
        <w:t>Taniere</w:t>
      </w:r>
      <w:proofErr w:type="spellEnd"/>
      <w:r w:rsidRPr="00B229EC">
        <w:rPr>
          <w:lang w:val="en-US"/>
        </w:rPr>
        <w:t xml:space="preserve">, P. (2011). Somatic mutations in cancer prognosis and prediction: lessons from TP53 and EGFR genes. </w:t>
      </w:r>
      <w:proofErr w:type="spellStart"/>
      <w:r>
        <w:rPr>
          <w:i/>
          <w:iCs/>
        </w:rPr>
        <w:t>Current</w:t>
      </w:r>
      <w:proofErr w:type="spellEnd"/>
      <w:r>
        <w:rPr>
          <w:i/>
          <w:iCs/>
        </w:rPr>
        <w:t xml:space="preserve"> opinion in </w:t>
      </w:r>
      <w:proofErr w:type="spellStart"/>
      <w:r>
        <w:rPr>
          <w:i/>
          <w:iCs/>
        </w:rPr>
        <w:t>oncology</w:t>
      </w:r>
      <w:proofErr w:type="spellEnd"/>
      <w:r>
        <w:t xml:space="preserve">, </w:t>
      </w:r>
      <w:r>
        <w:rPr>
          <w:i/>
          <w:iCs/>
        </w:rPr>
        <w:t>23</w:t>
      </w:r>
      <w:r>
        <w:t xml:space="preserve">(1), 88–92. </w:t>
      </w:r>
      <w:hyperlink r:id="rId14" w:history="1">
        <w:r w:rsidRPr="0075401C">
          <w:rPr>
            <w:rStyle w:val="Lienhypertexte"/>
          </w:rPr>
          <w:t>https://doi.org/10.1097/CCO.0b013e3283412dfa</w:t>
        </w:r>
      </w:hyperlink>
      <w:r>
        <w:t xml:space="preserve"> </w:t>
      </w:r>
    </w:p>
    <w:p w14:paraId="1DBC1691" w14:textId="03BAD8AE" w:rsidR="00F10D75" w:rsidRPr="00B229EC" w:rsidRDefault="00F10D75" w:rsidP="00F10D75">
      <w:pPr>
        <w:spacing w:after="120"/>
        <w:jc w:val="both"/>
      </w:pPr>
      <w:proofErr w:type="spellStart"/>
      <w:r>
        <w:t>Omichessan</w:t>
      </w:r>
      <w:proofErr w:type="spellEnd"/>
      <w:r>
        <w:t xml:space="preserve">, H., Severi, G., &amp; </w:t>
      </w:r>
      <w:proofErr w:type="spellStart"/>
      <w:r>
        <w:t>Perduca</w:t>
      </w:r>
      <w:proofErr w:type="spellEnd"/>
      <w:r>
        <w:t xml:space="preserve">, V. (2019). </w:t>
      </w:r>
      <w:r w:rsidRPr="00F10D75">
        <w:rPr>
          <w:lang w:val="en-US"/>
        </w:rPr>
        <w:t xml:space="preserve">Computational tools to detect signatures of mutational processes in DNA from </w:t>
      </w:r>
      <w:proofErr w:type="spellStart"/>
      <w:r w:rsidRPr="00F10D75">
        <w:rPr>
          <w:lang w:val="en-US"/>
        </w:rPr>
        <w:t>tumours</w:t>
      </w:r>
      <w:proofErr w:type="spellEnd"/>
      <w:r w:rsidRPr="00F10D75">
        <w:rPr>
          <w:lang w:val="en-US"/>
        </w:rPr>
        <w:t xml:space="preserve">: A review and empirical comparison of performance. </w:t>
      </w:r>
      <w:proofErr w:type="spellStart"/>
      <w:r>
        <w:rPr>
          <w:i/>
          <w:iCs/>
        </w:rPr>
        <w:t>PloS</w:t>
      </w:r>
      <w:proofErr w:type="spellEnd"/>
      <w:r>
        <w:rPr>
          <w:i/>
          <w:iCs/>
        </w:rPr>
        <w:t xml:space="preserve"> one</w:t>
      </w:r>
      <w:r>
        <w:t xml:space="preserve">, </w:t>
      </w:r>
      <w:r>
        <w:rPr>
          <w:i/>
          <w:iCs/>
        </w:rPr>
        <w:t>14</w:t>
      </w:r>
      <w:r>
        <w:t xml:space="preserve">(9), e0221235. </w:t>
      </w:r>
      <w:hyperlink r:id="rId15" w:history="1">
        <w:r w:rsidRPr="0075401C">
          <w:rPr>
            <w:rStyle w:val="Lienhypertexte"/>
          </w:rPr>
          <w:t>https://doi.org/10.1371/journal.pone.0221235</w:t>
        </w:r>
      </w:hyperlink>
      <w:r>
        <w:t xml:space="preserve"> </w:t>
      </w:r>
    </w:p>
    <w:p w14:paraId="5FED3EEC" w14:textId="445F2DE6" w:rsidR="00EA1D1B" w:rsidRPr="00EA1D1B" w:rsidRDefault="00EA1D1B" w:rsidP="00EA1D1B">
      <w:pPr>
        <w:spacing w:after="120"/>
        <w:jc w:val="both"/>
        <w:rPr>
          <w:lang w:val="en-US"/>
        </w:rPr>
      </w:pPr>
      <w:proofErr w:type="spellStart"/>
      <w:r>
        <w:t>Promonet</w:t>
      </w:r>
      <w:proofErr w:type="spellEnd"/>
      <w:r>
        <w:t xml:space="preserve">, A., </w:t>
      </w:r>
      <w:proofErr w:type="spellStart"/>
      <w:r>
        <w:t>Padioleau</w:t>
      </w:r>
      <w:proofErr w:type="spellEnd"/>
      <w:r>
        <w:t xml:space="preserve">, I., Liu, Y., Sanz, L., </w:t>
      </w:r>
      <w:proofErr w:type="spellStart"/>
      <w:r>
        <w:t>Biernacka</w:t>
      </w:r>
      <w:proofErr w:type="spellEnd"/>
      <w:r>
        <w:t xml:space="preserve">, A., Schmitz, A. L., </w:t>
      </w:r>
      <w:proofErr w:type="spellStart"/>
      <w:r>
        <w:t>Skrzypczak</w:t>
      </w:r>
      <w:proofErr w:type="spellEnd"/>
      <w:r>
        <w:t xml:space="preserve">, M., Sarrazin, A., </w:t>
      </w:r>
      <w:proofErr w:type="spellStart"/>
      <w:r>
        <w:t>Mettling</w:t>
      </w:r>
      <w:proofErr w:type="spellEnd"/>
      <w:r>
        <w:t xml:space="preserve">, C., </w:t>
      </w:r>
      <w:proofErr w:type="spellStart"/>
      <w:r>
        <w:t>Rowicka</w:t>
      </w:r>
      <w:proofErr w:type="spellEnd"/>
      <w:r>
        <w:t xml:space="preserve">, M., </w:t>
      </w:r>
      <w:proofErr w:type="spellStart"/>
      <w:r>
        <w:t>Ginalski</w:t>
      </w:r>
      <w:proofErr w:type="spellEnd"/>
      <w:r>
        <w:t xml:space="preserve">, K., </w:t>
      </w:r>
      <w:proofErr w:type="spellStart"/>
      <w:r>
        <w:t>Chedin</w:t>
      </w:r>
      <w:proofErr w:type="spellEnd"/>
      <w:r>
        <w:t xml:space="preserve">, F., Chen, C. L., Lin, Y. L., &amp; </w:t>
      </w:r>
      <w:proofErr w:type="spellStart"/>
      <w:r>
        <w:t>Pasero</w:t>
      </w:r>
      <w:proofErr w:type="spellEnd"/>
      <w:r>
        <w:t xml:space="preserve">, P. (2020). </w:t>
      </w:r>
      <w:proofErr w:type="spellStart"/>
      <w:r>
        <w:t>Topoisomerase</w:t>
      </w:r>
      <w:proofErr w:type="spellEnd"/>
      <w:r>
        <w:t xml:space="preserve"> 1 </w:t>
      </w:r>
      <w:proofErr w:type="spellStart"/>
      <w:r>
        <w:t>prevents</w:t>
      </w:r>
      <w:proofErr w:type="spellEnd"/>
      <w:r>
        <w:t xml:space="preserve"> </w:t>
      </w:r>
      <w:proofErr w:type="spellStart"/>
      <w:r>
        <w:t>replication</w:t>
      </w:r>
      <w:proofErr w:type="spellEnd"/>
      <w:r>
        <w:t xml:space="preserve"> stress at R-</w:t>
      </w:r>
      <w:proofErr w:type="spellStart"/>
      <w:r>
        <w:t>loop</w:t>
      </w:r>
      <w:proofErr w:type="spellEnd"/>
      <w:r>
        <w:t>-</w:t>
      </w:r>
      <w:proofErr w:type="spellStart"/>
      <w:r>
        <w:t>enriched</w:t>
      </w:r>
      <w:proofErr w:type="spellEnd"/>
      <w:r>
        <w:t xml:space="preserve"> transcription </w:t>
      </w:r>
      <w:proofErr w:type="spellStart"/>
      <w:r>
        <w:t>termination</w:t>
      </w:r>
      <w:proofErr w:type="spellEnd"/>
      <w:r>
        <w:t xml:space="preserve"> sites. </w:t>
      </w:r>
      <w:r>
        <w:rPr>
          <w:i/>
          <w:iCs/>
        </w:rPr>
        <w:t>Nature communications</w:t>
      </w:r>
      <w:r>
        <w:t xml:space="preserve">, </w:t>
      </w:r>
      <w:r>
        <w:rPr>
          <w:i/>
          <w:iCs/>
        </w:rPr>
        <w:t>11</w:t>
      </w:r>
      <w:r>
        <w:t xml:space="preserve">(1), 3940. </w:t>
      </w:r>
      <w:hyperlink r:id="rId16" w:history="1">
        <w:r w:rsidRPr="00EA1D1B">
          <w:rPr>
            <w:rStyle w:val="Lienhypertexte"/>
            <w:lang w:val="en-US"/>
          </w:rPr>
          <w:t>https://doi.org/10.1038/s41467-020-17858-2</w:t>
        </w:r>
      </w:hyperlink>
      <w:r w:rsidRPr="00EA1D1B">
        <w:rPr>
          <w:lang w:val="en-US"/>
        </w:rPr>
        <w:t xml:space="preserve"> </w:t>
      </w:r>
    </w:p>
    <w:p w14:paraId="3EB5ACBC" w14:textId="1849BD3B" w:rsidR="00E950C7" w:rsidRDefault="00E950C7" w:rsidP="007C76A2">
      <w:pPr>
        <w:spacing w:before="120" w:after="120"/>
        <w:jc w:val="both"/>
        <w:rPr>
          <w:lang w:val="en-US"/>
        </w:rPr>
      </w:pPr>
      <w:proofErr w:type="spellStart"/>
      <w:r w:rsidRPr="00E950C7">
        <w:rPr>
          <w:lang w:val="en-US"/>
        </w:rPr>
        <w:t>Poduri</w:t>
      </w:r>
      <w:proofErr w:type="spellEnd"/>
      <w:r w:rsidRPr="00E950C7">
        <w:rPr>
          <w:lang w:val="en-US"/>
        </w:rPr>
        <w:t xml:space="preserve">, A., </w:t>
      </w:r>
      <w:proofErr w:type="spellStart"/>
      <w:r w:rsidRPr="00E950C7">
        <w:rPr>
          <w:lang w:val="en-US"/>
        </w:rPr>
        <w:t>Evrony</w:t>
      </w:r>
      <w:proofErr w:type="spellEnd"/>
      <w:r w:rsidRPr="00E950C7">
        <w:rPr>
          <w:lang w:val="en-US"/>
        </w:rPr>
        <w:t xml:space="preserve">, G. D., Cai, X., &amp; Walsh, C. A. (2013). Somatic mutation, genomic variation, and neurological disease. </w:t>
      </w:r>
      <w:r w:rsidRPr="00E950C7">
        <w:rPr>
          <w:i/>
          <w:iCs/>
          <w:lang w:val="en-US"/>
        </w:rPr>
        <w:t>Science (New York, N.Y.)</w:t>
      </w:r>
      <w:r w:rsidRPr="00E950C7">
        <w:rPr>
          <w:lang w:val="en-US"/>
        </w:rPr>
        <w:t xml:space="preserve">, </w:t>
      </w:r>
      <w:r w:rsidRPr="00E950C7">
        <w:rPr>
          <w:i/>
          <w:iCs/>
          <w:lang w:val="en-US"/>
        </w:rPr>
        <w:t>341</w:t>
      </w:r>
      <w:r w:rsidRPr="00E950C7">
        <w:rPr>
          <w:lang w:val="en-US"/>
        </w:rPr>
        <w:t xml:space="preserve">(6141), 1237758. </w:t>
      </w:r>
      <w:hyperlink r:id="rId17" w:history="1">
        <w:r w:rsidR="00412DED" w:rsidRPr="0075401C">
          <w:rPr>
            <w:rStyle w:val="Lienhypertexte"/>
            <w:lang w:val="en-US"/>
          </w:rPr>
          <w:t>https://doi.org/10.1126/science.1237758</w:t>
        </w:r>
      </w:hyperlink>
      <w:r w:rsidR="00412DED">
        <w:rPr>
          <w:lang w:val="en-US"/>
        </w:rPr>
        <w:t xml:space="preserve"> </w:t>
      </w:r>
    </w:p>
    <w:p w14:paraId="7D31BBA4" w14:textId="06C4D2DC" w:rsidR="00574E6E" w:rsidRDefault="00574E6E" w:rsidP="007C76A2">
      <w:pPr>
        <w:spacing w:before="120" w:after="120"/>
        <w:jc w:val="both"/>
        <w:rPr>
          <w:lang w:val="en-US"/>
        </w:rPr>
      </w:pPr>
      <w:r w:rsidRPr="00574E6E">
        <w:rPr>
          <w:lang w:val="en-US"/>
        </w:rPr>
        <w:t xml:space="preserve">Stratton, M. R., Campbell, P. J., &amp; </w:t>
      </w:r>
      <w:proofErr w:type="spellStart"/>
      <w:r w:rsidRPr="00574E6E">
        <w:rPr>
          <w:lang w:val="en-US"/>
        </w:rPr>
        <w:t>Futreal</w:t>
      </w:r>
      <w:proofErr w:type="spellEnd"/>
      <w:r w:rsidRPr="00574E6E">
        <w:rPr>
          <w:lang w:val="en-US"/>
        </w:rPr>
        <w:t xml:space="preserve">, P. A. (2009). The cancer genome. </w:t>
      </w:r>
      <w:r w:rsidRPr="00574E6E">
        <w:rPr>
          <w:i/>
          <w:iCs/>
          <w:lang w:val="en-US"/>
        </w:rPr>
        <w:t>Nature</w:t>
      </w:r>
      <w:r w:rsidRPr="00574E6E">
        <w:rPr>
          <w:lang w:val="en-US"/>
        </w:rPr>
        <w:t xml:space="preserve">, </w:t>
      </w:r>
      <w:r w:rsidRPr="00574E6E">
        <w:rPr>
          <w:i/>
          <w:iCs/>
          <w:lang w:val="en-US"/>
        </w:rPr>
        <w:t>458</w:t>
      </w:r>
      <w:r w:rsidRPr="00574E6E">
        <w:rPr>
          <w:lang w:val="en-US"/>
        </w:rPr>
        <w:t xml:space="preserve">(7239), 719–724. </w:t>
      </w:r>
      <w:hyperlink r:id="rId18" w:history="1">
        <w:r w:rsidR="00412DED" w:rsidRPr="00574E6E">
          <w:rPr>
            <w:rStyle w:val="Lienhypertexte"/>
            <w:lang w:val="en-US"/>
          </w:rPr>
          <w:t>https://doi.org/10.1038/nature07943</w:t>
        </w:r>
      </w:hyperlink>
      <w:r w:rsidR="00412DED">
        <w:rPr>
          <w:lang w:val="en-US"/>
        </w:rPr>
        <w:t xml:space="preserve"> </w:t>
      </w:r>
    </w:p>
    <w:p w14:paraId="47D9F70C" w14:textId="00183EC3" w:rsidR="00A91453" w:rsidRPr="00574E6E" w:rsidRDefault="00A91453" w:rsidP="00A91453">
      <w:pPr>
        <w:spacing w:after="120"/>
        <w:jc w:val="both"/>
        <w:rPr>
          <w:lang w:val="en-US"/>
        </w:rPr>
      </w:pPr>
      <w:r w:rsidRPr="00A91453">
        <w:rPr>
          <w:lang w:val="en-US"/>
        </w:rPr>
        <w:t xml:space="preserve">Tate, J. G., Bamford, S., </w:t>
      </w:r>
      <w:proofErr w:type="spellStart"/>
      <w:r w:rsidRPr="00A91453">
        <w:rPr>
          <w:lang w:val="en-US"/>
        </w:rPr>
        <w:t>Jubb</w:t>
      </w:r>
      <w:proofErr w:type="spellEnd"/>
      <w:r w:rsidRPr="00A91453">
        <w:rPr>
          <w:lang w:val="en-US"/>
        </w:rPr>
        <w:t xml:space="preserve">, H. C., </w:t>
      </w:r>
      <w:proofErr w:type="spellStart"/>
      <w:r w:rsidRPr="00A91453">
        <w:rPr>
          <w:lang w:val="en-US"/>
        </w:rPr>
        <w:t>Sondka</w:t>
      </w:r>
      <w:proofErr w:type="spellEnd"/>
      <w:r w:rsidRPr="00A91453">
        <w:rPr>
          <w:lang w:val="en-US"/>
        </w:rPr>
        <w:t xml:space="preserve">, Z., </w:t>
      </w:r>
      <w:proofErr w:type="spellStart"/>
      <w:r w:rsidRPr="00A91453">
        <w:rPr>
          <w:lang w:val="en-US"/>
        </w:rPr>
        <w:t>Beare</w:t>
      </w:r>
      <w:proofErr w:type="spellEnd"/>
      <w:r w:rsidRPr="00A91453">
        <w:rPr>
          <w:lang w:val="en-US"/>
        </w:rPr>
        <w:t xml:space="preserve">, D. M., </w:t>
      </w:r>
      <w:proofErr w:type="spellStart"/>
      <w:r w:rsidRPr="00A91453">
        <w:rPr>
          <w:lang w:val="en-US"/>
        </w:rPr>
        <w:t>Bindal</w:t>
      </w:r>
      <w:proofErr w:type="spellEnd"/>
      <w:r w:rsidRPr="00A91453">
        <w:rPr>
          <w:lang w:val="en-US"/>
        </w:rPr>
        <w:t xml:space="preserve">, N., </w:t>
      </w:r>
      <w:proofErr w:type="spellStart"/>
      <w:r w:rsidRPr="00A91453">
        <w:rPr>
          <w:lang w:val="en-US"/>
        </w:rPr>
        <w:t>Boutselakis</w:t>
      </w:r>
      <w:proofErr w:type="spellEnd"/>
      <w:r w:rsidRPr="00A91453">
        <w:rPr>
          <w:lang w:val="en-US"/>
        </w:rPr>
        <w:t xml:space="preserve">, H., Cole, C. G., </w:t>
      </w:r>
      <w:proofErr w:type="spellStart"/>
      <w:r w:rsidRPr="00A91453">
        <w:rPr>
          <w:lang w:val="en-US"/>
        </w:rPr>
        <w:t>Creatore</w:t>
      </w:r>
      <w:proofErr w:type="spellEnd"/>
      <w:r w:rsidRPr="00A91453">
        <w:rPr>
          <w:lang w:val="en-US"/>
        </w:rPr>
        <w:t xml:space="preserve">, C., Dawson, E., Fish, P., Harsha, B., Hathaway, C., </w:t>
      </w:r>
      <w:proofErr w:type="spellStart"/>
      <w:r w:rsidRPr="00A91453">
        <w:rPr>
          <w:lang w:val="en-US"/>
        </w:rPr>
        <w:t>Jupe</w:t>
      </w:r>
      <w:proofErr w:type="spellEnd"/>
      <w:r w:rsidRPr="00A91453">
        <w:rPr>
          <w:lang w:val="en-US"/>
        </w:rPr>
        <w:t xml:space="preserve">, S. C., </w:t>
      </w:r>
      <w:proofErr w:type="spellStart"/>
      <w:r w:rsidRPr="00A91453">
        <w:rPr>
          <w:lang w:val="en-US"/>
        </w:rPr>
        <w:t>Kok</w:t>
      </w:r>
      <w:proofErr w:type="spellEnd"/>
      <w:r w:rsidRPr="00A91453">
        <w:rPr>
          <w:lang w:val="en-US"/>
        </w:rPr>
        <w:t xml:space="preserve">, C. Y., Noble, K., Ponting, L., Ramshaw, C. C., Rye, C. E., Speedy, H. E., … Forbes, S. A. (2019). COSMIC: the Catalogue </w:t>
      </w:r>
      <w:proofErr w:type="gramStart"/>
      <w:r w:rsidRPr="00A91453">
        <w:rPr>
          <w:lang w:val="en-US"/>
        </w:rPr>
        <w:t>Of</w:t>
      </w:r>
      <w:proofErr w:type="gramEnd"/>
      <w:r w:rsidRPr="00A91453">
        <w:rPr>
          <w:lang w:val="en-US"/>
        </w:rPr>
        <w:t xml:space="preserve"> Somatic Mutations In Cancer. </w:t>
      </w:r>
      <w:r w:rsidRPr="00A91453">
        <w:rPr>
          <w:i/>
          <w:iCs/>
          <w:lang w:val="en-US"/>
        </w:rPr>
        <w:t>Nucleic acids research</w:t>
      </w:r>
      <w:r w:rsidRPr="00A91453">
        <w:rPr>
          <w:lang w:val="en-US"/>
        </w:rPr>
        <w:t xml:space="preserve">, </w:t>
      </w:r>
      <w:r w:rsidRPr="00A91453">
        <w:rPr>
          <w:i/>
          <w:iCs/>
          <w:lang w:val="en-US"/>
        </w:rPr>
        <w:t>47</w:t>
      </w:r>
      <w:r w:rsidRPr="00A91453">
        <w:rPr>
          <w:lang w:val="en-US"/>
        </w:rPr>
        <w:t xml:space="preserve">(D1), D941–D947. </w:t>
      </w:r>
      <w:hyperlink r:id="rId19" w:history="1">
        <w:r w:rsidRPr="00A91453">
          <w:rPr>
            <w:rStyle w:val="Lienhypertexte"/>
            <w:lang w:val="en-US"/>
          </w:rPr>
          <w:t>https://doi.org/10.1093/nar/gky1015</w:t>
        </w:r>
      </w:hyperlink>
      <w:r w:rsidRPr="00A91453">
        <w:rPr>
          <w:lang w:val="en-US"/>
        </w:rPr>
        <w:t xml:space="preserve"> </w:t>
      </w:r>
    </w:p>
    <w:p w14:paraId="0CDECBBA" w14:textId="001CF75D" w:rsidR="00574E6E" w:rsidRDefault="00E950C7" w:rsidP="007C76A2">
      <w:pPr>
        <w:spacing w:before="120" w:after="120"/>
        <w:jc w:val="both"/>
        <w:rPr>
          <w:lang w:val="en-US"/>
        </w:rPr>
      </w:pPr>
      <w:bookmarkStart w:id="6" w:name="OLE_LINK1"/>
      <w:bookmarkStart w:id="7" w:name="OLE_LINK2"/>
      <w:proofErr w:type="spellStart"/>
      <w:r w:rsidRPr="00E950C7">
        <w:rPr>
          <w:lang w:val="en-US"/>
        </w:rPr>
        <w:t>Vuong</w:t>
      </w:r>
      <w:bookmarkEnd w:id="6"/>
      <w:bookmarkEnd w:id="7"/>
      <w:proofErr w:type="spellEnd"/>
      <w:r w:rsidRPr="00E950C7">
        <w:rPr>
          <w:lang w:val="en-US"/>
        </w:rPr>
        <w:t xml:space="preserve">, H., Cheng, F., Lin, C. C., &amp; Zhao, Z. (2014). Functional consequences of somatic mutations in cancer using protein pocket-based prioritization approach. </w:t>
      </w:r>
      <w:r w:rsidRPr="00E950C7">
        <w:rPr>
          <w:i/>
          <w:iCs/>
          <w:lang w:val="en-US"/>
        </w:rPr>
        <w:t>Genome medicine</w:t>
      </w:r>
      <w:r w:rsidRPr="00E950C7">
        <w:rPr>
          <w:lang w:val="en-US"/>
        </w:rPr>
        <w:t xml:space="preserve">, </w:t>
      </w:r>
      <w:r w:rsidRPr="00E950C7">
        <w:rPr>
          <w:i/>
          <w:iCs/>
          <w:lang w:val="en-US"/>
        </w:rPr>
        <w:t>6</w:t>
      </w:r>
      <w:r w:rsidRPr="00E950C7">
        <w:rPr>
          <w:lang w:val="en-US"/>
        </w:rPr>
        <w:t xml:space="preserve">(10), 81. </w:t>
      </w:r>
      <w:hyperlink r:id="rId20" w:history="1">
        <w:r w:rsidR="00412DED" w:rsidRPr="0075401C">
          <w:rPr>
            <w:rStyle w:val="Lienhypertexte"/>
            <w:lang w:val="en-US"/>
          </w:rPr>
          <w:t>https://doi.org/10.1186/s13073-014-0081-7</w:t>
        </w:r>
      </w:hyperlink>
      <w:r w:rsidR="00412DED">
        <w:rPr>
          <w:lang w:val="en-US"/>
        </w:rPr>
        <w:t xml:space="preserve"> </w:t>
      </w:r>
    </w:p>
    <w:p w14:paraId="0CC476F0" w14:textId="7E9AF0B7" w:rsidR="00374503" w:rsidRPr="00F54EBD" w:rsidRDefault="00F54EBD" w:rsidP="00F54EBD">
      <w:pPr>
        <w:jc w:val="both"/>
      </w:pPr>
      <w:r w:rsidRPr="00F54EBD">
        <w:rPr>
          <w:lang w:val="en-US"/>
        </w:rPr>
        <w:t xml:space="preserve">Zeman, M. K., &amp; </w:t>
      </w:r>
      <w:proofErr w:type="spellStart"/>
      <w:r w:rsidRPr="00F54EBD">
        <w:rPr>
          <w:lang w:val="en-US"/>
        </w:rPr>
        <w:t>Cimprich</w:t>
      </w:r>
      <w:proofErr w:type="spellEnd"/>
      <w:r w:rsidRPr="00F54EBD">
        <w:rPr>
          <w:lang w:val="en-US"/>
        </w:rPr>
        <w:t xml:space="preserve">, K. A. (2014). Causes and consequences of replication stress. </w:t>
      </w:r>
      <w:r>
        <w:rPr>
          <w:i/>
          <w:iCs/>
        </w:rPr>
        <w:t xml:space="preserve">Nature </w:t>
      </w:r>
      <w:proofErr w:type="spellStart"/>
      <w:r>
        <w:rPr>
          <w:i/>
          <w:iCs/>
        </w:rPr>
        <w:t>cell</w:t>
      </w:r>
      <w:proofErr w:type="spellEnd"/>
      <w:r>
        <w:rPr>
          <w:i/>
          <w:iCs/>
        </w:rPr>
        <w:t xml:space="preserve"> </w:t>
      </w:r>
      <w:proofErr w:type="spellStart"/>
      <w:r>
        <w:rPr>
          <w:i/>
          <w:iCs/>
        </w:rPr>
        <w:t>biology</w:t>
      </w:r>
      <w:proofErr w:type="spellEnd"/>
      <w:r>
        <w:t xml:space="preserve">, </w:t>
      </w:r>
      <w:r>
        <w:rPr>
          <w:i/>
          <w:iCs/>
        </w:rPr>
        <w:t>16</w:t>
      </w:r>
      <w:r>
        <w:t xml:space="preserve">(1), 2–9. </w:t>
      </w:r>
      <w:hyperlink r:id="rId21" w:history="1">
        <w:r w:rsidRPr="0075401C">
          <w:rPr>
            <w:rStyle w:val="Lienhypertexte"/>
          </w:rPr>
          <w:t>https://doi.org/10.1038/ncb2897</w:t>
        </w:r>
      </w:hyperlink>
      <w:r>
        <w:t xml:space="preserve"> </w:t>
      </w:r>
      <w:bookmarkEnd w:id="0"/>
      <w:bookmarkEnd w:id="1"/>
    </w:p>
    <w:sectPr w:rsidR="00374503" w:rsidRPr="00F54E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25A"/>
    <w:rsid w:val="00004D06"/>
    <w:rsid w:val="00011E76"/>
    <w:rsid w:val="000175AF"/>
    <w:rsid w:val="0003155C"/>
    <w:rsid w:val="00073B63"/>
    <w:rsid w:val="00075052"/>
    <w:rsid w:val="000B362D"/>
    <w:rsid w:val="000D1D99"/>
    <w:rsid w:val="000D2189"/>
    <w:rsid w:val="000E4AF6"/>
    <w:rsid w:val="00134B87"/>
    <w:rsid w:val="00135241"/>
    <w:rsid w:val="002023DA"/>
    <w:rsid w:val="002D6441"/>
    <w:rsid w:val="00322E2D"/>
    <w:rsid w:val="00337A91"/>
    <w:rsid w:val="0035049A"/>
    <w:rsid w:val="00357EEF"/>
    <w:rsid w:val="00374503"/>
    <w:rsid w:val="003B18C3"/>
    <w:rsid w:val="00412DED"/>
    <w:rsid w:val="00416F1C"/>
    <w:rsid w:val="00422966"/>
    <w:rsid w:val="00432B5F"/>
    <w:rsid w:val="004507FE"/>
    <w:rsid w:val="004518AF"/>
    <w:rsid w:val="00481201"/>
    <w:rsid w:val="004A4652"/>
    <w:rsid w:val="004D4CFF"/>
    <w:rsid w:val="00517D6A"/>
    <w:rsid w:val="005365B2"/>
    <w:rsid w:val="0053759E"/>
    <w:rsid w:val="00574E6E"/>
    <w:rsid w:val="005A2DFC"/>
    <w:rsid w:val="005A5EEA"/>
    <w:rsid w:val="005E50DA"/>
    <w:rsid w:val="00614FA6"/>
    <w:rsid w:val="00634EE1"/>
    <w:rsid w:val="0070237C"/>
    <w:rsid w:val="0072325A"/>
    <w:rsid w:val="0073620F"/>
    <w:rsid w:val="007765D5"/>
    <w:rsid w:val="007C76A2"/>
    <w:rsid w:val="007F35A9"/>
    <w:rsid w:val="00822771"/>
    <w:rsid w:val="0086139A"/>
    <w:rsid w:val="008716AD"/>
    <w:rsid w:val="00886D93"/>
    <w:rsid w:val="00894FE0"/>
    <w:rsid w:val="008C2ED2"/>
    <w:rsid w:val="008C5091"/>
    <w:rsid w:val="00902247"/>
    <w:rsid w:val="00974956"/>
    <w:rsid w:val="00986C3B"/>
    <w:rsid w:val="009B3118"/>
    <w:rsid w:val="009C0C94"/>
    <w:rsid w:val="009D4492"/>
    <w:rsid w:val="009D52E7"/>
    <w:rsid w:val="009E4B51"/>
    <w:rsid w:val="00A85D0B"/>
    <w:rsid w:val="00A91453"/>
    <w:rsid w:val="00AA43A1"/>
    <w:rsid w:val="00AB50EE"/>
    <w:rsid w:val="00AC574A"/>
    <w:rsid w:val="00AD2363"/>
    <w:rsid w:val="00B03954"/>
    <w:rsid w:val="00B071DB"/>
    <w:rsid w:val="00B229EC"/>
    <w:rsid w:val="00B3648D"/>
    <w:rsid w:val="00B60812"/>
    <w:rsid w:val="00B81B6C"/>
    <w:rsid w:val="00CB4E39"/>
    <w:rsid w:val="00CB5075"/>
    <w:rsid w:val="00D415F6"/>
    <w:rsid w:val="00D80AF2"/>
    <w:rsid w:val="00DB56DD"/>
    <w:rsid w:val="00DE2C26"/>
    <w:rsid w:val="00DF0624"/>
    <w:rsid w:val="00E27EE3"/>
    <w:rsid w:val="00E937D0"/>
    <w:rsid w:val="00E950C7"/>
    <w:rsid w:val="00E97BA5"/>
    <w:rsid w:val="00EA1D1B"/>
    <w:rsid w:val="00EA3154"/>
    <w:rsid w:val="00EB0D50"/>
    <w:rsid w:val="00ED1796"/>
    <w:rsid w:val="00F02DBF"/>
    <w:rsid w:val="00F10D75"/>
    <w:rsid w:val="00F46836"/>
    <w:rsid w:val="00F54EBD"/>
    <w:rsid w:val="00F610E8"/>
    <w:rsid w:val="00F95ED7"/>
    <w:rsid w:val="00FC18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DB704FD"/>
  <w15:chartTrackingRefBased/>
  <w15:docId w15:val="{8BA4811A-6642-434A-92BA-621A4EF0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D1B"/>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7232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325A"/>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03155C"/>
    <w:rPr>
      <w:color w:val="0563C1" w:themeColor="hyperlink"/>
      <w:u w:val="single"/>
    </w:rPr>
  </w:style>
  <w:style w:type="character" w:styleId="Mentionnonrsolue">
    <w:name w:val="Unresolved Mention"/>
    <w:basedOn w:val="Policepardfaut"/>
    <w:uiPriority w:val="99"/>
    <w:semiHidden/>
    <w:unhideWhenUsed/>
    <w:rsid w:val="0003155C"/>
    <w:rPr>
      <w:color w:val="605E5C"/>
      <w:shd w:val="clear" w:color="auto" w:fill="E1DFDD"/>
    </w:rPr>
  </w:style>
  <w:style w:type="paragraph" w:styleId="Lgende">
    <w:name w:val="caption"/>
    <w:basedOn w:val="Normal"/>
    <w:next w:val="Normal"/>
    <w:uiPriority w:val="35"/>
    <w:unhideWhenUsed/>
    <w:qFormat/>
    <w:rsid w:val="00886D93"/>
    <w:pPr>
      <w:spacing w:after="200"/>
    </w:pPr>
    <w:rPr>
      <w:i/>
      <w:iCs/>
      <w:color w:val="44546A" w:themeColor="text2"/>
      <w:sz w:val="18"/>
      <w:szCs w:val="18"/>
    </w:rPr>
  </w:style>
  <w:style w:type="character" w:styleId="Accentuation">
    <w:name w:val="Emphasis"/>
    <w:basedOn w:val="Policepardfaut"/>
    <w:uiPriority w:val="20"/>
    <w:qFormat/>
    <w:rsid w:val="00011E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9282">
      <w:bodyDiv w:val="1"/>
      <w:marLeft w:val="0"/>
      <w:marRight w:val="0"/>
      <w:marTop w:val="0"/>
      <w:marBottom w:val="0"/>
      <w:divBdr>
        <w:top w:val="none" w:sz="0" w:space="0" w:color="auto"/>
        <w:left w:val="none" w:sz="0" w:space="0" w:color="auto"/>
        <w:bottom w:val="none" w:sz="0" w:space="0" w:color="auto"/>
        <w:right w:val="none" w:sz="0" w:space="0" w:color="auto"/>
      </w:divBdr>
    </w:div>
    <w:div w:id="308094192">
      <w:bodyDiv w:val="1"/>
      <w:marLeft w:val="0"/>
      <w:marRight w:val="0"/>
      <w:marTop w:val="0"/>
      <w:marBottom w:val="0"/>
      <w:divBdr>
        <w:top w:val="none" w:sz="0" w:space="0" w:color="auto"/>
        <w:left w:val="none" w:sz="0" w:space="0" w:color="auto"/>
        <w:bottom w:val="none" w:sz="0" w:space="0" w:color="auto"/>
        <w:right w:val="none" w:sz="0" w:space="0" w:color="auto"/>
      </w:divBdr>
    </w:div>
    <w:div w:id="418410875">
      <w:bodyDiv w:val="1"/>
      <w:marLeft w:val="0"/>
      <w:marRight w:val="0"/>
      <w:marTop w:val="0"/>
      <w:marBottom w:val="0"/>
      <w:divBdr>
        <w:top w:val="none" w:sz="0" w:space="0" w:color="auto"/>
        <w:left w:val="none" w:sz="0" w:space="0" w:color="auto"/>
        <w:bottom w:val="none" w:sz="0" w:space="0" w:color="auto"/>
        <w:right w:val="none" w:sz="0" w:space="0" w:color="auto"/>
      </w:divBdr>
    </w:div>
    <w:div w:id="444078192">
      <w:bodyDiv w:val="1"/>
      <w:marLeft w:val="0"/>
      <w:marRight w:val="0"/>
      <w:marTop w:val="0"/>
      <w:marBottom w:val="0"/>
      <w:divBdr>
        <w:top w:val="none" w:sz="0" w:space="0" w:color="auto"/>
        <w:left w:val="none" w:sz="0" w:space="0" w:color="auto"/>
        <w:bottom w:val="none" w:sz="0" w:space="0" w:color="auto"/>
        <w:right w:val="none" w:sz="0" w:space="0" w:color="auto"/>
      </w:divBdr>
    </w:div>
    <w:div w:id="575089743">
      <w:bodyDiv w:val="1"/>
      <w:marLeft w:val="0"/>
      <w:marRight w:val="0"/>
      <w:marTop w:val="0"/>
      <w:marBottom w:val="0"/>
      <w:divBdr>
        <w:top w:val="none" w:sz="0" w:space="0" w:color="auto"/>
        <w:left w:val="none" w:sz="0" w:space="0" w:color="auto"/>
        <w:bottom w:val="none" w:sz="0" w:space="0" w:color="auto"/>
        <w:right w:val="none" w:sz="0" w:space="0" w:color="auto"/>
      </w:divBdr>
    </w:div>
    <w:div w:id="795607298">
      <w:bodyDiv w:val="1"/>
      <w:marLeft w:val="0"/>
      <w:marRight w:val="0"/>
      <w:marTop w:val="0"/>
      <w:marBottom w:val="0"/>
      <w:divBdr>
        <w:top w:val="none" w:sz="0" w:space="0" w:color="auto"/>
        <w:left w:val="none" w:sz="0" w:space="0" w:color="auto"/>
        <w:bottom w:val="none" w:sz="0" w:space="0" w:color="auto"/>
        <w:right w:val="none" w:sz="0" w:space="0" w:color="auto"/>
      </w:divBdr>
      <w:divsChild>
        <w:div w:id="486871679">
          <w:marLeft w:val="0"/>
          <w:marRight w:val="0"/>
          <w:marTop w:val="0"/>
          <w:marBottom w:val="0"/>
          <w:divBdr>
            <w:top w:val="none" w:sz="0" w:space="0" w:color="auto"/>
            <w:left w:val="none" w:sz="0" w:space="0" w:color="auto"/>
            <w:bottom w:val="none" w:sz="0" w:space="0" w:color="auto"/>
            <w:right w:val="none" w:sz="0" w:space="0" w:color="auto"/>
          </w:divBdr>
        </w:div>
      </w:divsChild>
    </w:div>
    <w:div w:id="810055518">
      <w:bodyDiv w:val="1"/>
      <w:marLeft w:val="0"/>
      <w:marRight w:val="0"/>
      <w:marTop w:val="0"/>
      <w:marBottom w:val="0"/>
      <w:divBdr>
        <w:top w:val="none" w:sz="0" w:space="0" w:color="auto"/>
        <w:left w:val="none" w:sz="0" w:space="0" w:color="auto"/>
        <w:bottom w:val="none" w:sz="0" w:space="0" w:color="auto"/>
        <w:right w:val="none" w:sz="0" w:space="0" w:color="auto"/>
      </w:divBdr>
      <w:divsChild>
        <w:div w:id="451284287">
          <w:marLeft w:val="0"/>
          <w:marRight w:val="0"/>
          <w:marTop w:val="0"/>
          <w:marBottom w:val="0"/>
          <w:divBdr>
            <w:top w:val="none" w:sz="0" w:space="0" w:color="auto"/>
            <w:left w:val="none" w:sz="0" w:space="0" w:color="auto"/>
            <w:bottom w:val="none" w:sz="0" w:space="0" w:color="auto"/>
            <w:right w:val="none" w:sz="0" w:space="0" w:color="auto"/>
          </w:divBdr>
        </w:div>
      </w:divsChild>
    </w:div>
    <w:div w:id="820462182">
      <w:bodyDiv w:val="1"/>
      <w:marLeft w:val="0"/>
      <w:marRight w:val="0"/>
      <w:marTop w:val="0"/>
      <w:marBottom w:val="0"/>
      <w:divBdr>
        <w:top w:val="none" w:sz="0" w:space="0" w:color="auto"/>
        <w:left w:val="none" w:sz="0" w:space="0" w:color="auto"/>
        <w:bottom w:val="none" w:sz="0" w:space="0" w:color="auto"/>
        <w:right w:val="none" w:sz="0" w:space="0" w:color="auto"/>
      </w:divBdr>
      <w:divsChild>
        <w:div w:id="918632797">
          <w:marLeft w:val="0"/>
          <w:marRight w:val="0"/>
          <w:marTop w:val="0"/>
          <w:marBottom w:val="0"/>
          <w:divBdr>
            <w:top w:val="none" w:sz="0" w:space="0" w:color="auto"/>
            <w:left w:val="none" w:sz="0" w:space="0" w:color="auto"/>
            <w:bottom w:val="none" w:sz="0" w:space="0" w:color="auto"/>
            <w:right w:val="none" w:sz="0" w:space="0" w:color="auto"/>
          </w:divBdr>
        </w:div>
      </w:divsChild>
    </w:div>
    <w:div w:id="895436700">
      <w:bodyDiv w:val="1"/>
      <w:marLeft w:val="0"/>
      <w:marRight w:val="0"/>
      <w:marTop w:val="0"/>
      <w:marBottom w:val="0"/>
      <w:divBdr>
        <w:top w:val="none" w:sz="0" w:space="0" w:color="auto"/>
        <w:left w:val="none" w:sz="0" w:space="0" w:color="auto"/>
        <w:bottom w:val="none" w:sz="0" w:space="0" w:color="auto"/>
        <w:right w:val="none" w:sz="0" w:space="0" w:color="auto"/>
      </w:divBdr>
    </w:div>
    <w:div w:id="899561112">
      <w:bodyDiv w:val="1"/>
      <w:marLeft w:val="0"/>
      <w:marRight w:val="0"/>
      <w:marTop w:val="0"/>
      <w:marBottom w:val="0"/>
      <w:divBdr>
        <w:top w:val="none" w:sz="0" w:space="0" w:color="auto"/>
        <w:left w:val="none" w:sz="0" w:space="0" w:color="auto"/>
        <w:bottom w:val="none" w:sz="0" w:space="0" w:color="auto"/>
        <w:right w:val="none" w:sz="0" w:space="0" w:color="auto"/>
      </w:divBdr>
      <w:divsChild>
        <w:div w:id="1339386035">
          <w:marLeft w:val="0"/>
          <w:marRight w:val="0"/>
          <w:marTop w:val="0"/>
          <w:marBottom w:val="0"/>
          <w:divBdr>
            <w:top w:val="none" w:sz="0" w:space="0" w:color="auto"/>
            <w:left w:val="none" w:sz="0" w:space="0" w:color="auto"/>
            <w:bottom w:val="none" w:sz="0" w:space="0" w:color="auto"/>
            <w:right w:val="none" w:sz="0" w:space="0" w:color="auto"/>
          </w:divBdr>
        </w:div>
      </w:divsChild>
    </w:div>
    <w:div w:id="1015380013">
      <w:bodyDiv w:val="1"/>
      <w:marLeft w:val="0"/>
      <w:marRight w:val="0"/>
      <w:marTop w:val="0"/>
      <w:marBottom w:val="0"/>
      <w:divBdr>
        <w:top w:val="none" w:sz="0" w:space="0" w:color="auto"/>
        <w:left w:val="none" w:sz="0" w:space="0" w:color="auto"/>
        <w:bottom w:val="none" w:sz="0" w:space="0" w:color="auto"/>
        <w:right w:val="none" w:sz="0" w:space="0" w:color="auto"/>
      </w:divBdr>
    </w:div>
    <w:div w:id="1029381967">
      <w:bodyDiv w:val="1"/>
      <w:marLeft w:val="0"/>
      <w:marRight w:val="0"/>
      <w:marTop w:val="0"/>
      <w:marBottom w:val="0"/>
      <w:divBdr>
        <w:top w:val="none" w:sz="0" w:space="0" w:color="auto"/>
        <w:left w:val="none" w:sz="0" w:space="0" w:color="auto"/>
        <w:bottom w:val="none" w:sz="0" w:space="0" w:color="auto"/>
        <w:right w:val="none" w:sz="0" w:space="0" w:color="auto"/>
      </w:divBdr>
    </w:div>
    <w:div w:id="1159613289">
      <w:bodyDiv w:val="1"/>
      <w:marLeft w:val="0"/>
      <w:marRight w:val="0"/>
      <w:marTop w:val="0"/>
      <w:marBottom w:val="0"/>
      <w:divBdr>
        <w:top w:val="none" w:sz="0" w:space="0" w:color="auto"/>
        <w:left w:val="none" w:sz="0" w:space="0" w:color="auto"/>
        <w:bottom w:val="none" w:sz="0" w:space="0" w:color="auto"/>
        <w:right w:val="none" w:sz="0" w:space="0" w:color="auto"/>
      </w:divBdr>
      <w:divsChild>
        <w:div w:id="1220171130">
          <w:marLeft w:val="0"/>
          <w:marRight w:val="0"/>
          <w:marTop w:val="0"/>
          <w:marBottom w:val="0"/>
          <w:divBdr>
            <w:top w:val="none" w:sz="0" w:space="0" w:color="auto"/>
            <w:left w:val="none" w:sz="0" w:space="0" w:color="auto"/>
            <w:bottom w:val="none" w:sz="0" w:space="0" w:color="auto"/>
            <w:right w:val="none" w:sz="0" w:space="0" w:color="auto"/>
          </w:divBdr>
        </w:div>
      </w:divsChild>
    </w:div>
    <w:div w:id="1491673232">
      <w:bodyDiv w:val="1"/>
      <w:marLeft w:val="0"/>
      <w:marRight w:val="0"/>
      <w:marTop w:val="0"/>
      <w:marBottom w:val="0"/>
      <w:divBdr>
        <w:top w:val="none" w:sz="0" w:space="0" w:color="auto"/>
        <w:left w:val="none" w:sz="0" w:space="0" w:color="auto"/>
        <w:bottom w:val="none" w:sz="0" w:space="0" w:color="auto"/>
        <w:right w:val="none" w:sz="0" w:space="0" w:color="auto"/>
      </w:divBdr>
    </w:div>
    <w:div w:id="1539391200">
      <w:bodyDiv w:val="1"/>
      <w:marLeft w:val="0"/>
      <w:marRight w:val="0"/>
      <w:marTop w:val="0"/>
      <w:marBottom w:val="0"/>
      <w:divBdr>
        <w:top w:val="none" w:sz="0" w:space="0" w:color="auto"/>
        <w:left w:val="none" w:sz="0" w:space="0" w:color="auto"/>
        <w:bottom w:val="none" w:sz="0" w:space="0" w:color="auto"/>
        <w:right w:val="none" w:sz="0" w:space="0" w:color="auto"/>
      </w:divBdr>
      <w:divsChild>
        <w:div w:id="600916055">
          <w:marLeft w:val="0"/>
          <w:marRight w:val="0"/>
          <w:marTop w:val="0"/>
          <w:marBottom w:val="0"/>
          <w:divBdr>
            <w:top w:val="none" w:sz="0" w:space="0" w:color="auto"/>
            <w:left w:val="none" w:sz="0" w:space="0" w:color="auto"/>
            <w:bottom w:val="none" w:sz="0" w:space="0" w:color="auto"/>
            <w:right w:val="none" w:sz="0" w:space="0" w:color="auto"/>
          </w:divBdr>
        </w:div>
      </w:divsChild>
    </w:div>
    <w:div w:id="1542286934">
      <w:bodyDiv w:val="1"/>
      <w:marLeft w:val="0"/>
      <w:marRight w:val="0"/>
      <w:marTop w:val="0"/>
      <w:marBottom w:val="0"/>
      <w:divBdr>
        <w:top w:val="none" w:sz="0" w:space="0" w:color="auto"/>
        <w:left w:val="none" w:sz="0" w:space="0" w:color="auto"/>
        <w:bottom w:val="none" w:sz="0" w:space="0" w:color="auto"/>
        <w:right w:val="none" w:sz="0" w:space="0" w:color="auto"/>
      </w:divBdr>
    </w:div>
    <w:div w:id="1551376710">
      <w:bodyDiv w:val="1"/>
      <w:marLeft w:val="0"/>
      <w:marRight w:val="0"/>
      <w:marTop w:val="0"/>
      <w:marBottom w:val="0"/>
      <w:divBdr>
        <w:top w:val="none" w:sz="0" w:space="0" w:color="auto"/>
        <w:left w:val="none" w:sz="0" w:space="0" w:color="auto"/>
        <w:bottom w:val="none" w:sz="0" w:space="0" w:color="auto"/>
        <w:right w:val="none" w:sz="0" w:space="0" w:color="auto"/>
      </w:divBdr>
      <w:divsChild>
        <w:div w:id="1489403028">
          <w:marLeft w:val="0"/>
          <w:marRight w:val="0"/>
          <w:marTop w:val="0"/>
          <w:marBottom w:val="0"/>
          <w:divBdr>
            <w:top w:val="none" w:sz="0" w:space="0" w:color="auto"/>
            <w:left w:val="none" w:sz="0" w:space="0" w:color="auto"/>
            <w:bottom w:val="none" w:sz="0" w:space="0" w:color="auto"/>
            <w:right w:val="none" w:sz="0" w:space="0" w:color="auto"/>
          </w:divBdr>
        </w:div>
      </w:divsChild>
    </w:div>
    <w:div w:id="1646859554">
      <w:bodyDiv w:val="1"/>
      <w:marLeft w:val="0"/>
      <w:marRight w:val="0"/>
      <w:marTop w:val="0"/>
      <w:marBottom w:val="0"/>
      <w:divBdr>
        <w:top w:val="none" w:sz="0" w:space="0" w:color="auto"/>
        <w:left w:val="none" w:sz="0" w:space="0" w:color="auto"/>
        <w:bottom w:val="none" w:sz="0" w:space="0" w:color="auto"/>
        <w:right w:val="none" w:sz="0" w:space="0" w:color="auto"/>
      </w:divBdr>
      <w:divsChild>
        <w:div w:id="540702938">
          <w:marLeft w:val="0"/>
          <w:marRight w:val="0"/>
          <w:marTop w:val="0"/>
          <w:marBottom w:val="0"/>
          <w:divBdr>
            <w:top w:val="none" w:sz="0" w:space="0" w:color="auto"/>
            <w:left w:val="none" w:sz="0" w:space="0" w:color="auto"/>
            <w:bottom w:val="none" w:sz="0" w:space="0" w:color="auto"/>
            <w:right w:val="none" w:sz="0" w:space="0" w:color="auto"/>
          </w:divBdr>
        </w:div>
      </w:divsChild>
    </w:div>
    <w:div w:id="1808163893">
      <w:bodyDiv w:val="1"/>
      <w:marLeft w:val="0"/>
      <w:marRight w:val="0"/>
      <w:marTop w:val="0"/>
      <w:marBottom w:val="0"/>
      <w:divBdr>
        <w:top w:val="none" w:sz="0" w:space="0" w:color="auto"/>
        <w:left w:val="none" w:sz="0" w:space="0" w:color="auto"/>
        <w:bottom w:val="none" w:sz="0" w:space="0" w:color="auto"/>
        <w:right w:val="none" w:sz="0" w:space="0" w:color="auto"/>
      </w:divBdr>
      <w:divsChild>
        <w:div w:id="1186595963">
          <w:marLeft w:val="0"/>
          <w:marRight w:val="0"/>
          <w:marTop w:val="0"/>
          <w:marBottom w:val="0"/>
          <w:divBdr>
            <w:top w:val="none" w:sz="0" w:space="0" w:color="auto"/>
            <w:left w:val="none" w:sz="0" w:space="0" w:color="auto"/>
            <w:bottom w:val="none" w:sz="0" w:space="0" w:color="auto"/>
            <w:right w:val="none" w:sz="0" w:space="0" w:color="auto"/>
          </w:divBdr>
        </w:div>
      </w:divsChild>
    </w:div>
    <w:div w:id="1814784532">
      <w:bodyDiv w:val="1"/>
      <w:marLeft w:val="0"/>
      <w:marRight w:val="0"/>
      <w:marTop w:val="0"/>
      <w:marBottom w:val="0"/>
      <w:divBdr>
        <w:top w:val="none" w:sz="0" w:space="0" w:color="auto"/>
        <w:left w:val="none" w:sz="0" w:space="0" w:color="auto"/>
        <w:bottom w:val="none" w:sz="0" w:space="0" w:color="auto"/>
        <w:right w:val="none" w:sz="0" w:space="0" w:color="auto"/>
      </w:divBdr>
    </w:div>
    <w:div w:id="2073656016">
      <w:bodyDiv w:val="1"/>
      <w:marLeft w:val="0"/>
      <w:marRight w:val="0"/>
      <w:marTop w:val="0"/>
      <w:marBottom w:val="0"/>
      <w:divBdr>
        <w:top w:val="none" w:sz="0" w:space="0" w:color="auto"/>
        <w:left w:val="none" w:sz="0" w:space="0" w:color="auto"/>
        <w:bottom w:val="none" w:sz="0" w:space="0" w:color="auto"/>
        <w:right w:val="none" w:sz="0" w:space="0" w:color="auto"/>
      </w:divBdr>
    </w:div>
    <w:div w:id="210206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467-018-05914-x" TargetMode="External"/><Relationship Id="rId13" Type="http://schemas.openxmlformats.org/officeDocument/2006/relationships/hyperlink" Target="https://doi.org/10.1016/j.cell.2015.12.050" TargetMode="External"/><Relationship Id="rId18" Type="http://schemas.openxmlformats.org/officeDocument/2006/relationships/hyperlink" Target="https://doi.org/10.1038/nature07943" TargetMode="External"/><Relationship Id="rId3" Type="http://schemas.openxmlformats.org/officeDocument/2006/relationships/webSettings" Target="webSettings.xml"/><Relationship Id="rId21" Type="http://schemas.openxmlformats.org/officeDocument/2006/relationships/hyperlink" Target="https://doi.org/10.1038/ncb2897" TargetMode="External"/><Relationship Id="rId7" Type="http://schemas.openxmlformats.org/officeDocument/2006/relationships/hyperlink" Target="https://doi.org/10.1038/nm.2323" TargetMode="External"/><Relationship Id="rId12" Type="http://schemas.openxmlformats.org/officeDocument/2006/relationships/hyperlink" Target="https://doi.org/10.1097/JTO.0b013e318283d958" TargetMode="External"/><Relationship Id="rId17" Type="http://schemas.openxmlformats.org/officeDocument/2006/relationships/hyperlink" Target="https://doi.org/10.1126/science.1237758" TargetMode="External"/><Relationship Id="rId2" Type="http://schemas.openxmlformats.org/officeDocument/2006/relationships/settings" Target="settings.xml"/><Relationship Id="rId16" Type="http://schemas.openxmlformats.org/officeDocument/2006/relationships/hyperlink" Target="https://doi.org/10.1038/s41467-020-17858-2" TargetMode="External"/><Relationship Id="rId20" Type="http://schemas.openxmlformats.org/officeDocument/2006/relationships/hyperlink" Target="https://doi.org/10.1186/s13073-014-0081-7" TargetMode="External"/><Relationship Id="rId1" Type="http://schemas.openxmlformats.org/officeDocument/2006/relationships/styles" Target="styles.xml"/><Relationship Id="rId6" Type="http://schemas.openxmlformats.org/officeDocument/2006/relationships/hyperlink" Target="https://doi.org/10.1038/s41586-020-1943-3" TargetMode="External"/><Relationship Id="rId11" Type="http://schemas.openxmlformats.org/officeDocument/2006/relationships/hyperlink" Target="https://doi.org/10.1038/s41586-020-1969-6" TargetMode="External"/><Relationship Id="rId5" Type="http://schemas.openxmlformats.org/officeDocument/2006/relationships/hyperlink" Target="https://doi.org/10.1016/j.celrep.2012.12.008" TargetMode="External"/><Relationship Id="rId15" Type="http://schemas.openxmlformats.org/officeDocument/2006/relationships/hyperlink" Target="https://doi.org/10.1371/journal.pone.0221235" TargetMode="External"/><Relationship Id="rId23" Type="http://schemas.openxmlformats.org/officeDocument/2006/relationships/theme" Target="theme/theme1.xml"/><Relationship Id="rId10" Type="http://schemas.openxmlformats.org/officeDocument/2006/relationships/hyperlink" Target="https://doi.org/10.3892/ol.2018.9770" TargetMode="External"/><Relationship Id="rId19" Type="http://schemas.openxmlformats.org/officeDocument/2006/relationships/hyperlink" Target="https://doi.org/10.1093/nar/gky1015" TargetMode="External"/><Relationship Id="rId4" Type="http://schemas.openxmlformats.org/officeDocument/2006/relationships/image" Target="media/image1.jpeg"/><Relationship Id="rId9" Type="http://schemas.openxmlformats.org/officeDocument/2006/relationships/hyperlink" Target="https://doi.org/10.1038/emboj.2008.15" TargetMode="External"/><Relationship Id="rId14" Type="http://schemas.openxmlformats.org/officeDocument/2006/relationships/hyperlink" Target="https://doi.org/10.1097/CCO.0b013e3283412dfa"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3</Pages>
  <Words>1690</Words>
  <Characters>9300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Boudemia Ala Eddine</dc:creator>
  <cp:keywords/>
  <dc:description/>
  <cp:lastModifiedBy>Boudemia Ala Eddine</cp:lastModifiedBy>
  <cp:revision>22</cp:revision>
  <dcterms:created xsi:type="dcterms:W3CDTF">2022-05-04T08:28:00Z</dcterms:created>
  <dcterms:modified xsi:type="dcterms:W3CDTF">2022-05-19T09:25:00Z</dcterms:modified>
</cp:coreProperties>
</file>