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  <w:gridCol w:w="3285"/>
      </w:tblGrid>
      <w:tr>
        <w:trPr>
          <w:trHeight w:hRule="exact" w:val="2590"/>
        </w:trPr>
        <w:tc>
          <w:tcPr>
            <w:tcW w:type="dxa" w:w="30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68120" cy="14668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120" cy="1466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2190" w:after="0"/>
              <w:ind w:left="778" w:right="0" w:firstLine="0"/>
              <w:jc w:val="left"/>
            </w:pPr>
            <w:r>
              <w:rPr>
                <w:w w:val="98.21538191575272"/>
                <w:rFonts w:ascii="Times" w:hAnsi="Times" w:eastAsia="Times"/>
                <w:b w:val="0"/>
                <w:i w:val="0"/>
                <w:color w:val="4472C4"/>
                <w:sz w:val="26"/>
              </w:rPr>
              <w:t>Rapport médical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461769" cy="14681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769" cy="14681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76" w:lineRule="exact" w:before="254" w:after="0"/>
        <w:ind w:left="424" w:right="3888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 xml:space="preserve">Date : 2 avril 2030 Auteur : Dr Ethan Calder, MD Objet : Premières constatations </w:t>
      </w:r>
      <w:r>
        <w:rPr>
          <w:rFonts w:ascii="Times" w:hAnsi="Times" w:eastAsia="Times"/>
          <w:b w:val="0"/>
          <w:i w:val="0"/>
          <w:color w:val="0E0E0E"/>
          <w:sz w:val="17"/>
        </w:rPr>
        <w:t>sur l'épidémie actuelle à Sycala</w:t>
      </w:r>
    </w:p>
    <w:p>
      <w:pPr>
        <w:autoSpaceDN w:val="0"/>
        <w:autoSpaceDE w:val="0"/>
        <w:widowControl/>
        <w:spacing w:line="178" w:lineRule="exact" w:before="610" w:after="0"/>
        <w:ind w:left="424" w:right="0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 xml:space="preserve">Suite à une demande officielle de M. Jacques Healwell, Directeur de l'Agence médicale de Sycala, j'ai été chargé d'assister l'équipe junior </w:t>
      </w:r>
      <w:r>
        <w:rPr>
          <w:rFonts w:ascii="Times" w:hAnsi="Times" w:eastAsia="Times"/>
          <w:b w:val="0"/>
          <w:i w:val="0"/>
          <w:color w:val="0E0E0E"/>
          <w:sz w:val="17"/>
        </w:rPr>
        <w:t>d'épidémiologie dans leur enquête sur l'épidémie en cours dans la région. Mes responsabilités principales incluent la gestion des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évaluations cliniques évaluations, en garantissant des consultations en temps opportun pour les personnes symptomatiques, et en créant </w:t>
      </w:r>
      <w:r>
        <w:rPr>
          <w:rFonts w:ascii="Times" w:hAnsi="Times" w:eastAsia="Times"/>
          <w:b w:val="0"/>
          <w:i w:val="0"/>
          <w:color w:val="0E0E0E"/>
          <w:sz w:val="17"/>
        </w:rPr>
        <w:t>une base de données complète des patients infectés, guéris et hospitalisés.</w:t>
      </w:r>
    </w:p>
    <w:p>
      <w:pPr>
        <w:autoSpaceDN w:val="0"/>
        <w:autoSpaceDE w:val="0"/>
        <w:widowControl/>
        <w:spacing w:line="178" w:lineRule="exact" w:before="738" w:after="0"/>
        <w:ind w:left="424" w:right="144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 xml:space="preserve">Cette base de données, que j'ai initiée avec l'aide des autorités locales et des entreprises, capte des informations essentielles sur les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personnes infectées et est mis à jour environ tous les 10 jours. Elle servira de pierre angulaire pour suivre la progression de l'épidémie et </w:t>
      </w:r>
      <w:r>
        <w:rPr>
          <w:rFonts w:ascii="Times" w:hAnsi="Times" w:eastAsia="Times"/>
          <w:b w:val="0"/>
          <w:i w:val="0"/>
          <w:color w:val="0E0E0E"/>
          <w:sz w:val="17"/>
        </w:rPr>
        <w:t>aidera à identifier les tendances et les risques potentiels.</w:t>
      </w:r>
    </w:p>
    <w:p>
      <w:pPr>
        <w:autoSpaceDN w:val="0"/>
        <w:autoSpaceDE w:val="0"/>
        <w:widowControl/>
        <w:spacing w:line="246" w:lineRule="exact" w:before="628" w:after="0"/>
        <w:ind w:left="424" w:right="0" w:firstLine="0"/>
        <w:jc w:val="left"/>
      </w:pPr>
      <w:r>
        <w:rPr>
          <w:w w:val="102.40000618828668"/>
          <w:rFonts w:ascii="Times" w:hAnsi="Times" w:eastAsia="Times"/>
          <w:b w:val="0"/>
          <w:i w:val="0"/>
          <w:color w:val="0E0E0E"/>
          <w:sz w:val="18"/>
        </w:rPr>
        <w:t>Analyse des Indices et des Observations de la Base de Données</w:t>
      </w:r>
    </w:p>
    <w:p>
      <w:pPr>
        <w:autoSpaceDN w:val="0"/>
        <w:autoSpaceDE w:val="0"/>
        <w:widowControl/>
        <w:spacing w:line="178" w:lineRule="exact" w:before="306" w:after="0"/>
        <w:ind w:left="288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7"/>
        </w:rPr>
        <w:t xml:space="preserve">Au 1er avril 2030, la base de données comprend des archives d'individus symptomatiques présentant une variété de signes cliniques. Ces </w:t>
      </w:r>
      <w:r>
        <w:rPr>
          <w:rFonts w:ascii="Times" w:hAnsi="Times" w:eastAsia="Times"/>
          <w:b w:val="0"/>
          <w:i w:val="0"/>
          <w:color w:val="000000"/>
          <w:sz w:val="17"/>
        </w:rPr>
        <w:t xml:space="preserve">Ces signes comprennent une fièvre élevée, des frissons intermittents et un suintement abondant. Les patients signalent fréquemment des </w:t>
      </w:r>
      <w:r>
        <w:rPr>
          <w:rFonts w:ascii="Times" w:hAnsi="Times" w:eastAsia="Times"/>
          <w:b w:val="0"/>
          <w:i w:val="0"/>
          <w:color w:val="000000"/>
          <w:sz w:val="17"/>
        </w:rPr>
        <w:t xml:space="preserve">douleurs abdominales sévères, des nausées et, dans certains cas, des vomissements. Des observations supplémentaires comprennent une </w:t>
      </w:r>
      <w:r>
        <w:rPr>
          <w:rFonts w:ascii="Times" w:hAnsi="Times" w:eastAsia="Times"/>
          <w:b w:val="0"/>
          <w:i w:val="0"/>
          <w:color w:val="000000"/>
          <w:sz w:val="17"/>
        </w:rPr>
        <w:t>myalgie généralisée, une arthralgie et, dans certains cas, des manifestations cutanées telles qu'une éruption maculopapuleuse transitoire.</w:t>
      </w:r>
    </w:p>
    <w:p>
      <w:pPr>
        <w:autoSpaceDN w:val="0"/>
        <w:autoSpaceDE w:val="0"/>
        <w:widowControl/>
        <w:spacing w:line="226" w:lineRule="exact" w:before="0" w:after="0"/>
        <w:ind w:left="42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7"/>
        </w:rPr>
        <w:t>Ces Ces signes cliniques présentent un spectre de gravité, allant d'un inconfort léger à des symptômes systémiques invalidants.</w:t>
      </w:r>
    </w:p>
    <w:p>
      <w:pPr>
        <w:autoSpaceDN w:val="0"/>
        <w:autoSpaceDE w:val="0"/>
        <w:widowControl/>
        <w:spacing w:line="178" w:lineRule="exact" w:before="800" w:after="0"/>
        <w:ind w:left="424" w:right="0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 xml:space="preserve">Une action rapide des autorités a garanti que les patients présentant des symptômes soient rapidement dirigés vers une consultation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médicale sous ma surveillance. La base de données - au 1er avril - comprend 97 archives avec des détails tels que les symptômes initiaux,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l'état actuel et le nombre de jours passés dans cet état. Avec l'aide de Hugo Byte, un stagiaire en bioinformatique ambitieux en première </w:t>
      </w:r>
      <w:r>
        <w:rPr>
          <w:rFonts w:ascii="Times" w:hAnsi="Times" w:eastAsia="Times"/>
          <w:b w:val="0"/>
          <w:i w:val="0"/>
          <w:color w:val="0E0E0E"/>
          <w:sz w:val="17"/>
        </w:rPr>
        <w:t>année, ces Ces informations ont été utilisées pour calculer des valeurs essentielles, notamment le nombre d'individus récupérés jusqu'à</w:t>
      </w:r>
      <w:r>
        <w:rPr>
          <w:rFonts w:ascii="Times" w:hAnsi="Times" w:eastAsia="Times"/>
          <w:b w:val="0"/>
          <w:i w:val="0"/>
          <w:color w:val="0E0E0E"/>
          <w:sz w:val="17"/>
        </w:rPr>
        <w:t>aujourd'hui (comme indiqué dans la Fig.1).</w:t>
      </w:r>
    </w:p>
    <w:p>
      <w:pPr>
        <w:autoSpaceDN w:val="0"/>
        <w:autoSpaceDE w:val="0"/>
        <w:widowControl/>
        <w:spacing w:line="240" w:lineRule="auto" w:before="470" w:after="0"/>
        <w:ind w:left="19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16960" cy="28803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880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2" w:lineRule="exact" w:before="24" w:after="550"/>
        <w:ind w:left="1650" w:right="0" w:firstLine="0"/>
        <w:jc w:val="left"/>
      </w:pPr>
      <w:r>
        <w:rPr>
          <w:w w:val="102.85714013235909"/>
          <w:rFonts w:ascii="Times" w:hAnsi="Times" w:eastAsia="Times"/>
          <w:b w:val="0"/>
          <w:i w:val="0"/>
          <w:color w:val="44546A"/>
          <w:sz w:val="14"/>
        </w:rPr>
        <w:t>Figure 1 : Évolution du nombre d'individus récupérés il y a 20 jours jusqu'à hier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97" w:type="dxa"/>
      </w:tblPr>
      <w:tblGrid>
        <w:gridCol w:w="4927"/>
        <w:gridCol w:w="4927"/>
      </w:tblGrid>
      <w:tr>
        <w:trPr>
          <w:trHeight w:hRule="exact" w:val="256"/>
        </w:trPr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Bref rapport médical ? Dr Ethan Calder ? 02/04/2030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92" w:right="920" w:bottom="328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178" w:lineRule="exact" w:before="68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 xml:space="preserve">M. Byte affirme également ce qui suit : le fichier de données dont nous disposons nous permet de calculer à la fois le nombre de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personnes rétablies individus et le nombre de patients hospitalisés ou décédés au fil du temps. Pendant ce temps, les rapports journaliers </w:t>
      </w:r>
      <w:r>
        <w:rPr>
          <w:rFonts w:ascii="Times" w:hAnsi="Times" w:eastAsia="Times"/>
          <w:b w:val="0"/>
          <w:i w:val="0"/>
          <w:color w:val="0E0E0E"/>
          <w:sz w:val="17"/>
        </w:rPr>
        <w:t>de l'Agence de santé Sycala, qui détaillent le nombre de nouvelles infections chaque jour, fournissent naturellement le nombre cumulé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d'individus infectés. En soustrayant, à à tout moment t, le nombre total de patients récupérés et décédés du nombre cumulé d'infections,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nous pourrions déduire le nombre d'individus actuellement infectés - ce que nous appelons prévalence, une mesure d'un intérêt significatif </w:t>
      </w:r>
      <w:r>
        <w:rPr>
          <w:rFonts w:ascii="Times" w:hAnsi="Times" w:eastAsia="Times"/>
          <w:b w:val="0"/>
          <w:i w:val="0"/>
          <w:color w:val="0E0E0E"/>
          <w:sz w:val="17"/>
        </w:rPr>
        <w:t>pour comprendre la progression de l'épidémie.</w:t>
      </w:r>
    </w:p>
    <w:p>
      <w:pPr>
        <w:autoSpaceDN w:val="0"/>
        <w:autoSpaceDE w:val="0"/>
        <w:widowControl/>
        <w:spacing w:line="224" w:lineRule="exact" w:before="818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>En outre, M. Byte a également analysé les chiffres 2 et 3 suivants.</w:t>
      </w:r>
    </w:p>
    <w:p>
      <w:pPr>
        <w:autoSpaceDN w:val="0"/>
        <w:autoSpaceDE w:val="0"/>
        <w:widowControl/>
        <w:spacing w:line="240" w:lineRule="auto" w:before="156" w:after="0"/>
        <w:ind w:left="224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29940" cy="2571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52" w:lineRule="exact" w:before="116" w:after="0"/>
        <w:ind w:left="482" w:right="576" w:firstLine="0"/>
        <w:jc w:val="left"/>
      </w:pPr>
      <w:r>
        <w:rPr>
          <w:w w:val="102.85714013235909"/>
          <w:rFonts w:ascii="Times" w:hAnsi="Times" w:eastAsia="Times"/>
          <w:b w:val="0"/>
          <w:i w:val="0"/>
          <w:color w:val="44546A"/>
          <w:sz w:val="14"/>
        </w:rPr>
        <w:t xml:space="preserve">Figure 2 : Distribution des états actuels : Ce graphique à barres illustre le nombre de patients actuellement infectés, guéris ou hospitalisés/décédés </w:t>
      </w:r>
      <w:r>
        <w:rPr>
          <w:w w:val="102.85714013235909"/>
          <w:rFonts w:ascii="Times" w:hAnsi="Times" w:eastAsia="Times"/>
          <w:b w:val="0"/>
          <w:i w:val="0"/>
          <w:color w:val="44546A"/>
          <w:sz w:val="14"/>
        </w:rPr>
        <w:t>(1er avril).</w:t>
      </w:r>
    </w:p>
    <w:p>
      <w:pPr>
        <w:autoSpaceDN w:val="0"/>
        <w:autoSpaceDE w:val="0"/>
        <w:widowControl/>
        <w:spacing w:line="240" w:lineRule="auto" w:before="218" w:after="0"/>
        <w:ind w:left="84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59630" cy="28409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2840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52" w:lineRule="exact" w:before="124" w:after="0"/>
        <w:ind w:left="190" w:right="144" w:firstLine="0"/>
        <w:jc w:val="left"/>
      </w:pPr>
      <w:r>
        <w:rPr>
          <w:w w:val="102.85714013235909"/>
          <w:rFonts w:ascii="Times" w:hAnsi="Times" w:eastAsia="Times"/>
          <w:b w:val="0"/>
          <w:i w:val="0"/>
          <w:color w:val="44546A"/>
          <w:sz w:val="14"/>
        </w:rPr>
        <w:t xml:space="preserve">Figure 3 : Répartition des raisons de consultation initiale : ce graphique à barres horizontales affiche la fréquence de différents symptômes signalés lors de la </w:t>
      </w:r>
      <w:r>
        <w:rPr>
          <w:w w:val="102.85714013235909"/>
          <w:rFonts w:ascii="Times" w:hAnsi="Times" w:eastAsia="Times"/>
          <w:b w:val="0"/>
          <w:i w:val="0"/>
          <w:color w:val="44546A"/>
          <w:sz w:val="14"/>
        </w:rPr>
        <w:t>première consultation, mettant en évidence la présentation clinique de la maladie.</w:t>
      </w:r>
    </w:p>
    <w:p>
      <w:pPr>
        <w:autoSpaceDN w:val="0"/>
        <w:autoSpaceDE w:val="0"/>
        <w:widowControl/>
        <w:spacing w:line="178" w:lineRule="exact" w:before="550" w:after="0"/>
        <w:ind w:left="120" w:right="720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>Les visualisations précédentes fournissent une base pour suivre et gérer l'épidémie, en veillant à ce que les interventions soient</w:t>
      </w:r>
      <w:r>
        <w:rPr>
          <w:rFonts w:ascii="Times" w:hAnsi="Times" w:eastAsia="Times"/>
          <w:b w:val="0"/>
          <w:i w:val="0"/>
          <w:color w:val="0E0E0E"/>
          <w:sz w:val="17"/>
        </w:rPr>
        <w:t>éclairées par des informations basées sur les données.</w:t>
      </w:r>
    </w:p>
    <w:p>
      <w:pPr>
        <w:autoSpaceDN w:val="0"/>
        <w:autoSpaceDE w:val="0"/>
        <w:widowControl/>
        <w:spacing w:line="246" w:lineRule="exact" w:before="322" w:after="1074"/>
        <w:ind w:left="120" w:right="0" w:firstLine="0"/>
        <w:jc w:val="left"/>
      </w:pPr>
      <w:r>
        <w:rPr>
          <w:w w:val="102.40000618828668"/>
          <w:rFonts w:ascii="Times" w:hAnsi="Times" w:eastAsia="Times"/>
          <w:b w:val="0"/>
          <w:i w:val="0"/>
          <w:color w:val="0E0E0E"/>
          <w:sz w:val="18"/>
        </w:rPr>
        <w:t>Résultats et observations des patients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4734"/>
        <w:gridCol w:w="4734"/>
      </w:tblGrid>
      <w:tr>
        <w:trPr>
          <w:trHeight w:hRule="exact" w:val="256"/>
        </w:trPr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Rapport médical succinct ? Dr. Ethan Calder ? 02/04/2030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18" w:right="1002" w:bottom="32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178" w:lineRule="exact" w:before="68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 xml:space="preserve">D'après les données collectées jusqu'à présent, il semble que la plupart des individus présentent des signes pendant quelques jours avant </w:t>
      </w:r>
      <w:r>
        <w:rPr>
          <w:rFonts w:ascii="Times" w:hAnsi="Times" w:eastAsia="Times"/>
          <w:b w:val="0"/>
          <w:i w:val="0"/>
          <w:color w:val="0E0E0E"/>
          <w:sz w:val="17"/>
        </w:rPr>
        <w:t>de se rétablir ou nécessitant une hospitalisation. Un petit sous-ensemble de patients se détériore au point de nécessiter des soins intensifs à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l'hôpital à l'étranger. Les patients hospitalisés ne sont plus suivis après leur transfert, car ils restent en convalescence pour une période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indéfinie. Alors que la majorité de patients se rétablit, une proportion non négligeable connaît des issues graves, suscitant des inquiétudes </w:t>
      </w:r>
      <w:r>
        <w:rPr>
          <w:rFonts w:ascii="Times" w:hAnsi="Times" w:eastAsia="Times"/>
          <w:b w:val="0"/>
          <w:i w:val="0"/>
          <w:color w:val="0E0E0E"/>
          <w:sz w:val="17"/>
        </w:rPr>
        <w:t>quant à l'impact potentiel sur Sycala si l'épidémie s'étendre davantage.</w:t>
      </w:r>
    </w:p>
    <w:p>
      <w:pPr>
        <w:autoSpaceDN w:val="0"/>
        <w:autoSpaceDE w:val="0"/>
        <w:widowControl/>
        <w:spacing w:line="224" w:lineRule="exact" w:before="756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>J'ai suivi de près six cas individuels pour fournir un exposé détaillé :</w:t>
      </w:r>
    </w:p>
    <w:p>
      <w:pPr>
        <w:autoSpaceDN w:val="0"/>
        <w:autoSpaceDE w:val="0"/>
        <w:widowControl/>
        <w:spacing w:line="178" w:lineRule="exact" w:before="306" w:after="0"/>
        <w:ind w:left="440" w:right="0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 xml:space="preserve">1. Patient 12629 (Ferdinand Chailleux) est décédé le 28 mars. Le patient a été initialement diagnostiqué en raison d'une fièvre. Il était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infecté pendant environ 4,5 jours. 2. Le patient 11474 (Eloi Desfontaine) s'est rétabli le 1er avril. Il a initialement présenté un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symptôme de douleur musculaire. Il a été malade pendant un peu plus de 4,5 jours. 3. Le patient 14407 (Deniz Delort) a initialement </w:t>
      </w:r>
      <w:r>
        <w:rPr>
          <w:rFonts w:ascii="Times" w:hAnsi="Times" w:eastAsia="Times"/>
          <w:b w:val="0"/>
          <w:i w:val="0"/>
          <w:color w:val="0E0E0E"/>
          <w:sz w:val="17"/>
        </w:rPr>
        <w:t>présentait une fièvre élevée. Il s'est rétabli il y a quelques jours, après avoir présenté des symptômes pendant presque 6 jours. 4.</w:t>
      </w:r>
    </w:p>
    <w:p>
      <w:pPr>
        <w:autoSpaceDN w:val="0"/>
        <w:autoSpaceDE w:val="0"/>
        <w:widowControl/>
        <w:spacing w:line="224" w:lineRule="exact" w:before="0" w:after="0"/>
        <w:ind w:left="440" w:right="0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>Patient 14838 (Ninho Dormois) s'est remis de son éruption cutanée il y a 3 jours, après un peu moins de 4 jours de symptômes 5.</w:t>
      </w:r>
    </w:p>
    <w:p>
      <w:pPr>
        <w:autoSpaceDN w:val="0"/>
        <w:autoSpaceDE w:val="0"/>
        <w:widowControl/>
        <w:spacing w:line="178" w:lineRule="exact" w:before="46" w:after="0"/>
        <w:ind w:left="440" w:right="432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>Patient 14033 (Maryama Favard) s'est rétabli il y a quelques jours. Le patient a initialement présenté une forte céphalée et a été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symptomatique pendant un peu plus de 5 jours. 6. Le patient 11194 (Liaam Mondot), initialement diagnostiqué en raison d'une </w:t>
      </w:r>
      <w:r>
        <w:rPr>
          <w:rFonts w:ascii="Times" w:hAnsi="Times" w:eastAsia="Times"/>
          <w:b w:val="0"/>
          <w:i w:val="0"/>
          <w:color w:val="0E0E0E"/>
          <w:sz w:val="17"/>
        </w:rPr>
        <w:t>douleur musculaire, s'est rétabli aujourd'hui après 4,5 jours pendant lesquels il a été infecté.</w:t>
      </w:r>
    </w:p>
    <w:p>
      <w:pPr>
        <w:autoSpaceDN w:val="0"/>
        <w:autoSpaceDE w:val="0"/>
        <w:widowControl/>
        <w:spacing w:line="246" w:lineRule="exact" w:before="1914" w:after="0"/>
        <w:ind w:left="120" w:right="0" w:firstLine="0"/>
        <w:jc w:val="left"/>
      </w:pPr>
      <w:r>
        <w:rPr>
          <w:w w:val="102.40000618828668"/>
          <w:rFonts w:ascii="Times" w:hAnsi="Times" w:eastAsia="Times"/>
          <w:b w:val="0"/>
          <w:i w:val="0"/>
          <w:color w:val="0E0E0E"/>
          <w:sz w:val="18"/>
        </w:rPr>
        <w:t>Considérations épidémiologiques</w:t>
      </w:r>
    </w:p>
    <w:p>
      <w:pPr>
        <w:autoSpaceDN w:val="0"/>
        <w:autoSpaceDE w:val="0"/>
        <w:widowControl/>
        <w:spacing w:line="178" w:lineRule="exact" w:before="304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 xml:space="preserve">Bien que la nature exacte de cette maladie reste inconnue, il n'y a actuellement aucune preuve suggérant une immunité au sein de la </w:t>
      </w:r>
      <w:r>
        <w:rPr>
          <w:rFonts w:ascii="Times" w:hAnsi="Times" w:eastAsia="Times"/>
          <w:b w:val="0"/>
          <w:i w:val="0"/>
          <w:color w:val="0E0E0E"/>
          <w:sz w:val="17"/>
        </w:rPr>
        <w:t>population. Les analyses basées sur les biomarqueurs, telles que les tests sérologiques, pourraient confirmer si les individus ont été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exposés précédemment ou possèdent une immunité naturelle. De plus, il Il est important de noter que, même si aucun individu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asymptomatique n'a été identifié, certains patients symptomatiques présentent des signes cliniques plus légers et des durées de maladie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plus courtes. Nous supposons actuellement que les cas asymptomatiques sont peu probables, mais cela devrait être confirmé par des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analyses ciblées, tels que les tests PCR pour détecter un ARN viral potentiel chez des individus présentant des symptômes minimaux. Ces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observations soulèvent également la question de savoir si des facteurs tels que l'âge ou le sexe influencent la gravité des symptômes. Une </w:t>
      </w:r>
      <w:r>
        <w:rPr>
          <w:rFonts w:ascii="Times" w:hAnsi="Times" w:eastAsia="Times"/>
          <w:b w:val="0"/>
          <w:i w:val="0"/>
          <w:color w:val="0E0E0E"/>
          <w:sz w:val="17"/>
        </w:rPr>
        <w:t>analyse statistique plus détaillée peut fournir de la clarté sur ces corrélations.</w:t>
      </w:r>
    </w:p>
    <w:p>
      <w:pPr>
        <w:autoSpaceDN w:val="0"/>
        <w:autoSpaceDE w:val="0"/>
        <w:widowControl/>
        <w:spacing w:line="246" w:lineRule="exact" w:before="948" w:after="0"/>
        <w:ind w:left="120" w:right="0" w:firstLine="0"/>
        <w:jc w:val="left"/>
      </w:pPr>
      <w:r>
        <w:rPr>
          <w:w w:val="102.40000618828668"/>
          <w:rFonts w:ascii="Times" w:hAnsi="Times" w:eastAsia="Times"/>
          <w:b w:val="0"/>
          <w:i w:val="0"/>
          <w:color w:val="0E0E0E"/>
          <w:sz w:val="18"/>
        </w:rPr>
        <w:t>Recommandations futures</w:t>
      </w:r>
    </w:p>
    <w:p>
      <w:pPr>
        <w:autoSpaceDN w:val="0"/>
        <w:autoSpaceDE w:val="0"/>
        <w:widowControl/>
        <w:spacing w:line="178" w:lineRule="exact" w:before="304" w:after="0"/>
        <w:ind w:left="120" w:right="288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 xml:space="preserve">Pour améliorer la précision de nos efforts de surveillance, je propose d'intégrer cette base de données médicale avec des données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démographiques, notamment des informations sur le lieu de résidence et d'informations des travailleurs. Cela pourrait potentiellement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aider à retracer les voies de transmission et à déterminer si les modèles de contact influencent la diffusion. Alors que les premières </w:t>
      </w:r>
      <w:r>
        <w:rPr>
          <w:rFonts w:ascii="Times" w:hAnsi="Times" w:eastAsia="Times"/>
          <w:b w:val="0"/>
          <w:i w:val="0"/>
          <w:color w:val="0E0E0E"/>
          <w:sz w:val="17"/>
        </w:rPr>
        <w:t xml:space="preserve">informations ne montre pas de regroupement de contacts clair, les mises à jour continues et un ensemble de données plus important </w:t>
      </w:r>
      <w:r>
        <w:rPr>
          <w:rFonts w:ascii="Times" w:hAnsi="Times" w:eastAsia="Times"/>
          <w:b w:val="0"/>
          <w:i w:val="0"/>
          <w:color w:val="0E0E0E"/>
          <w:sz w:val="17"/>
        </w:rPr>
        <w:t>pourraient apporter plus de clarté.</w:t>
      </w:r>
    </w:p>
    <w:p>
      <w:pPr>
        <w:autoSpaceDN w:val="0"/>
        <w:autoSpaceDE w:val="0"/>
        <w:widowControl/>
        <w:spacing w:line="178" w:lineRule="exact" w:before="560" w:after="0"/>
        <w:ind w:left="120" w:right="144" w:firstLine="0"/>
        <w:jc w:val="left"/>
      </w:pPr>
      <w:r>
        <w:rPr>
          <w:rFonts w:ascii="Times" w:hAnsi="Times" w:eastAsia="Times"/>
          <w:b w:val="0"/>
          <w:i w:val="0"/>
          <w:color w:val="0E0E0E"/>
          <w:sz w:val="17"/>
        </w:rPr>
        <w:t xml:space="preserve">Bien que la situation soit préoccupante, nos efforts systématiques pour suivre et analyser l'épidémie fournissent une base solide pour la </w:t>
      </w:r>
      <w:r>
        <w:rPr>
          <w:rFonts w:ascii="Times" w:hAnsi="Times" w:eastAsia="Times"/>
          <w:b w:val="0"/>
          <w:i w:val="0"/>
          <w:color w:val="0E0E0E"/>
          <w:sz w:val="17"/>
        </w:rPr>
        <w:t>compréhension et atténuer son impact sur Sycala.</w:t>
      </w:r>
    </w:p>
    <w:p>
      <w:pPr>
        <w:autoSpaceDN w:val="0"/>
        <w:autoSpaceDE w:val="0"/>
        <w:widowControl/>
        <w:spacing w:line="226" w:lineRule="exact" w:before="804" w:after="0"/>
        <w:ind w:left="0" w:right="620" w:firstLine="0"/>
        <w:jc w:val="right"/>
      </w:pPr>
      <w:r>
        <w:rPr>
          <w:rFonts w:ascii="Times" w:hAnsi="Times" w:eastAsia="Times"/>
          <w:b w:val="0"/>
          <w:i w:val="0"/>
          <w:color w:val="0E0E0E"/>
          <w:sz w:val="17"/>
        </w:rPr>
        <w:t>Signé,</w:t>
      </w:r>
    </w:p>
    <w:p>
      <w:pPr>
        <w:autoSpaceDN w:val="0"/>
        <w:autoSpaceDE w:val="0"/>
        <w:widowControl/>
        <w:spacing w:line="226" w:lineRule="exact" w:before="16" w:after="2344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E0E0E"/>
          <w:sz w:val="17"/>
        </w:rPr>
        <w:t>Le Dr Ethan Calder, MD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4741"/>
        <w:gridCol w:w="4741"/>
      </w:tblGrid>
      <w:tr>
        <w:trPr>
          <w:trHeight w:hRule="exact" w:val="256"/>
        </w:trPr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Rapport médical succinct ? Dr Ethan Calder ? 02/04/2030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718" w:right="988" w:bottom="328" w:left="14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