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A73" w:rsidRDefault="00307A73" w:rsidP="00307A73">
      <w:pPr>
        <w:jc w:val="center"/>
        <w:rPr>
          <w:rFonts w:ascii="Times New Roman" w:hAnsi="Times New Roman" w:cs="Times New Roman"/>
        </w:rPr>
      </w:pPr>
    </w:p>
    <w:p w:rsidR="00307A73" w:rsidRDefault="00307A73" w:rsidP="00307A73">
      <w:pPr>
        <w:jc w:val="center"/>
        <w:rPr>
          <w:rFonts w:ascii="Times New Roman" w:hAnsi="Times New Roman" w:cs="Times New Roman"/>
        </w:rPr>
      </w:pPr>
    </w:p>
    <w:p w:rsidR="00307A73" w:rsidRDefault="00307A73" w:rsidP="00307A73">
      <w:pPr>
        <w:jc w:val="center"/>
        <w:rPr>
          <w:rFonts w:ascii="Times New Roman" w:hAnsi="Times New Roman" w:cs="Times New Roman"/>
        </w:rPr>
      </w:pPr>
    </w:p>
    <w:p w:rsidR="00307A73" w:rsidRDefault="00307A73" w:rsidP="00307A73">
      <w:pPr>
        <w:jc w:val="center"/>
        <w:rPr>
          <w:rFonts w:ascii="Times New Roman" w:hAnsi="Times New Roman" w:cs="Times New Roman"/>
        </w:rPr>
      </w:pPr>
    </w:p>
    <w:p w:rsidR="00307A73" w:rsidRDefault="00307A73" w:rsidP="00307A73">
      <w:pPr>
        <w:jc w:val="center"/>
        <w:rPr>
          <w:rFonts w:ascii="Times New Roman" w:hAnsi="Times New Roman" w:cs="Times New Roman"/>
        </w:rPr>
      </w:pPr>
    </w:p>
    <w:p w:rsidR="00307A73" w:rsidRDefault="00307A73" w:rsidP="00307A73">
      <w:pPr>
        <w:jc w:val="center"/>
        <w:rPr>
          <w:rFonts w:ascii="Times New Roman" w:hAnsi="Times New Roman" w:cs="Times New Roman"/>
        </w:rPr>
      </w:pPr>
    </w:p>
    <w:p w:rsidR="00307A73" w:rsidRDefault="00307A73" w:rsidP="00307A73">
      <w:pPr>
        <w:jc w:val="center"/>
        <w:rPr>
          <w:rFonts w:ascii="Times New Roman" w:hAnsi="Times New Roman" w:cs="Times New Roman"/>
        </w:rPr>
      </w:pPr>
    </w:p>
    <w:p w:rsidR="00307A73" w:rsidRDefault="00307A73" w:rsidP="00307A73">
      <w:pPr>
        <w:jc w:val="center"/>
        <w:rPr>
          <w:rFonts w:ascii="Times New Roman" w:hAnsi="Times New Roman" w:cs="Times New Roman"/>
        </w:rPr>
      </w:pPr>
    </w:p>
    <w:p w:rsidR="00307A73" w:rsidRDefault="00307A73" w:rsidP="00307A73">
      <w:pPr>
        <w:jc w:val="center"/>
        <w:rPr>
          <w:rFonts w:ascii="Times New Roman" w:hAnsi="Times New Roman" w:cs="Times New Roman"/>
        </w:rPr>
      </w:pPr>
    </w:p>
    <w:p w:rsidR="00307A73" w:rsidRDefault="00307A73" w:rsidP="00307A73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307A73" w:rsidRDefault="00307A73" w:rsidP="00307A73">
      <w:pPr>
        <w:rPr>
          <w:rFonts w:ascii="Times New Roman" w:hAnsi="Times New Roman" w:cs="Times New Roman"/>
        </w:rPr>
      </w:pPr>
    </w:p>
    <w:p w:rsidR="00307A73" w:rsidRPr="00307A73" w:rsidRDefault="00307A73" w:rsidP="00307A73">
      <w:pPr>
        <w:jc w:val="center"/>
        <w:rPr>
          <w:rFonts w:ascii="Times New Roman" w:hAnsi="Times New Roman" w:cs="Times New Roman"/>
          <w:b/>
          <w:sz w:val="28"/>
        </w:rPr>
      </w:pPr>
      <w:r w:rsidRPr="00307A73">
        <w:rPr>
          <w:rFonts w:ascii="Times New Roman" w:hAnsi="Times New Roman" w:cs="Times New Roman"/>
          <w:b/>
          <w:sz w:val="28"/>
        </w:rPr>
        <w:t>Décharge de responsabilités</w:t>
      </w:r>
    </w:p>
    <w:p w:rsidR="00307A73" w:rsidRPr="00307A73" w:rsidRDefault="00307A73" w:rsidP="00307A73">
      <w:pPr>
        <w:rPr>
          <w:rFonts w:ascii="Times New Roman" w:hAnsi="Times New Roman" w:cs="Times New Roman"/>
        </w:rPr>
      </w:pPr>
    </w:p>
    <w:p w:rsidR="00E17A70" w:rsidRPr="00307A73" w:rsidRDefault="00307A73" w:rsidP="00307A73">
      <w:pPr>
        <w:jc w:val="center"/>
        <w:rPr>
          <w:rFonts w:ascii="Times New Roman" w:hAnsi="Times New Roman" w:cs="Times New Roman"/>
        </w:rPr>
      </w:pPr>
      <w:r w:rsidRPr="00307A73">
        <w:rPr>
          <w:rFonts w:ascii="Times New Roman" w:hAnsi="Times New Roman" w:cs="Times New Roman"/>
        </w:rPr>
        <w:t>L’Université de Lorraine n’entend donner ni approbation ni improbation aux opinions émises dans ce rapport, ces opinions devant être considérées comme propres à leur auteur</w:t>
      </w:r>
    </w:p>
    <w:sectPr w:rsidR="00E17A70" w:rsidRPr="00307A73" w:rsidSect="007D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F5"/>
    <w:rsid w:val="00307A73"/>
    <w:rsid w:val="004477F5"/>
    <w:rsid w:val="007D33F9"/>
    <w:rsid w:val="00B07C73"/>
    <w:rsid w:val="00E1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57649"/>
  <w15:chartTrackingRefBased/>
  <w15:docId w15:val="{B8CDDE34-4CB1-4EC6-9C18-DC80D03D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alaadin benkarrad</dc:creator>
  <cp:keywords/>
  <dc:description/>
  <cp:lastModifiedBy>alaadin benkarrad</cp:lastModifiedBy>
  <cp:revision>1</cp:revision>
  <dcterms:created xsi:type="dcterms:W3CDTF">2019-04-27T08:50:00Z</dcterms:created>
  <dcterms:modified xsi:type="dcterms:W3CDTF">2019-04-27T09:04:00Z</dcterms:modified>
</cp:coreProperties>
</file>