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2026-10-21)</w:t>
      </w:r>
    </w:p>
    <w:p>
      <w:pPr>
        <w:bidi/>
        <w:jc w:val="right"/>
      </w:pPr>
      <w:r>
        <w:rPr>
          <w:b/>
          <w:color w:val="006100"/>
          <w:sz w:val="24"/>
          <w:rtl/>
        </w:rPr>
        <w:t>🟩 أخضر = تم تنفيذه في الكود: 197 بند</w:t>
      </w:r>
    </w:p>
    <w:p>
      <w:pPr>
        <w:bidi/>
        <w:jc w:val="right"/>
      </w:pPr>
      <w:r>
        <w:rPr>
          <w:b/>
          <w:color w:val="9C0006"/>
          <w:sz w:val="24"/>
          <w:rtl/>
        </w:rPr>
        <w:t>🟥 أحمر = لم يُنفَّذ بعد: 284 بند</w:t>
      </w:r>
    </w:p>
    <w:p>
      <w:pPr>
        <w:bidi/>
        <w:jc w:val="right"/>
      </w:pPr>
      <w:r>
        <w:rPr>
          <w:b w:val="0"/>
          <w:sz w:val="24"/>
          <w:rtl/>
        </w:rPr>
        <w:t>الإجمالي: 481 بند — نسبة الإنجاز 41%</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خريطة كثافة الطلب Heat Map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مناطق وفرص الطلب المرتفع</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اتجاهات/توقعات الطلب حسب الوقت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خصائص الرحلة: مجدولة/بين مدن/عائلية/احتياجات خاصة/حيوان/مقعد طفل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375</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خريطة كثافة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389</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تفضيلات نوع الرحلة والإضافات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390</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Pet/Car Seat flags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FFC7CE"/>
          </w:tcPr>
          <w:p>
            <w:pPr>
              <w:jc w:val="center"/>
            </w:pPr>
            <w:r>
              <w:rPr>
                <w:color w:val="9C0006"/>
                <w:sz w:val="13"/>
              </w:rPr>
              <w:t>394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FFC7CE"/>
          </w:tcPr>
          <w:p>
            <w:pPr>
              <w:jc w:val="right"/>
            </w:pPr>
            <w:r>
              <w:rPr>
                <w:color w:val="9C0006"/>
                <w:sz w:val="13"/>
              </w:rPr>
              <w:t>شاشة مساعد + بطاقات اقتراح قابلة للتفسير مع سبب الاقتراح.</w:t>
            </w:r>
          </w:p>
        </w:tc>
        <w:tc>
          <w:tcPr>
            <w:tcW w:type="dxa" w:w="2160"/>
            <w:vAlign w:val="center"/>
            <w:shd w:val="clear" w:color="auto" w:fill="FFC7CE"/>
          </w:tcPr>
          <w:p>
            <w:pPr>
              <w:jc w:val="right"/>
            </w:pPr>
            <w:r>
              <w:rPr>
                <w:color w:val="9C0006"/>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FFC7CE"/>
          </w:tcPr>
          <w:p>
            <w:pPr>
              <w:jc w:val="center"/>
            </w:pPr>
            <w:r>
              <w:rPr>
                <w:color w:val="9C0006"/>
                <w:sz w:val="13"/>
              </w:rPr>
              <w:t>406</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FFC7CE"/>
          </w:tcPr>
          <w:p>
            <w:pPr>
              <w:jc w:val="right"/>
            </w:pPr>
            <w:r>
              <w:rPr>
                <w:color w:val="9C0006"/>
                <w:sz w:val="13"/>
              </w:rPr>
              <w:t>بطاقة صغيرة آمنة تظهر في توقيت مناسب وليس أثناء مناورة حساسة.</w:t>
            </w:r>
          </w:p>
        </w:tc>
        <w:tc>
          <w:tcPr>
            <w:tcW w:type="dxa" w:w="2160"/>
            <w:vAlign w:val="center"/>
            <w:shd w:val="clear" w:color="auto" w:fill="FFC7CE"/>
          </w:tcPr>
          <w:p>
            <w:pPr>
              <w:jc w:val="right"/>
            </w:pPr>
            <w:r>
              <w:rPr>
                <w:color w:val="9C0006"/>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D-INN-04</w:t>
            </w:r>
          </w:p>
        </w:tc>
        <w:tc>
          <w:tcPr>
            <w:tcW w:type="dxa" w:w="2700"/>
            <w:shd w:val="clear" w:color="auto" w:fill="FFC7CE"/>
          </w:tcPr>
          <w:p>
            <w:pPr>
              <w:jc w:val="right"/>
            </w:pPr>
            <w:r>
              <w:rPr>
                <w:rFonts w:ascii="Arial" w:hAnsi="Arial"/>
                <w:color w:val="9C0006"/>
                <w:sz w:val="16"/>
              </w:rPr>
              <w:t>DORR Adaptive Ride — الرحلة تتكيف مع الراكب</w:t>
            </w:r>
          </w:p>
        </w:tc>
        <w:tc>
          <w:tcPr>
            <w:tcW w:type="dxa" w:w="2700"/>
            <w:shd w:val="clear" w:color="auto" w:fill="FFC7CE"/>
          </w:tcPr>
          <w:p>
            <w:pPr>
              <w:jc w:val="right"/>
            </w:pPr>
            <w:r>
              <w:rPr>
                <w:rFonts w:ascii="Arial" w:hAnsi="Arial"/>
                <w:color w:val="9C0006"/>
                <w:sz w:val="16"/>
              </w:rPr>
              <w:t>عرض تعليمات التفضيل المسموح بها مع خيار توضيح عدم الإمكانية</w:t>
            </w:r>
          </w:p>
        </w:tc>
        <w:tc>
          <w:tcPr>
            <w:tcW w:type="dxa" w:w="2700"/>
            <w:shd w:val="clear" w:color="auto" w:fill="FFC7CE"/>
          </w:tcPr>
          <w:p>
            <w:pPr>
              <w:jc w:val="right"/>
            </w:pPr>
            <w:r>
              <w:rPr>
                <w:rFonts w:ascii="Arial" w:hAnsi="Arial"/>
                <w:color w:val="9C0006"/>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C6EFCE"/>
          </w:tcPr>
          <w:p>
            <w:pPr>
              <w:jc w:val="right"/>
            </w:pPr>
            <w:r>
              <w:rPr>
                <w:rFonts w:ascii="Arial" w:hAnsi="Arial"/>
                <w:color w:val="006100"/>
                <w:sz w:val="16"/>
              </w:rPr>
              <w:t>D-NEW-06</w:t>
            </w:r>
          </w:p>
        </w:tc>
        <w:tc>
          <w:tcPr>
            <w:tcW w:type="dxa" w:w="2700"/>
            <w:shd w:val="clear" w:color="auto" w:fill="C6EFCE"/>
          </w:tcPr>
          <w:p>
            <w:pPr>
              <w:jc w:val="right"/>
            </w:pPr>
            <w:r>
              <w:rPr>
                <w:rFonts w:ascii="Arial" w:hAnsi="Arial"/>
                <w:color w:val="006100"/>
                <w:sz w:val="16"/>
              </w:rPr>
              <w:t>صندوق الأمتعة</w:t>
            </w:r>
          </w:p>
        </w:tc>
        <w:tc>
          <w:tcPr>
            <w:tcW w:type="dxa" w:w="2700"/>
            <w:shd w:val="clear" w:color="auto" w:fill="C6EFCE"/>
          </w:tcPr>
          <w:p>
            <w:pPr>
              <w:jc w:val="right"/>
            </w:pPr>
            <w:r>
              <w:rPr>
                <w:rFonts w:ascii="Arial" w:hAnsi="Arial"/>
                <w:color w:val="006100"/>
                <w:sz w:val="16"/>
              </w:rPr>
              <w:t>إدخال عدد وأحجام الحقائب ومطابقتها مع سعة السيارة.</w:t>
            </w:r>
          </w:p>
        </w:tc>
        <w:tc>
          <w:tcPr>
            <w:tcW w:type="dxa" w:w="2700"/>
            <w:shd w:val="clear" w:color="auto" w:fill="C6EFCE"/>
          </w:tcPr>
          <w:p>
            <w:pPr>
              <w:jc w:val="right"/>
            </w:pPr>
            <w:r>
              <w:rPr>
                <w:rFonts w:ascii="Arial" w:hAnsi="Arial"/>
                <w:color w:val="006100"/>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FFC7CE"/>
          </w:tcPr>
          <w:p>
            <w:pPr>
              <w:jc w:val="right"/>
            </w:pPr>
            <w:r>
              <w:rPr>
                <w:rFonts w:ascii="Arial" w:hAnsi="Arial"/>
                <w:color w:val="9C0006"/>
                <w:sz w:val="16"/>
              </w:rPr>
              <w:t>AI-01</w:t>
            </w:r>
          </w:p>
        </w:tc>
        <w:tc>
          <w:tcPr>
            <w:tcW w:type="dxa" w:w="2700"/>
            <w:shd w:val="clear" w:color="auto" w:fill="FFC7CE"/>
          </w:tcPr>
          <w:p>
            <w:pPr>
              <w:jc w:val="right"/>
            </w:pPr>
            <w:r>
              <w:rPr>
                <w:rFonts w:ascii="Arial" w:hAnsi="Arial"/>
                <w:color w:val="9C0006"/>
                <w:sz w:val="16"/>
              </w:rPr>
              <w:t>توزيع الرحلات الذكي</w:t>
            </w:r>
          </w:p>
        </w:tc>
        <w:tc>
          <w:tcPr>
            <w:tcW w:type="dxa" w:w="2700"/>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AI-02</w:t>
            </w:r>
          </w:p>
        </w:tc>
        <w:tc>
          <w:tcPr>
            <w:tcW w:type="dxa" w:w="2700"/>
            <w:shd w:val="clear" w:color="auto" w:fill="FFC7CE"/>
          </w:tcPr>
          <w:p>
            <w:pPr>
              <w:jc w:val="right"/>
            </w:pPr>
            <w:r>
              <w:rPr>
                <w:rFonts w:ascii="Arial" w:hAnsi="Arial"/>
                <w:color w:val="9C0006"/>
                <w:sz w:val="16"/>
              </w:rPr>
              <w:t>توقع الطلب</w:t>
            </w:r>
          </w:p>
        </w:tc>
        <w:tc>
          <w:tcPr>
            <w:tcW w:type="dxa" w:w="2700"/>
            <w:shd w:val="clear" w:color="auto" w:fill="FFC7CE"/>
          </w:tcPr>
          <w:p>
            <w:pPr>
              <w:jc w:val="right"/>
            </w:pPr>
            <w:r>
              <w:rPr>
                <w:rFonts w:ascii="Arial" w:hAnsi="Arial"/>
                <w:color w:val="9C0006"/>
                <w:sz w:val="16"/>
              </w:rPr>
              <w:t>توقع المناطق النشطة خلال 15/30/60 دقيقة مع درجة ثقة.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AI-03</w:t>
            </w:r>
          </w:p>
        </w:tc>
        <w:tc>
          <w:tcPr>
            <w:tcW w:type="dxa" w:w="2700"/>
            <w:shd w:val="clear" w:color="auto" w:fill="FFC7CE"/>
          </w:tcPr>
          <w:p>
            <w:pPr>
              <w:jc w:val="right"/>
            </w:pPr>
            <w:r>
              <w:rPr>
                <w:rFonts w:ascii="Arial" w:hAnsi="Arial"/>
                <w:color w:val="9C0006"/>
                <w:sz w:val="16"/>
              </w:rPr>
              <w:t>وقت الوصول الذكي</w:t>
            </w:r>
          </w:p>
        </w:tc>
        <w:tc>
          <w:tcPr>
            <w:tcW w:type="dxa" w:w="2700"/>
            <w:shd w:val="clear" w:color="auto" w:fill="FFC7CE"/>
          </w:tcPr>
          <w:p>
            <w:pPr>
              <w:jc w:val="right"/>
            </w:pPr>
            <w:r>
              <w:rPr>
                <w:rFonts w:ascii="Arial" w:hAnsi="Arial"/>
                <w:color w:val="9C0006"/>
                <w:sz w:val="16"/>
              </w:rPr>
              <w:t>تقدير ETA وتحديثه بناء على المرور والبيانات.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AI-06</w:t>
            </w:r>
          </w:p>
        </w:tc>
        <w:tc>
          <w:tcPr>
            <w:tcW w:type="dxa" w:w="2700"/>
            <w:shd w:val="clear" w:color="auto" w:fill="FFC7CE"/>
          </w:tcPr>
          <w:p>
            <w:pPr>
              <w:jc w:val="right"/>
            </w:pPr>
            <w:r>
              <w:rPr>
                <w:rFonts w:ascii="Arial" w:hAnsi="Arial"/>
                <w:color w:val="9C0006"/>
                <w:sz w:val="16"/>
              </w:rPr>
              <w:t>كشف الاحتيال</w:t>
            </w:r>
          </w:p>
        </w:tc>
        <w:tc>
          <w:tcPr>
            <w:tcW w:type="dxa" w:w="2700"/>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AI-08</w:t>
            </w:r>
          </w:p>
        </w:tc>
        <w:tc>
          <w:tcPr>
            <w:tcW w:type="dxa" w:w="2700"/>
            <w:shd w:val="clear" w:color="auto" w:fill="FFC7CE"/>
          </w:tcPr>
          <w:p>
            <w:pPr>
              <w:jc w:val="right"/>
            </w:pPr>
            <w:r>
              <w:rPr>
                <w:rFonts w:ascii="Arial" w:hAnsi="Arial"/>
                <w:color w:val="9C0006"/>
                <w:sz w:val="16"/>
              </w:rPr>
              <w:t>أمان الرحلة</w:t>
            </w:r>
          </w:p>
        </w:tc>
        <w:tc>
          <w:tcPr>
            <w:tcW w:type="dxa" w:w="2700"/>
            <w:shd w:val="clear" w:color="auto" w:fill="FFC7CE"/>
          </w:tcPr>
          <w:p>
            <w:pPr>
              <w:jc w:val="right"/>
            </w:pPr>
            <w:r>
              <w:rPr>
                <w:rFonts w:ascii="Arial" w:hAnsi="Arial"/>
                <w:color w:val="9C0006"/>
                <w:sz w:val="16"/>
              </w:rPr>
              <w:t>التنبيه للانحرافات والتوقفات مع تحقق بشري.</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AI-10</w:t>
            </w:r>
          </w:p>
        </w:tc>
        <w:tc>
          <w:tcPr>
            <w:tcW w:type="dxa" w:w="2700"/>
            <w:shd w:val="clear" w:color="auto" w:fill="FFC7CE"/>
          </w:tcPr>
          <w:p>
            <w:pPr>
              <w:jc w:val="right"/>
            </w:pPr>
            <w:r>
              <w:rPr>
                <w:rFonts w:ascii="Arial" w:hAnsi="Arial"/>
                <w:color w:val="9C0006"/>
                <w:sz w:val="16"/>
              </w:rPr>
              <w:t>توقع الإلغاء</w:t>
            </w:r>
          </w:p>
        </w:tc>
        <w:tc>
          <w:tcPr>
            <w:tcW w:type="dxa" w:w="2700"/>
            <w:shd w:val="clear" w:color="auto" w:fill="FFC7CE"/>
          </w:tcPr>
          <w:p>
            <w:pPr>
              <w:jc w:val="right"/>
            </w:pPr>
            <w:r>
              <w:rPr>
                <w:rFonts w:ascii="Arial" w:hAnsi="Arial"/>
                <w:color w:val="9C0006"/>
                <w:sz w:val="16"/>
              </w:rPr>
              <w:t>التنبؤ بالاحتمال والتدخل الملائم.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AI-12</w:t>
            </w:r>
          </w:p>
        </w:tc>
        <w:tc>
          <w:tcPr>
            <w:tcW w:type="dxa" w:w="2700"/>
            <w:shd w:val="clear" w:color="auto" w:fill="FFC7CE"/>
          </w:tcPr>
          <w:p>
            <w:pPr>
              <w:jc w:val="right"/>
            </w:pPr>
            <w:r>
              <w:rPr>
                <w:rFonts w:ascii="Arial" w:hAnsi="Arial"/>
                <w:color w:val="9C0006"/>
                <w:sz w:val="16"/>
              </w:rPr>
              <w:t>تحليل الشكاوى</w:t>
            </w:r>
          </w:p>
        </w:tc>
        <w:tc>
          <w:tcPr>
            <w:tcW w:type="dxa" w:w="2700"/>
            <w:shd w:val="clear" w:color="auto" w:fill="FFC7CE"/>
          </w:tcPr>
          <w:p>
            <w:pPr>
              <w:jc w:val="right"/>
            </w:pPr>
            <w:r>
              <w:rPr>
                <w:rFonts w:ascii="Arial" w:hAnsi="Arial"/>
                <w:color w:val="9C0006"/>
                <w:sz w:val="16"/>
              </w:rPr>
              <w:t>تصنيف الشكاوى والأدلة والتوجيه.</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AI-17</w:t>
            </w:r>
          </w:p>
        </w:tc>
        <w:tc>
          <w:tcPr>
            <w:tcW w:type="dxa" w:w="2700"/>
            <w:shd w:val="clear" w:color="auto" w:fill="FFC7CE"/>
          </w:tcPr>
          <w:p>
            <w:pPr>
              <w:jc w:val="right"/>
            </w:pPr>
            <w:r>
              <w:rPr>
                <w:rFonts w:ascii="Arial" w:hAnsi="Arial"/>
                <w:color w:val="9C0006"/>
                <w:sz w:val="16"/>
              </w:rPr>
              <w:t>تحسين المجدولة</w:t>
            </w:r>
          </w:p>
        </w:tc>
        <w:tc>
          <w:tcPr>
            <w:tcW w:type="dxa" w:w="2700"/>
            <w:shd w:val="clear" w:color="auto" w:fill="FFC7CE"/>
          </w:tcPr>
          <w:p>
            <w:pPr>
              <w:jc w:val="right"/>
            </w:pPr>
            <w:r>
              <w:rPr>
                <w:rFonts w:ascii="Arial" w:hAnsi="Arial"/>
                <w:color w:val="9C0006"/>
                <w:sz w:val="16"/>
              </w:rPr>
              <w:t>توقع الطلب على الرحلات المجدولة.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AI-18</w:t>
            </w:r>
          </w:p>
        </w:tc>
        <w:tc>
          <w:tcPr>
            <w:tcW w:type="dxa" w:w="2700"/>
            <w:shd w:val="clear" w:color="auto" w:fill="FFC7CE"/>
          </w:tcPr>
          <w:p>
            <w:pPr>
              <w:jc w:val="right"/>
            </w:pPr>
            <w:r>
              <w:rPr>
                <w:rFonts w:ascii="Arial" w:hAnsi="Arial"/>
                <w:color w:val="9C0006"/>
                <w:sz w:val="16"/>
              </w:rPr>
              <w:t>نقص السائقين</w:t>
            </w:r>
          </w:p>
        </w:tc>
        <w:tc>
          <w:tcPr>
            <w:tcW w:type="dxa" w:w="2700"/>
            <w:shd w:val="clear" w:color="auto" w:fill="FFC7CE"/>
          </w:tcPr>
          <w:p>
            <w:pPr>
              <w:jc w:val="right"/>
            </w:pPr>
            <w:r>
              <w:rPr>
                <w:rFonts w:ascii="Arial" w:hAnsi="Arial"/>
                <w:color w:val="9C0006"/>
                <w:sz w:val="16"/>
              </w:rPr>
              <w:t>تحديد مناطق نقص العرض.</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AI-19</w:t>
            </w:r>
          </w:p>
        </w:tc>
        <w:tc>
          <w:tcPr>
            <w:tcW w:type="dxa" w:w="2700"/>
            <w:shd w:val="clear" w:color="auto" w:fill="FFC7CE"/>
          </w:tcPr>
          <w:p>
            <w:pPr>
              <w:jc w:val="right"/>
            </w:pPr>
            <w:r>
              <w:rPr>
                <w:rFonts w:ascii="Arial" w:hAnsi="Arial"/>
                <w:color w:val="9C0006"/>
                <w:sz w:val="16"/>
              </w:rPr>
              <w:t>جودة الخدمة</w:t>
            </w:r>
          </w:p>
        </w:tc>
        <w:tc>
          <w:tcPr>
            <w:tcW w:type="dxa" w:w="2700"/>
            <w:shd w:val="clear" w:color="auto" w:fill="FFC7CE"/>
          </w:tcPr>
          <w:p>
            <w:pPr>
              <w:jc w:val="right"/>
            </w:pPr>
            <w:r>
              <w:rPr>
                <w:rFonts w:ascii="Arial" w:hAnsi="Arial"/>
                <w:color w:val="9C0006"/>
                <w:sz w:val="16"/>
              </w:rPr>
              <w:t>تحليل أسباب التأخير وانخفاض التقييم.</w:t>
            </w:r>
          </w:p>
        </w:tc>
        <w:tc>
          <w:tcPr>
            <w:tcW w:type="dxa" w:w="2700"/>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