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b/>
          <w:color w:val="1679A7"/>
          <w:sz w:val="20"/>
        </w:rPr>
        <w:t>MALWARE INTELLIGENCE</w:t>
      </w:r>
    </w:p>
    <w:p>
      <w:pPr>
        <w:pStyle w:val="Title"/>
      </w:pPr>
      <w:r>
        <w:t>Yellow RAT Malware Intelligence Investigation</w:t>
      </w:r>
    </w:p>
    <w:p>
      <w:pPr>
        <w:spacing w:after="360"/>
      </w:pPr>
      <w:r>
        <w:rPr>
          <w:color w:val="5F6B76"/>
          <w:sz w:val="28"/>
        </w:rPr>
        <w:t>Hash enrichment, threat-cluster identification, host artifacts, and command-and-control analysis</w:t>
      </w:r>
    </w:p>
    <w:tbl>
      <w:tblPr>
        <w:tblW w:type="auto" w:w="0"/>
        <w:jc w:val="center"/>
        <w:tblLook w:firstColumn="1" w:firstRow="1" w:lastColumn="0" w:lastRow="0" w:noHBand="0" w:noVBand="1" w:val="04A0"/>
      </w:tblPr>
      <w:tblGrid>
        <w:gridCol w:w="10166"/>
      </w:tblGrid>
      <w:tr>
        <w:tc>
          <w:tcPr>
            <w:tcW w:type="dxa" w:w="10166"/>
            <w:shd w:fill="EAF3F8"/>
            <w:tcMar>
              <w:top w:w="110" w:type="dxa"/>
              <w:start w:w="130" w:type="dxa"/>
              <w:bottom w:w="110" w:type="dxa"/>
              <w:end w:w="130" w:type="dxa"/>
            </w:tcMar>
          </w:tcPr>
          <w:p>
            <w:pPr>
              <w:spacing w:after="40"/>
            </w:pPr>
            <w:r>
              <w:rPr>
                <w:b/>
                <w:color w:val="16324F"/>
                <w:sz w:val="16"/>
              </w:rPr>
              <w:t>EXECUTIVE CONCLUSION</w:t>
              <w:br/>
            </w:r>
            <w:r>
              <w:rPr>
                <w:sz w:val="18"/>
              </w:rPr>
              <w:t>The supplied SHA-256 was associated with a malicious DLL tracked by Red Canary as Yellow Cockatoo. The investigation identified a persistent host artifact and historical C2 infrastructure without executing the sample.</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6324F"/>
            <w:tcMar>
              <w:top w:w="80" w:type="dxa"/>
              <w:start w:w="100" w:type="dxa"/>
              <w:bottom w:w="80" w:type="dxa"/>
              <w:end w:w="100" w:type="dxa"/>
            </w:tcMar>
          </w:tcPr>
          <w:p>
            <w:pPr>
              <w:spacing w:after="0"/>
            </w:pPr>
            <w:r>
              <w:rPr>
                <w:b/>
                <w:color w:val="FFFFFF"/>
                <w:sz w:val="16"/>
              </w:rPr>
              <w:t>Report field</w:t>
            </w:r>
          </w:p>
        </w:tc>
        <w:tc>
          <w:tcPr>
            <w:tcW w:type="dxa" w:w="6768"/>
            <w:shd w:fill="16324F"/>
            <w:tcMar>
              <w:top w:w="80" w:type="dxa"/>
              <w:start w:w="100" w:type="dxa"/>
              <w:bottom w:w="80" w:type="dxa"/>
              <w:end w:w="100" w:type="dxa"/>
            </w:tcMar>
          </w:tcPr>
          <w:p>
            <w:pPr>
              <w:spacing w:after="0"/>
            </w:pPr>
            <w:r>
              <w:rPr>
                <w:b/>
                <w:color w:val="FFFFFF"/>
                <w:sz w:val="16"/>
              </w:rPr>
              <w:t>Value</w:t>
            </w:r>
          </w:p>
        </w:tc>
      </w:tr>
      <w:tr>
        <w:tc>
          <w:tcPr>
            <w:tcW w:type="dxa" w:w="2880"/>
            <w:tcMar>
              <w:top w:w="80" w:type="dxa"/>
              <w:start w:w="100" w:type="dxa"/>
              <w:bottom w:w="80" w:type="dxa"/>
              <w:end w:w="100" w:type="dxa"/>
            </w:tcMar>
            <w:vAlign w:val="center"/>
          </w:tcPr>
          <w:p>
            <w:pPr>
              <w:spacing w:after="0"/>
            </w:pPr>
            <w:r>
              <w:rPr>
                <w:sz w:val="16"/>
              </w:rPr>
              <w:t>Analyst</w:t>
            </w:r>
          </w:p>
        </w:tc>
        <w:tc>
          <w:tcPr>
            <w:tcW w:type="dxa" w:w="6768"/>
            <w:tcMar>
              <w:top w:w="80" w:type="dxa"/>
              <w:start w:w="100" w:type="dxa"/>
              <w:bottom w:w="80" w:type="dxa"/>
              <w:end w:w="100" w:type="dxa"/>
            </w:tcMar>
            <w:vAlign w:val="center"/>
          </w:tcPr>
          <w:p>
            <w:pPr>
              <w:spacing w:after="0"/>
            </w:pPr>
            <w:r>
              <w:rPr>
                <w:sz w:val="16"/>
              </w:rPr>
              <w:t>Alaa Zahra</w:t>
            </w:r>
          </w:p>
        </w:tc>
      </w:tr>
      <w:tr>
        <w:tc>
          <w:tcPr>
            <w:tcW w:type="dxa" w:w="2880"/>
            <w:tcMar>
              <w:top w:w="80" w:type="dxa"/>
              <w:start w:w="100" w:type="dxa"/>
              <w:bottom w:w="80" w:type="dxa"/>
              <w:end w:w="100" w:type="dxa"/>
            </w:tcMar>
            <w:vAlign w:val="center"/>
            <w:shd w:fill="F2F4F6"/>
          </w:tcPr>
          <w:p>
            <w:pPr>
              <w:spacing w:after="0"/>
            </w:pPr>
            <w:r>
              <w:rPr>
                <w:sz w:val="16"/>
              </w:rPr>
              <w:t>Platform</w:t>
            </w:r>
          </w:p>
        </w:tc>
        <w:tc>
          <w:tcPr>
            <w:tcW w:type="dxa" w:w="6768"/>
            <w:tcMar>
              <w:top w:w="80" w:type="dxa"/>
              <w:start w:w="100" w:type="dxa"/>
              <w:bottom w:w="80" w:type="dxa"/>
              <w:end w:w="100" w:type="dxa"/>
            </w:tcMar>
            <w:vAlign w:val="center"/>
            <w:shd w:fill="F2F4F6"/>
          </w:tcPr>
          <w:p>
            <w:pPr>
              <w:spacing w:after="0"/>
            </w:pPr>
            <w:r>
              <w:rPr>
                <w:sz w:val="16"/>
              </w:rPr>
              <w:t>CyberDefenders</w:t>
            </w:r>
          </w:p>
        </w:tc>
      </w:tr>
      <w:tr>
        <w:tc>
          <w:tcPr>
            <w:tcW w:type="dxa" w:w="2880"/>
            <w:tcMar>
              <w:top w:w="80" w:type="dxa"/>
              <w:start w:w="100" w:type="dxa"/>
              <w:bottom w:w="80" w:type="dxa"/>
              <w:end w:w="100" w:type="dxa"/>
            </w:tcMar>
            <w:vAlign w:val="center"/>
          </w:tcPr>
          <w:p>
            <w:pPr>
              <w:spacing w:after="0"/>
            </w:pPr>
            <w:r>
              <w:rPr>
                <w:sz w:val="16"/>
              </w:rPr>
              <w:t>Investigation type</w:t>
            </w:r>
          </w:p>
        </w:tc>
        <w:tc>
          <w:tcPr>
            <w:tcW w:type="dxa" w:w="6768"/>
            <w:tcMar>
              <w:top w:w="80" w:type="dxa"/>
              <w:start w:w="100" w:type="dxa"/>
              <w:bottom w:w="80" w:type="dxa"/>
              <w:end w:w="100" w:type="dxa"/>
            </w:tcMar>
            <w:vAlign w:val="center"/>
          </w:tcPr>
          <w:p>
            <w:pPr>
              <w:spacing w:after="0"/>
            </w:pPr>
            <w:r>
              <w:rPr>
                <w:sz w:val="16"/>
              </w:rPr>
              <w:t>Static malware intelligence and OSINT enrichment</w:t>
            </w:r>
          </w:p>
        </w:tc>
      </w:tr>
      <w:tr>
        <w:tc>
          <w:tcPr>
            <w:tcW w:type="dxa" w:w="2880"/>
            <w:tcMar>
              <w:top w:w="80" w:type="dxa"/>
              <w:start w:w="100" w:type="dxa"/>
              <w:bottom w:w="80" w:type="dxa"/>
              <w:end w:w="100" w:type="dxa"/>
            </w:tcMar>
            <w:vAlign w:val="center"/>
            <w:shd w:fill="F2F4F6"/>
          </w:tcPr>
          <w:p>
            <w:pPr>
              <w:spacing w:after="0"/>
            </w:pPr>
            <w:r>
              <w:rPr>
                <w:sz w:val="16"/>
              </w:rPr>
              <w:t>Evidence</w:t>
            </w:r>
          </w:p>
        </w:tc>
        <w:tc>
          <w:tcPr>
            <w:tcW w:type="dxa" w:w="6768"/>
            <w:tcMar>
              <w:top w:w="80" w:type="dxa"/>
              <w:start w:w="100" w:type="dxa"/>
              <w:bottom w:w="80" w:type="dxa"/>
              <w:end w:w="100" w:type="dxa"/>
            </w:tcMar>
            <w:vAlign w:val="center"/>
            <w:shd w:fill="F2F4F6"/>
          </w:tcPr>
          <w:p>
            <w:pPr>
              <w:spacing w:after="0"/>
            </w:pPr>
            <w:r>
              <w:rPr>
                <w:sz w:val="16"/>
              </w:rPr>
              <w:t>SHA-256 supplied in hash.txt</w:t>
            </w:r>
          </w:p>
        </w:tc>
      </w:tr>
      <w:tr>
        <w:tc>
          <w:tcPr>
            <w:tcW w:type="dxa" w:w="2880"/>
            <w:tcMar>
              <w:top w:w="80" w:type="dxa"/>
              <w:start w:w="100" w:type="dxa"/>
              <w:bottom w:w="80" w:type="dxa"/>
              <w:end w:w="100" w:type="dxa"/>
            </w:tcMar>
            <w:vAlign w:val="center"/>
          </w:tcPr>
          <w:p>
            <w:pPr>
              <w:spacing w:after="0"/>
            </w:pPr>
            <w:r>
              <w:rPr>
                <w:sz w:val="16"/>
              </w:rPr>
              <w:t>Report date</w:t>
            </w:r>
          </w:p>
        </w:tc>
        <w:tc>
          <w:tcPr>
            <w:tcW w:type="dxa" w:w="6768"/>
            <w:tcMar>
              <w:top w:w="80" w:type="dxa"/>
              <w:start w:w="100" w:type="dxa"/>
              <w:bottom w:w="80" w:type="dxa"/>
              <w:end w:w="100" w:type="dxa"/>
            </w:tcMar>
            <w:vAlign w:val="center"/>
          </w:tcPr>
          <w:p>
            <w:pPr>
              <w:spacing w:after="0"/>
            </w:pPr>
            <w:r>
              <w:rPr>
                <w:sz w:val="16"/>
              </w:rPr>
              <w:t>07 October 2026</w:t>
            </w:r>
          </w:p>
        </w:tc>
      </w:tr>
      <w:tr>
        <w:tc>
          <w:tcPr>
            <w:tcW w:type="dxa" w:w="2880"/>
            <w:tcMar>
              <w:top w:w="80" w:type="dxa"/>
              <w:start w:w="100" w:type="dxa"/>
              <w:bottom w:w="80" w:type="dxa"/>
              <w:end w:w="100" w:type="dxa"/>
            </w:tcMar>
            <w:vAlign w:val="center"/>
            <w:shd w:fill="F2F4F6"/>
          </w:tcPr>
          <w:p>
            <w:pPr>
              <w:spacing w:after="0"/>
            </w:pPr>
            <w:r>
              <w:rPr>
                <w:sz w:val="16"/>
              </w:rPr>
              <w:t>Time standard</w:t>
            </w:r>
          </w:p>
        </w:tc>
        <w:tc>
          <w:tcPr>
            <w:tcW w:type="dxa" w:w="6768"/>
            <w:tcMar>
              <w:top w:w="80" w:type="dxa"/>
              <w:start w:w="100" w:type="dxa"/>
              <w:bottom w:w="80" w:type="dxa"/>
              <w:end w:w="100" w:type="dxa"/>
            </w:tcMar>
            <w:vAlign w:val="center"/>
            <w:shd w:fill="F2F4F6"/>
          </w:tcPr>
          <w:p>
            <w:pPr>
              <w:spacing w:after="0"/>
            </w:pPr>
            <w:r>
              <w:rPr>
                <w:sz w:val="16"/>
              </w:rPr>
              <w:t>UTC</w:t>
            </w:r>
          </w:p>
        </w:tc>
      </w:tr>
      <w:tr>
        <w:tc>
          <w:tcPr>
            <w:tcW w:type="dxa" w:w="2880"/>
            <w:tcMar>
              <w:top w:w="80" w:type="dxa"/>
              <w:start w:w="100" w:type="dxa"/>
              <w:bottom w:w="80" w:type="dxa"/>
              <w:end w:w="100" w:type="dxa"/>
            </w:tcMar>
            <w:vAlign w:val="center"/>
          </w:tcPr>
          <w:p>
            <w:pPr>
              <w:spacing w:after="0"/>
            </w:pPr>
            <w:r>
              <w:rPr>
                <w:sz w:val="16"/>
              </w:rPr>
              <w:t>Sample execution</w:t>
            </w:r>
          </w:p>
        </w:tc>
        <w:tc>
          <w:tcPr>
            <w:tcW w:type="dxa" w:w="6768"/>
            <w:tcMar>
              <w:top w:w="80" w:type="dxa"/>
              <w:start w:w="100" w:type="dxa"/>
              <w:bottom w:w="80" w:type="dxa"/>
              <w:end w:w="100" w:type="dxa"/>
            </w:tcMar>
            <w:vAlign w:val="center"/>
          </w:tcPr>
          <w:p>
            <w:pPr>
              <w:spacing w:after="0"/>
            </w:pPr>
            <w:r>
              <w:rPr>
                <w:sz w:val="16"/>
              </w:rPr>
              <w:t>Not performed</w:t>
            </w:r>
          </w:p>
        </w:tc>
      </w:tr>
    </w:tbl>
    <w:p>
      <w:pPr>
        <w:spacing w:after="0"/>
      </w:pPr>
    </w:p>
    <w:p/>
    <w:p>
      <w:r>
        <w:rPr>
          <w:b/>
          <w:color w:val="A61B1B"/>
        </w:rPr>
        <w:t>Handling notice</w:t>
      </w:r>
      <w:r>
        <w:t xml:space="preserve">  The C2 domain is defanged throughout this report. Do not browse to historical malicious infrastructure.</w:t>
      </w:r>
    </w:p>
    <w:p>
      <w:r>
        <w:br w:type="page"/>
      </w:r>
    </w:p>
    <w:p>
      <w:pPr>
        <w:pStyle w:val="Heading1"/>
      </w:pPr>
      <w:r>
        <w:t>Executive Summary</w:t>
      </w:r>
    </w:p>
    <w:p>
      <w:r>
        <w:t>This investigation began with a single SHA-256 value recovered from a small evidence archive. VirusTotal enrichment linked the indicator to a DLL sample with a strong malicious detection consensus. Because vendor labels were inconsistent, the investigation pivoted to Red Canary technical reporting, which identifies the associated threat cluster as Yellow Cockatoo.</w:t>
      </w:r>
    </w:p>
    <w:p>
      <w:r>
        <w:t>The evidence also revealed a commonly observed filename, PE compilation metadata, the first recorded VirusTotal submission, an AppData artifact used as a host identifier, and historical command-and-control infrastructure. These findings provide defenders with concrete hunting pivots while preserving the distinction between directly observed metadata and broader cluster behavior.</w:t>
      </w:r>
    </w:p>
    <w:p>
      <w:pPr>
        <w:pStyle w:val="Heading2"/>
      </w:pPr>
      <w:r>
        <w:t>Key Findings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6324F"/>
            <w:tcMar>
              <w:top w:w="80" w:type="dxa"/>
              <w:start w:w="100" w:type="dxa"/>
              <w:bottom w:w="80" w:type="dxa"/>
              <w:end w:w="100" w:type="dxa"/>
            </w:tcMar>
          </w:tcPr>
          <w:p>
            <w:pPr>
              <w:spacing w:after="0"/>
            </w:pPr>
            <w:r>
              <w:rPr>
                <w:b/>
                <w:color w:val="FFFFFF"/>
                <w:sz w:val="16"/>
              </w:rPr>
              <w:t>Finding</w:t>
            </w:r>
          </w:p>
        </w:tc>
        <w:tc>
          <w:tcPr>
            <w:tcW w:type="dxa" w:w="4320"/>
            <w:shd w:fill="16324F"/>
            <w:tcMar>
              <w:top w:w="80" w:type="dxa"/>
              <w:start w:w="100" w:type="dxa"/>
              <w:bottom w:w="80" w:type="dxa"/>
              <w:end w:w="100" w:type="dxa"/>
            </w:tcMar>
          </w:tcPr>
          <w:p>
            <w:pPr>
              <w:spacing w:after="0"/>
            </w:pPr>
            <w:r>
              <w:rPr>
                <w:b/>
                <w:color w:val="FFFFFF"/>
                <w:sz w:val="16"/>
              </w:rPr>
              <w:t>Result</w:t>
            </w:r>
          </w:p>
        </w:tc>
        <w:tc>
          <w:tcPr>
            <w:tcW w:type="dxa" w:w="3168"/>
            <w:shd w:fill="16324F"/>
            <w:tcMar>
              <w:top w:w="80" w:type="dxa"/>
              <w:start w:w="100" w:type="dxa"/>
              <w:bottom w:w="80" w:type="dxa"/>
              <w:end w:w="100" w:type="dxa"/>
            </w:tcMar>
          </w:tcPr>
          <w:p>
            <w:pPr>
              <w:spacing w:after="0"/>
            </w:pPr>
            <w:r>
              <w:rPr>
                <w:b/>
                <w:color w:val="FFFFFF"/>
                <w:sz w:val="16"/>
              </w:rPr>
              <w:t>Source</w:t>
            </w:r>
          </w:p>
        </w:tc>
      </w:tr>
      <w:tr>
        <w:tc>
          <w:tcPr>
            <w:tcW w:type="dxa" w:w="2160"/>
            <w:tcMar>
              <w:top w:w="80" w:type="dxa"/>
              <w:start w:w="100" w:type="dxa"/>
              <w:bottom w:w="80" w:type="dxa"/>
              <w:end w:w="100" w:type="dxa"/>
            </w:tcMar>
            <w:vAlign w:val="center"/>
          </w:tcPr>
          <w:p>
            <w:pPr>
              <w:spacing w:after="0"/>
            </w:pPr>
            <w:r>
              <w:rPr>
                <w:sz w:val="16"/>
              </w:rPr>
              <w:t>Threat cluster</w:t>
            </w:r>
          </w:p>
        </w:tc>
        <w:tc>
          <w:tcPr>
            <w:tcW w:type="dxa" w:w="4320"/>
            <w:tcMar>
              <w:top w:w="80" w:type="dxa"/>
              <w:start w:w="100" w:type="dxa"/>
              <w:bottom w:w="80" w:type="dxa"/>
              <w:end w:w="100" w:type="dxa"/>
            </w:tcMar>
            <w:vAlign w:val="center"/>
          </w:tcPr>
          <w:p>
            <w:pPr>
              <w:spacing w:after="0"/>
            </w:pPr>
            <w:r>
              <w:rPr>
                <w:sz w:val="16"/>
              </w:rPr>
              <w:t>Yellow Cockatoo</w:t>
            </w:r>
          </w:p>
        </w:tc>
        <w:tc>
          <w:tcPr>
            <w:tcW w:type="dxa" w:w="3168"/>
            <w:tcMar>
              <w:top w:w="80" w:type="dxa"/>
              <w:start w:w="100" w:type="dxa"/>
              <w:bottom w:w="80" w:type="dxa"/>
              <w:end w:w="100" w:type="dxa"/>
            </w:tcMar>
            <w:vAlign w:val="center"/>
          </w:tcPr>
          <w:p>
            <w:pPr>
              <w:spacing w:after="0"/>
            </w:pPr>
            <w:r>
              <w:rPr>
                <w:sz w:val="16"/>
              </w:rPr>
              <w:t>Red Canary</w:t>
            </w:r>
          </w:p>
        </w:tc>
      </w:tr>
      <w:tr>
        <w:tc>
          <w:tcPr>
            <w:tcW w:type="dxa" w:w="2160"/>
            <w:tcMar>
              <w:top w:w="80" w:type="dxa"/>
              <w:start w:w="100" w:type="dxa"/>
              <w:bottom w:w="80" w:type="dxa"/>
              <w:end w:w="100" w:type="dxa"/>
            </w:tcMar>
            <w:vAlign w:val="center"/>
            <w:shd w:fill="F2F4F6"/>
          </w:tcPr>
          <w:p>
            <w:pPr>
              <w:spacing w:after="0"/>
            </w:pPr>
            <w:r>
              <w:rPr>
                <w:sz w:val="16"/>
              </w:rPr>
              <w:t>SHA-256</w:t>
            </w:r>
          </w:p>
        </w:tc>
        <w:tc>
          <w:tcPr>
            <w:tcW w:type="dxa" w:w="4320"/>
            <w:tcMar>
              <w:top w:w="80" w:type="dxa"/>
              <w:start w:w="100" w:type="dxa"/>
              <w:bottom w:w="80" w:type="dxa"/>
              <w:end w:w="100" w:type="dxa"/>
            </w:tcMar>
            <w:vAlign w:val="center"/>
            <w:shd w:fill="F2F4F6"/>
          </w:tcPr>
          <w:p>
            <w:pPr>
              <w:spacing w:after="0"/>
            </w:pPr>
            <w:r>
              <w:rPr>
                <w:sz w:val="16"/>
              </w:rPr>
              <w:t>30e527e4…10d071c85</w:t>
            </w:r>
          </w:p>
        </w:tc>
        <w:tc>
          <w:tcPr>
            <w:tcW w:type="dxa" w:w="3168"/>
            <w:tcMar>
              <w:top w:w="80" w:type="dxa"/>
              <w:start w:w="100" w:type="dxa"/>
              <w:bottom w:w="80" w:type="dxa"/>
              <w:end w:w="100" w:type="dxa"/>
            </w:tcMar>
            <w:vAlign w:val="center"/>
            <w:shd w:fill="F2F4F6"/>
          </w:tcPr>
          <w:p>
            <w:pPr>
              <w:spacing w:after="0"/>
            </w:pPr>
            <w:r>
              <w:rPr>
                <w:sz w:val="16"/>
              </w:rPr>
              <w:t>Supplied evidence / VirusTotal</w:t>
            </w:r>
          </w:p>
        </w:tc>
      </w:tr>
      <w:tr>
        <w:tc>
          <w:tcPr>
            <w:tcW w:type="dxa" w:w="2160"/>
            <w:tcMar>
              <w:top w:w="80" w:type="dxa"/>
              <w:start w:w="100" w:type="dxa"/>
              <w:bottom w:w="80" w:type="dxa"/>
              <w:end w:w="100" w:type="dxa"/>
            </w:tcMar>
            <w:vAlign w:val="center"/>
          </w:tcPr>
          <w:p>
            <w:pPr>
              <w:spacing w:after="0"/>
            </w:pPr>
            <w:r>
              <w:rPr>
                <w:sz w:val="16"/>
              </w:rPr>
              <w:t>Filename</w:t>
            </w:r>
          </w:p>
        </w:tc>
        <w:tc>
          <w:tcPr>
            <w:tcW w:type="dxa" w:w="4320"/>
            <w:tcMar>
              <w:top w:w="80" w:type="dxa"/>
              <w:start w:w="100" w:type="dxa"/>
              <w:bottom w:w="80" w:type="dxa"/>
              <w:end w:w="100" w:type="dxa"/>
            </w:tcMar>
            <w:vAlign w:val="center"/>
          </w:tcPr>
          <w:p>
            <w:pPr>
              <w:spacing w:after="0"/>
            </w:pPr>
            <w:r>
              <w:rPr>
                <w:sz w:val="16"/>
              </w:rPr>
              <w:t>111bc461-1ca8-43c6-97ed-911e0e69fdf8.dll</w:t>
            </w:r>
          </w:p>
        </w:tc>
        <w:tc>
          <w:tcPr>
            <w:tcW w:type="dxa" w:w="3168"/>
            <w:tcMar>
              <w:top w:w="80" w:type="dxa"/>
              <w:start w:w="100" w:type="dxa"/>
              <w:bottom w:w="80" w:type="dxa"/>
              <w:end w:w="100" w:type="dxa"/>
            </w:tcMar>
            <w:vAlign w:val="center"/>
          </w:tcPr>
          <w:p>
            <w:pPr>
              <w:spacing w:after="0"/>
            </w:pPr>
            <w:r>
              <w:rPr>
                <w:sz w:val="16"/>
              </w:rPr>
              <w:t>VirusTotal</w:t>
            </w:r>
          </w:p>
        </w:tc>
      </w:tr>
      <w:tr>
        <w:tc>
          <w:tcPr>
            <w:tcW w:type="dxa" w:w="2160"/>
            <w:tcMar>
              <w:top w:w="80" w:type="dxa"/>
              <w:start w:w="100" w:type="dxa"/>
              <w:bottom w:w="80" w:type="dxa"/>
              <w:end w:w="100" w:type="dxa"/>
            </w:tcMar>
            <w:vAlign w:val="center"/>
            <w:shd w:fill="F2F4F6"/>
          </w:tcPr>
          <w:p>
            <w:pPr>
              <w:spacing w:after="0"/>
            </w:pPr>
            <w:r>
              <w:rPr>
                <w:sz w:val="16"/>
              </w:rPr>
              <w:t>Compilation time</w:t>
            </w:r>
          </w:p>
        </w:tc>
        <w:tc>
          <w:tcPr>
            <w:tcW w:type="dxa" w:w="4320"/>
            <w:tcMar>
              <w:top w:w="80" w:type="dxa"/>
              <w:start w:w="100" w:type="dxa"/>
              <w:bottom w:w="80" w:type="dxa"/>
              <w:end w:w="100" w:type="dxa"/>
            </w:tcMar>
            <w:vAlign w:val="center"/>
            <w:shd w:fill="F2F4F6"/>
          </w:tcPr>
          <w:p>
            <w:pPr>
              <w:spacing w:after="0"/>
            </w:pPr>
            <w:r>
              <w:rPr>
                <w:sz w:val="16"/>
              </w:rPr>
              <w:t>2020-09-24 18:26:47 UTC</w:t>
            </w:r>
          </w:p>
        </w:tc>
        <w:tc>
          <w:tcPr>
            <w:tcW w:type="dxa" w:w="3168"/>
            <w:tcMar>
              <w:top w:w="80" w:type="dxa"/>
              <w:start w:w="100" w:type="dxa"/>
              <w:bottom w:w="80" w:type="dxa"/>
              <w:end w:w="100" w:type="dxa"/>
            </w:tcMar>
            <w:vAlign w:val="center"/>
            <w:shd w:fill="F2F4F6"/>
          </w:tcPr>
          <w:p>
            <w:pPr>
              <w:spacing w:after="0"/>
            </w:pPr>
            <w:r>
              <w:rPr>
                <w:sz w:val="16"/>
              </w:rPr>
              <w:t>VirusTotal PE metadata</w:t>
            </w:r>
          </w:p>
        </w:tc>
      </w:tr>
      <w:tr>
        <w:tc>
          <w:tcPr>
            <w:tcW w:type="dxa" w:w="2160"/>
            <w:tcMar>
              <w:top w:w="80" w:type="dxa"/>
              <w:start w:w="100" w:type="dxa"/>
              <w:bottom w:w="80" w:type="dxa"/>
              <w:end w:w="100" w:type="dxa"/>
            </w:tcMar>
            <w:vAlign w:val="center"/>
          </w:tcPr>
          <w:p>
            <w:pPr>
              <w:spacing w:after="0"/>
            </w:pPr>
            <w:r>
              <w:rPr>
                <w:sz w:val="16"/>
              </w:rPr>
              <w:t>First VT submission</w:t>
            </w:r>
          </w:p>
        </w:tc>
        <w:tc>
          <w:tcPr>
            <w:tcW w:type="dxa" w:w="4320"/>
            <w:tcMar>
              <w:top w:w="80" w:type="dxa"/>
              <w:start w:w="100" w:type="dxa"/>
              <w:bottom w:w="80" w:type="dxa"/>
              <w:end w:w="100" w:type="dxa"/>
            </w:tcMar>
            <w:vAlign w:val="center"/>
          </w:tcPr>
          <w:p>
            <w:pPr>
              <w:spacing w:after="0"/>
            </w:pPr>
            <w:r>
              <w:rPr>
                <w:sz w:val="16"/>
              </w:rPr>
              <w:t>2020-10-15 02:47:37 UTC</w:t>
            </w:r>
          </w:p>
        </w:tc>
        <w:tc>
          <w:tcPr>
            <w:tcW w:type="dxa" w:w="3168"/>
            <w:tcMar>
              <w:top w:w="80" w:type="dxa"/>
              <w:start w:w="100" w:type="dxa"/>
              <w:bottom w:w="80" w:type="dxa"/>
              <w:end w:w="100" w:type="dxa"/>
            </w:tcMar>
            <w:vAlign w:val="center"/>
          </w:tcPr>
          <w:p>
            <w:pPr>
              <w:spacing w:after="0"/>
            </w:pPr>
            <w:r>
              <w:rPr>
                <w:sz w:val="16"/>
              </w:rPr>
              <w:t>VirusTotal history</w:t>
            </w:r>
          </w:p>
        </w:tc>
      </w:tr>
      <w:tr>
        <w:tc>
          <w:tcPr>
            <w:tcW w:type="dxa" w:w="2160"/>
            <w:tcMar>
              <w:top w:w="80" w:type="dxa"/>
              <w:start w:w="100" w:type="dxa"/>
              <w:bottom w:w="80" w:type="dxa"/>
              <w:end w:w="100" w:type="dxa"/>
            </w:tcMar>
            <w:vAlign w:val="center"/>
            <w:shd w:fill="F2F4F6"/>
          </w:tcPr>
          <w:p>
            <w:pPr>
              <w:spacing w:after="0"/>
            </w:pPr>
            <w:r>
              <w:rPr>
                <w:sz w:val="16"/>
              </w:rPr>
              <w:t>Host artifact</w:t>
            </w:r>
          </w:p>
        </w:tc>
        <w:tc>
          <w:tcPr>
            <w:tcW w:type="dxa" w:w="4320"/>
            <w:tcMar>
              <w:top w:w="80" w:type="dxa"/>
              <w:start w:w="100" w:type="dxa"/>
              <w:bottom w:w="80" w:type="dxa"/>
              <w:end w:w="100" w:type="dxa"/>
            </w:tcMar>
            <w:vAlign w:val="center"/>
            <w:shd w:fill="F2F4F6"/>
          </w:tcPr>
          <w:p>
            <w:pPr>
              <w:spacing w:after="0"/>
            </w:pPr>
            <w:r>
              <w:rPr>
                <w:sz w:val="16"/>
              </w:rPr>
              <w:t>%APPDATA%\solarmarker.dat</w:t>
            </w:r>
          </w:p>
        </w:tc>
        <w:tc>
          <w:tcPr>
            <w:tcW w:type="dxa" w:w="3168"/>
            <w:tcMar>
              <w:top w:w="80" w:type="dxa"/>
              <w:start w:w="100" w:type="dxa"/>
              <w:bottom w:w="80" w:type="dxa"/>
              <w:end w:w="100" w:type="dxa"/>
            </w:tcMar>
            <w:vAlign w:val="center"/>
            <w:shd w:fill="F2F4F6"/>
          </w:tcPr>
          <w:p>
            <w:pPr>
              <w:spacing w:after="0"/>
            </w:pPr>
            <w:r>
              <w:rPr>
                <w:sz w:val="16"/>
              </w:rPr>
              <w:t>Red Canary</w:t>
            </w:r>
          </w:p>
        </w:tc>
      </w:tr>
      <w:tr>
        <w:tc>
          <w:tcPr>
            <w:tcW w:type="dxa" w:w="2160"/>
            <w:tcMar>
              <w:top w:w="80" w:type="dxa"/>
              <w:start w:w="100" w:type="dxa"/>
              <w:bottom w:w="80" w:type="dxa"/>
              <w:end w:w="100" w:type="dxa"/>
            </w:tcMar>
            <w:vAlign w:val="center"/>
          </w:tcPr>
          <w:p>
            <w:pPr>
              <w:spacing w:after="0"/>
            </w:pPr>
            <w:r>
              <w:rPr>
                <w:sz w:val="16"/>
              </w:rPr>
              <w:t>C2 domain</w:t>
            </w:r>
          </w:p>
        </w:tc>
        <w:tc>
          <w:tcPr>
            <w:tcW w:type="dxa" w:w="4320"/>
            <w:tcMar>
              <w:top w:w="80" w:type="dxa"/>
              <w:start w:w="100" w:type="dxa"/>
              <w:bottom w:w="80" w:type="dxa"/>
              <w:end w:w="100" w:type="dxa"/>
            </w:tcMar>
            <w:vAlign w:val="center"/>
          </w:tcPr>
          <w:p>
            <w:pPr>
              <w:spacing w:after="0"/>
            </w:pPr>
            <w:r>
              <w:rPr>
                <w:sz w:val="16"/>
              </w:rPr>
              <w:t>gogohid[.]com</w:t>
            </w:r>
          </w:p>
        </w:tc>
        <w:tc>
          <w:tcPr>
            <w:tcW w:type="dxa" w:w="3168"/>
            <w:tcMar>
              <w:top w:w="80" w:type="dxa"/>
              <w:start w:w="100" w:type="dxa"/>
              <w:bottom w:w="80" w:type="dxa"/>
              <w:end w:w="100" w:type="dxa"/>
            </w:tcMar>
            <w:vAlign w:val="center"/>
          </w:tcPr>
          <w:p>
            <w:pPr>
              <w:spacing w:after="0"/>
            </w:pPr>
            <w:r>
              <w:rPr>
                <w:sz w:val="16"/>
              </w:rPr>
              <w:t>Red Canary</w:t>
            </w:r>
          </w:p>
        </w:tc>
      </w:tr>
    </w:tbl>
    <w:p>
      <w:pPr>
        <w:spacing w:after="0"/>
      </w:pPr>
    </w:p>
    <w:p>
      <w:pPr>
        <w:pStyle w:val="Heading2"/>
      </w:pPr>
      <w:r>
        <w:t>Analytic Confidence</w:t>
      </w:r>
    </w:p>
    <w:p>
      <w:pPr>
        <w:pStyle w:val="ListBullet"/>
        <w:spacing w:after="60"/>
      </w:pPr>
      <w:r>
        <w:t>High confidence in the SHA-256 because it was supplied directly and matched the VirusTotal record.</w:t>
      </w:r>
    </w:p>
    <w:p>
      <w:pPr>
        <w:pStyle w:val="ListBullet"/>
        <w:spacing w:after="60"/>
      </w:pPr>
      <w:r>
        <w:t>High confidence in the threat-cluster name, host artifact, and C2 domain because they are documented by Red Canary technical analysis for the matching activity.</w:t>
      </w:r>
    </w:p>
    <w:p>
      <w:pPr>
        <w:pStyle w:val="ListBullet"/>
        <w:spacing w:after="60"/>
      </w:pPr>
      <w:r>
        <w:t>Medium confidence in the filename as a durable hunting indicator because filenames can be changed without altering file content.</w:t>
      </w:r>
    </w:p>
    <w:p>
      <w:pPr>
        <w:pStyle w:val="Heading2"/>
      </w:pPr>
      <w:r>
        <w:t>Priority Actions</w:t>
      </w:r>
    </w:p>
    <w:p>
      <w:pPr>
        <w:pStyle w:val="ListBullet"/>
        <w:spacing w:after="60"/>
      </w:pPr>
      <w:r>
        <w:t>Hunt the SHA-256 across endpoint, email, download, and file inventory telemetry.</w:t>
      </w:r>
    </w:p>
    <w:p>
      <w:pPr>
        <w:pStyle w:val="ListBullet"/>
        <w:spacing w:after="60"/>
      </w:pPr>
      <w:r>
        <w:t>Search endpoints for %APPDATA%\solarmarker.dat and reconstruct its creation timeline.</w:t>
      </w:r>
    </w:p>
    <w:p>
      <w:pPr>
        <w:pStyle w:val="ListBullet"/>
        <w:spacing w:after="60"/>
      </w:pPr>
      <w:r>
        <w:t>Review DNS, proxy, firewall, and EDR events for the defanged domain and documented URI paths.</w:t>
      </w:r>
    </w:p>
    <w:p>
      <w:pPr>
        <w:pStyle w:val="ListBullet"/>
        <w:spacing w:after="60"/>
      </w:pPr>
      <w:r>
        <w:t>Isolate confirmed affected endpoints and preserve memory, suspicious files, process trees, and persistence artifacts.</w:t>
      </w:r>
    </w:p>
    <w:p>
      <w:r>
        <w:br w:type="page"/>
      </w:r>
    </w:p>
    <w:p>
      <w:pPr>
        <w:pStyle w:val="Heading1"/>
      </w:pPr>
      <w:r>
        <w:t>Scope and Methodology</w:t>
      </w:r>
    </w:p>
    <w:p>
      <w:pPr>
        <w:pStyle w:val="Heading2"/>
      </w:pPr>
      <w:r>
        <w:t>Objective</w:t>
      </w:r>
    </w:p>
    <w:p>
      <w:r>
        <w:t>The objective was to turn a supplied hash into defensible malware intelligence: identify the threat cluster, recover file and timeline metadata, identify host and network artifacts, and translate the results into detection and response guidance.</w:t>
      </w:r>
    </w:p>
    <w:p>
      <w:pPr>
        <w:pStyle w:val="Heading2"/>
      </w:pPr>
      <w:r>
        <w:t>Evidence Handling</w:t>
      </w:r>
    </w:p>
    <w:p>
      <w:r>
        <w:t>The investigation was performed in an isolated Kali Linux virtual machine. The archive was listed before extraction. The evidence contained a text file holding a SHA-256 value rather than an executable sample, so no malware was launched or dynamically detonated.</w:t>
      </w:r>
    </w:p>
    <w:p>
      <w:pPr>
        <w:pStyle w:val="Heading2"/>
      </w:pPr>
      <w:r>
        <w:t>Sources and Tools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6324F"/>
            <w:tcMar>
              <w:top w:w="80" w:type="dxa"/>
              <w:start w:w="100" w:type="dxa"/>
              <w:bottom w:w="80" w:type="dxa"/>
              <w:end w:w="100" w:type="dxa"/>
            </w:tcMar>
          </w:tcPr>
          <w:p>
            <w:pPr>
              <w:spacing w:after="0"/>
            </w:pPr>
            <w:r>
              <w:rPr>
                <w:b/>
                <w:color w:val="FFFFFF"/>
                <w:sz w:val="16"/>
              </w:rPr>
              <w:t>Source or tool</w:t>
            </w:r>
          </w:p>
        </w:tc>
        <w:tc>
          <w:tcPr>
            <w:tcW w:type="dxa" w:w="6768"/>
            <w:shd w:fill="16324F"/>
            <w:tcMar>
              <w:top w:w="80" w:type="dxa"/>
              <w:start w:w="100" w:type="dxa"/>
              <w:bottom w:w="80" w:type="dxa"/>
              <w:end w:w="100" w:type="dxa"/>
            </w:tcMar>
          </w:tcPr>
          <w:p>
            <w:pPr>
              <w:spacing w:after="0"/>
            </w:pPr>
            <w:r>
              <w:rPr>
                <w:b/>
                <w:color w:val="FFFFFF"/>
                <w:sz w:val="16"/>
              </w:rPr>
              <w:t>Purpose</w:t>
            </w:r>
          </w:p>
        </w:tc>
      </w:tr>
      <w:tr>
        <w:tc>
          <w:tcPr>
            <w:tcW w:type="dxa" w:w="2880"/>
            <w:tcMar>
              <w:top w:w="80" w:type="dxa"/>
              <w:start w:w="100" w:type="dxa"/>
              <w:bottom w:w="80" w:type="dxa"/>
              <w:end w:w="100" w:type="dxa"/>
            </w:tcMar>
            <w:vAlign w:val="center"/>
          </w:tcPr>
          <w:p>
            <w:pPr>
              <w:spacing w:after="0"/>
            </w:pPr>
            <w:r>
              <w:rPr>
                <w:sz w:val="16"/>
              </w:rPr>
              <w:t>7-Zip / terminal</w:t>
            </w:r>
          </w:p>
        </w:tc>
        <w:tc>
          <w:tcPr>
            <w:tcW w:type="dxa" w:w="6768"/>
            <w:tcMar>
              <w:top w:w="80" w:type="dxa"/>
              <w:start w:w="100" w:type="dxa"/>
              <w:bottom w:w="80" w:type="dxa"/>
              <w:end w:w="100" w:type="dxa"/>
            </w:tcMar>
            <w:vAlign w:val="center"/>
          </w:tcPr>
          <w:p>
            <w:pPr>
              <w:spacing w:after="0"/>
            </w:pPr>
            <w:r>
              <w:rPr>
                <w:sz w:val="16"/>
              </w:rPr>
              <w:t>Inspect archive structure and read the supplied hash</w:t>
            </w:r>
          </w:p>
        </w:tc>
      </w:tr>
      <w:tr>
        <w:tc>
          <w:tcPr>
            <w:tcW w:type="dxa" w:w="2880"/>
            <w:tcMar>
              <w:top w:w="80" w:type="dxa"/>
              <w:start w:w="100" w:type="dxa"/>
              <w:bottom w:w="80" w:type="dxa"/>
              <w:end w:w="100" w:type="dxa"/>
            </w:tcMar>
            <w:vAlign w:val="center"/>
            <w:shd w:fill="F2F4F6"/>
          </w:tcPr>
          <w:p>
            <w:pPr>
              <w:spacing w:after="0"/>
            </w:pPr>
            <w:r>
              <w:rPr>
                <w:sz w:val="16"/>
              </w:rPr>
              <w:t>VirusTotal</w:t>
            </w:r>
          </w:p>
        </w:tc>
        <w:tc>
          <w:tcPr>
            <w:tcW w:type="dxa" w:w="6768"/>
            <w:tcMar>
              <w:top w:w="80" w:type="dxa"/>
              <w:start w:w="100" w:type="dxa"/>
              <w:bottom w:w="80" w:type="dxa"/>
              <w:end w:w="100" w:type="dxa"/>
            </w:tcMar>
            <w:vAlign w:val="center"/>
            <w:shd w:fill="F2F4F6"/>
          </w:tcPr>
          <w:p>
            <w:pPr>
              <w:spacing w:after="0"/>
            </w:pPr>
            <w:r>
              <w:rPr>
                <w:sz w:val="16"/>
              </w:rPr>
              <w:t>Enrich the hash with detection, filename, PE, and history metadata</w:t>
            </w:r>
          </w:p>
        </w:tc>
      </w:tr>
      <w:tr>
        <w:tc>
          <w:tcPr>
            <w:tcW w:type="dxa" w:w="2880"/>
            <w:tcMar>
              <w:top w:w="80" w:type="dxa"/>
              <w:start w:w="100" w:type="dxa"/>
              <w:bottom w:w="80" w:type="dxa"/>
              <w:end w:w="100" w:type="dxa"/>
            </w:tcMar>
            <w:vAlign w:val="center"/>
          </w:tcPr>
          <w:p>
            <w:pPr>
              <w:spacing w:after="0"/>
            </w:pPr>
            <w:r>
              <w:rPr>
                <w:sz w:val="16"/>
              </w:rPr>
              <w:t>Red Canary analysis</w:t>
            </w:r>
          </w:p>
        </w:tc>
        <w:tc>
          <w:tcPr>
            <w:tcW w:type="dxa" w:w="6768"/>
            <w:tcMar>
              <w:top w:w="80" w:type="dxa"/>
              <w:start w:w="100" w:type="dxa"/>
              <w:bottom w:w="80" w:type="dxa"/>
              <w:end w:w="100" w:type="dxa"/>
            </w:tcMar>
            <w:vAlign w:val="center"/>
          </w:tcPr>
          <w:p>
            <w:pPr>
              <w:spacing w:after="0"/>
            </w:pPr>
            <w:r>
              <w:rPr>
                <w:sz w:val="16"/>
              </w:rPr>
              <w:t>Resolve the named threat cluster and recover behavioral artifacts</w:t>
            </w:r>
          </w:p>
        </w:tc>
      </w:tr>
      <w:tr>
        <w:tc>
          <w:tcPr>
            <w:tcW w:type="dxa" w:w="2880"/>
            <w:tcMar>
              <w:top w:w="80" w:type="dxa"/>
              <w:start w:w="100" w:type="dxa"/>
              <w:bottom w:w="80" w:type="dxa"/>
              <w:end w:w="100" w:type="dxa"/>
            </w:tcMar>
            <w:vAlign w:val="center"/>
            <w:shd w:fill="F2F4F6"/>
          </w:tcPr>
          <w:p>
            <w:pPr>
              <w:spacing w:after="0"/>
            </w:pPr>
            <w:r>
              <w:rPr>
                <w:sz w:val="16"/>
              </w:rPr>
              <w:t>Hybrid Analysis</w:t>
            </w:r>
          </w:p>
        </w:tc>
        <w:tc>
          <w:tcPr>
            <w:tcW w:type="dxa" w:w="6768"/>
            <w:tcMar>
              <w:top w:w="80" w:type="dxa"/>
              <w:start w:w="100" w:type="dxa"/>
              <w:bottom w:w="80" w:type="dxa"/>
              <w:end w:w="100" w:type="dxa"/>
            </w:tcMar>
            <w:vAlign w:val="center"/>
            <w:shd w:fill="F2F4F6"/>
          </w:tcPr>
          <w:p>
            <w:pPr>
              <w:spacing w:after="0"/>
            </w:pPr>
            <w:r>
              <w:rPr>
                <w:sz w:val="16"/>
              </w:rPr>
              <w:t>Attempt historical lookup; anonymous time-range restriction limited results</w:t>
            </w:r>
          </w:p>
        </w:tc>
      </w:tr>
    </w:tbl>
    <w:p>
      <w:pPr>
        <w:spacing w:after="0"/>
      </w:pPr>
    </w:p>
    <w:p>
      <w:pPr>
        <w:pStyle w:val="Heading2"/>
      </w:pPr>
      <w:r>
        <w:t>Evidence Standard</w:t>
      </w:r>
    </w:p>
    <w:p>
      <w:pPr>
        <w:pStyle w:val="ListBullet"/>
        <w:spacing w:after="60"/>
      </w:pPr>
      <w:r>
        <w:t>Direct observation: values visible in the supplied file or VirusTotal record.</w:t>
      </w:r>
    </w:p>
    <w:p>
      <w:pPr>
        <w:pStyle w:val="ListBullet"/>
        <w:spacing w:after="60"/>
      </w:pPr>
      <w:r>
        <w:t>Corroborated intelligence: behavior documented by a reputable technical report linked to the threat cluster.</w:t>
      </w:r>
    </w:p>
    <w:p>
      <w:pPr>
        <w:pStyle w:val="ListBullet"/>
        <w:spacing w:after="60"/>
      </w:pPr>
      <w:r>
        <w:t>Inference: conclusions derived from timing or behavior and explicitly qualified as such.</w:t>
      </w:r>
    </w:p>
    <w:tbl>
      <w:tblPr>
        <w:tblW w:type="auto" w:w="0"/>
        <w:jc w:val="center"/>
        <w:tblLook w:firstColumn="1" w:firstRow="1" w:lastColumn="0" w:lastRow="0" w:noHBand="0" w:noVBand="1" w:val="04A0"/>
      </w:tblPr>
      <w:tblGrid>
        <w:gridCol w:w="10166"/>
      </w:tblGrid>
      <w:tr>
        <w:tc>
          <w:tcPr>
            <w:tcW w:type="dxa" w:w="10166"/>
            <w:shd w:fill="FDECEC"/>
            <w:tcMar>
              <w:top w:w="110" w:type="dxa"/>
              <w:start w:w="130" w:type="dxa"/>
              <w:bottom w:w="110" w:type="dxa"/>
              <w:end w:w="130" w:type="dxa"/>
            </w:tcMar>
          </w:tcPr>
          <w:p>
            <w:pPr>
              <w:spacing w:after="40"/>
            </w:pPr>
            <w:r>
              <w:rPr>
                <w:b/>
                <w:color w:val="A61B1B"/>
                <w:sz w:val="16"/>
              </w:rPr>
              <w:t>EVIDENCE CAUTION</w:t>
              <w:br/>
            </w:r>
            <w:r>
              <w:rPr>
                <w:sz w:val="18"/>
              </w:rPr>
              <w:t>A compilation timestamp is not an execution timestamp, and a VirusTotal first-submission timestamp is not the first infection date. Both are useful timeline clues only.</w:t>
            </w:r>
          </w:p>
        </w:tc>
      </w:tr>
    </w:tbl>
    <w:p>
      <w:r>
        <w:br w:type="page"/>
      </w:r>
    </w:p>
    <w:p>
      <w:pPr>
        <w:pStyle w:val="Heading1"/>
      </w:pPr>
      <w:r>
        <w:t>Evidence Triage</w:t>
      </w:r>
    </w:p>
    <w:p>
      <w:r>
        <w:t>The archive was inspected before opening its contents. This established that the lab provided an indicator for enrichment rather than a binary for local analysis.</w:t>
      </w:r>
    </w:p>
    <w:p>
      <w:pPr>
        <w:pStyle w:val="Code"/>
      </w:pPr>
      <w:r>
        <w:t>7z l 127-Yellow-RAT.zip -pcyberdefenders.org</w:t>
      </w:r>
    </w:p>
    <w:p>
      <w:pPr>
        <w:keepNext/>
        <w:jc w:val="center"/>
      </w:pPr>
      <w:r>
        <w:drawing>
          <wp:inline xmlns:a="http://schemas.openxmlformats.org/drawingml/2006/main" xmlns:pic="http://schemas.openxmlformats.org/drawingml/2006/picture">
            <wp:extent cx="6309360" cy="3176073"/>
            <wp:docPr id="1" name="Picture 1"/>
            <wp:cNvGraphicFramePr>
              <a:graphicFrameLocks noChangeAspect="1"/>
            </wp:cNvGraphicFramePr>
            <a:graphic>
              <a:graphicData uri="http://schemas.openxmlformats.org/drawingml/2006/picture">
                <pic:pic>
                  <pic:nvPicPr>
                    <pic:cNvPr id="0" name="01_archive_contents.png"/>
                    <pic:cNvPicPr/>
                  </pic:nvPicPr>
                  <pic:blipFill>
                    <a:blip r:embed="rId11"/>
                    <a:stretch>
                      <a:fillRect/>
                    </a:stretch>
                  </pic:blipFill>
                  <pic:spPr>
                    <a:xfrm>
                      <a:off x="0" y="0"/>
                      <a:ext cx="6309360" cy="3176073"/>
                    </a:xfrm>
                    <a:prstGeom prst="rect"/>
                  </pic:spPr>
                </pic:pic>
              </a:graphicData>
            </a:graphic>
          </wp:inline>
        </w:drawing>
      </w:r>
    </w:p>
    <w:p>
      <w:pPr>
        <w:pStyle w:val="CaptionSmall"/>
        <w:jc w:val="center"/>
      </w:pPr>
      <w:r>
        <w:t>Figure 1 — Archive listing showing the supplied hash.txt artifact.</w:t>
      </w:r>
    </w:p>
    <w:p>
      <w:r>
        <w:t>The text file contained one 64-character hexadecimal value, consistent with a SHA-256 digest. This became the stable pivot used across intelligence sources.</w:t>
      </w:r>
    </w:p>
    <w:p>
      <w:pPr>
        <w:pStyle w:val="Code"/>
      </w:pPr>
      <w:r>
        <w:t>30e527e45f50d2ba82865c5679a6fa998ee0a1755361ab01673950810d071c85</w:t>
      </w:r>
    </w:p>
    <w:p>
      <w:pPr>
        <w:keepNext/>
        <w:jc w:val="center"/>
      </w:pPr>
      <w:r>
        <w:drawing>
          <wp:inline xmlns:a="http://schemas.openxmlformats.org/drawingml/2006/main" xmlns:pic="http://schemas.openxmlformats.org/drawingml/2006/picture">
            <wp:extent cx="6309360" cy="3182656"/>
            <wp:docPr id="2" name="Picture 2"/>
            <wp:cNvGraphicFramePr>
              <a:graphicFrameLocks noChangeAspect="1"/>
            </wp:cNvGraphicFramePr>
            <a:graphic>
              <a:graphicData uri="http://schemas.openxmlformats.org/drawingml/2006/picture">
                <pic:pic>
                  <pic:nvPicPr>
                    <pic:cNvPr id="0" name="02_supplied_sha256.png"/>
                    <pic:cNvPicPr/>
                  </pic:nvPicPr>
                  <pic:blipFill>
                    <a:blip r:embed="rId12"/>
                    <a:stretch>
                      <a:fillRect/>
                    </a:stretch>
                  </pic:blipFill>
                  <pic:spPr>
                    <a:xfrm>
                      <a:off x="0" y="0"/>
                      <a:ext cx="6309360" cy="3182656"/>
                    </a:xfrm>
                    <a:prstGeom prst="rect"/>
                  </pic:spPr>
                </pic:pic>
              </a:graphicData>
            </a:graphic>
          </wp:inline>
        </w:drawing>
      </w:r>
    </w:p>
    <w:p>
      <w:pPr>
        <w:pStyle w:val="CaptionSmall"/>
        <w:jc w:val="center"/>
      </w:pPr>
      <w:r>
        <w:t>Figure 2 — The SHA-256 recovered from the supplied evidence.</w:t>
      </w:r>
    </w:p>
    <w:p>
      <w:pPr>
        <w:pStyle w:val="Heading1"/>
      </w:pPr>
      <w:r>
        <w:t>VirusTotal Enrichment</w:t>
      </w:r>
    </w:p>
    <w:p>
      <w:r>
        <w:t>VirusTotal associated the SHA-256 with a DLL and showed 56 of 71 engines detecting it as malicious at the time of analysis. This provides a strong prioritization signal, but the ratio alone does not prove attribution or establish one canonical family name.</w:t>
      </w:r>
    </w:p>
    <w:p>
      <w:pPr>
        <w:keepNext/>
        <w:jc w:val="center"/>
      </w:pPr>
      <w:r>
        <w:drawing>
          <wp:inline xmlns:a="http://schemas.openxmlformats.org/drawingml/2006/main" xmlns:pic="http://schemas.openxmlformats.org/drawingml/2006/picture">
            <wp:extent cx="6309360" cy="3204868"/>
            <wp:docPr id="3" name="Picture 3"/>
            <wp:cNvGraphicFramePr>
              <a:graphicFrameLocks noChangeAspect="1"/>
            </wp:cNvGraphicFramePr>
            <a:graphic>
              <a:graphicData uri="http://schemas.openxmlformats.org/drawingml/2006/picture">
                <pic:pic>
                  <pic:nvPicPr>
                    <pic:cNvPr id="0" name="03_virustotal_detection_overview.png"/>
                    <pic:cNvPicPr/>
                  </pic:nvPicPr>
                  <pic:blipFill>
                    <a:blip r:embed="rId13"/>
                    <a:stretch>
                      <a:fillRect/>
                    </a:stretch>
                  </pic:blipFill>
                  <pic:spPr>
                    <a:xfrm>
                      <a:off x="0" y="0"/>
                      <a:ext cx="6309360" cy="3204868"/>
                    </a:xfrm>
                    <a:prstGeom prst="rect"/>
                  </pic:spPr>
                </pic:pic>
              </a:graphicData>
            </a:graphic>
          </wp:inline>
        </w:drawing>
      </w:r>
    </w:p>
    <w:p>
      <w:pPr>
        <w:pStyle w:val="CaptionSmall"/>
        <w:jc w:val="center"/>
      </w:pPr>
      <w:r>
        <w:t>Figure 3 — VirusTotal detection overview for the supplied SHA-256.</w:t>
      </w:r>
    </w:p>
    <w:p>
      <w:pPr>
        <w:pStyle w:val="Heading2"/>
      </w:pPr>
      <w:r>
        <w:t>Vendor Naming Differences</w:t>
      </w:r>
    </w:p>
    <w:p>
      <w:r>
        <w:t>The engines used several labels for the same sample. Such differences can reflect vendor-specific taxonomies, overlapping clusters, generic detections, or different intelligence update schedules. The question named Red Canary, so the analysis pivoted to Red Canary’s own technical publication instead of selecting the most frequent vendor label.</w:t>
      </w:r>
    </w:p>
    <w:p>
      <w:pPr>
        <w:keepNext/>
        <w:jc w:val="center"/>
      </w:pPr>
      <w:r>
        <w:drawing>
          <wp:inline xmlns:a="http://schemas.openxmlformats.org/drawingml/2006/main" xmlns:pic="http://schemas.openxmlformats.org/drawingml/2006/picture">
            <wp:extent cx="6309360" cy="3201283"/>
            <wp:docPr id="4" name="Picture 4"/>
            <wp:cNvGraphicFramePr>
              <a:graphicFrameLocks noChangeAspect="1"/>
            </wp:cNvGraphicFramePr>
            <a:graphic>
              <a:graphicData uri="http://schemas.openxmlformats.org/drawingml/2006/picture">
                <pic:pic>
                  <pic:nvPicPr>
                    <pic:cNvPr id="0" name="04_inconsistent_vendor_labels.png"/>
                    <pic:cNvPicPr/>
                  </pic:nvPicPr>
                  <pic:blipFill>
                    <a:blip r:embed="rId14"/>
                    <a:stretch>
                      <a:fillRect/>
                    </a:stretch>
                  </pic:blipFill>
                  <pic:spPr>
                    <a:xfrm>
                      <a:off x="0" y="0"/>
                      <a:ext cx="6309360" cy="3201283"/>
                    </a:xfrm>
                    <a:prstGeom prst="rect"/>
                  </pic:spPr>
                </pic:pic>
              </a:graphicData>
            </a:graphic>
          </wp:inline>
        </w:drawing>
      </w:r>
    </w:p>
    <w:p>
      <w:pPr>
        <w:pStyle w:val="CaptionSmall"/>
        <w:jc w:val="center"/>
      </w:pPr>
      <w:r>
        <w:t>Figure 4 — Divergent vendor labels for the same sample.</w:t>
      </w:r>
    </w:p>
    <w:p>
      <w:r>
        <w:br w:type="page"/>
      </w:r>
    </w:p>
    <w:p>
      <w:pPr>
        <w:pStyle w:val="Heading1"/>
      </w:pPr>
      <w:r>
        <w:t>Threat Cluster Identification</w:t>
      </w:r>
    </w:p>
    <w:p>
      <w:r>
        <w:t>Red Canary identifies the activity cluster as Yellow Cockatoo. This term is an analytic cluster label. It should not be presented as a verified real-world identity, and it may overlap with activity that other vendors call Jupyter or SolarMarker.</w:t>
      </w:r>
    </w:p>
    <w:p>
      <w:pPr>
        <w:keepNext/>
        <w:jc w:val="center"/>
      </w:pPr>
      <w:r>
        <w:drawing>
          <wp:inline xmlns:a="http://schemas.openxmlformats.org/drawingml/2006/main" xmlns:pic="http://schemas.openxmlformats.org/drawingml/2006/picture">
            <wp:extent cx="6080760" cy="3961357"/>
            <wp:docPr id="5" name="Picture 5"/>
            <wp:cNvGraphicFramePr>
              <a:graphicFrameLocks noChangeAspect="1"/>
            </wp:cNvGraphicFramePr>
            <a:graphic>
              <a:graphicData uri="http://schemas.openxmlformats.org/drawingml/2006/picture">
                <pic:pic>
                  <pic:nvPicPr>
                    <pic:cNvPr id="0" name="05_red_canary_threat_cluster.png"/>
                    <pic:cNvPicPr/>
                  </pic:nvPicPr>
                  <pic:blipFill>
                    <a:blip r:embed="rId15"/>
                    <a:stretch>
                      <a:fillRect/>
                    </a:stretch>
                  </pic:blipFill>
                  <pic:spPr>
                    <a:xfrm>
                      <a:off x="0" y="0"/>
                      <a:ext cx="6080760" cy="3961357"/>
                    </a:xfrm>
                    <a:prstGeom prst="rect"/>
                  </pic:spPr>
                </pic:pic>
              </a:graphicData>
            </a:graphic>
          </wp:inline>
        </w:drawing>
      </w:r>
    </w:p>
    <w:p>
      <w:pPr>
        <w:pStyle w:val="CaptionSmall"/>
        <w:jc w:val="center"/>
      </w:pPr>
      <w:r>
        <w:t>Figure 5 — Red Canary technical analysis identifying Yellow Cockatoo.</w:t>
      </w:r>
    </w:p>
    <w:tbl>
      <w:tblPr>
        <w:tblW w:type="auto" w:w="0"/>
        <w:jc w:val="center"/>
        <w:tblLook w:firstColumn="1" w:firstRow="1" w:lastColumn="0" w:lastRow="0" w:noHBand="0" w:noVBand="1" w:val="04A0"/>
      </w:tblPr>
      <w:tblGrid>
        <w:gridCol w:w="10166"/>
      </w:tblGrid>
      <w:tr>
        <w:tc>
          <w:tcPr>
            <w:tcW w:type="dxa" w:w="10166"/>
            <w:shd w:fill="EAF3F8"/>
            <w:tcMar>
              <w:top w:w="110" w:type="dxa"/>
              <w:start w:w="130" w:type="dxa"/>
              <w:bottom w:w="110" w:type="dxa"/>
              <w:end w:w="130" w:type="dxa"/>
            </w:tcMar>
          </w:tcPr>
          <w:p>
            <w:pPr>
              <w:spacing w:after="40"/>
            </w:pPr>
            <w:r>
              <w:rPr>
                <w:b/>
                <w:color w:val="16324F"/>
                <w:sz w:val="16"/>
              </w:rPr>
              <w:t>ATTRIBUTION NOTE</w:t>
              <w:br/>
            </w:r>
            <w:r>
              <w:rPr>
                <w:sz w:val="18"/>
              </w:rPr>
              <w:t>Threat-intelligence names describe how an organization groups related activity. They are not automatically interchangeable, and they do not by themselves identify the human operator.</w:t>
            </w:r>
          </w:p>
        </w:tc>
      </w:tr>
    </w:tbl>
    <w:p>
      <w:pPr>
        <w:pStyle w:val="Heading2"/>
      </w:pPr>
      <w:r>
        <w:t>Why the Source Matters</w:t>
      </w:r>
    </w:p>
    <w:p>
      <w:r>
        <w:t>When a question asks for the name used by a particular organization, the authoritative evidence is that organization’s technical analysis. VirusTotal remains valuable for cross-vendor context, but it aggregates labels rather than deciding which naming convention is correct.</w:t>
      </w:r>
    </w:p>
    <w:p>
      <w:r>
        <w:br w:type="page"/>
      </w:r>
    </w:p>
    <w:p>
      <w:pPr>
        <w:pStyle w:val="Heading1"/>
      </w:pPr>
      <w:r>
        <w:t>File and Timeline Metadata</w:t>
      </w:r>
    </w:p>
    <w:p>
      <w:pPr>
        <w:pStyle w:val="Heading2"/>
      </w:pPr>
      <w:r>
        <w:t>Associated Filename</w:t>
      </w:r>
    </w:p>
    <w:p>
      <w:r>
        <w:t>VirusTotal listed the filename 111bc461-1ca8-43c6-97ed-911e0e69fdf8.dll. It is useful for threat hunting, but it should be correlated with the hash and behavior because attackers can rename files.</w:t>
      </w:r>
    </w:p>
    <w:p>
      <w:pPr>
        <w:keepNext/>
        <w:jc w:val="center"/>
      </w:pPr>
      <w:r>
        <w:drawing>
          <wp:inline xmlns:a="http://schemas.openxmlformats.org/drawingml/2006/main" xmlns:pic="http://schemas.openxmlformats.org/drawingml/2006/picture">
            <wp:extent cx="6309360" cy="2889987"/>
            <wp:docPr id="6" name="Picture 6"/>
            <wp:cNvGraphicFramePr>
              <a:graphicFrameLocks noChangeAspect="1"/>
            </wp:cNvGraphicFramePr>
            <a:graphic>
              <a:graphicData uri="http://schemas.openxmlformats.org/drawingml/2006/picture">
                <pic:pic>
                  <pic:nvPicPr>
                    <pic:cNvPr id="0" name="06_virustotal_associated_filename.png"/>
                    <pic:cNvPicPr/>
                  </pic:nvPicPr>
                  <pic:blipFill>
                    <a:blip r:embed="rId16"/>
                    <a:stretch>
                      <a:fillRect/>
                    </a:stretch>
                  </pic:blipFill>
                  <pic:spPr>
                    <a:xfrm>
                      <a:off x="0" y="0"/>
                      <a:ext cx="6309360" cy="2889987"/>
                    </a:xfrm>
                    <a:prstGeom prst="rect"/>
                  </pic:spPr>
                </pic:pic>
              </a:graphicData>
            </a:graphic>
          </wp:inline>
        </w:drawing>
      </w:r>
    </w:p>
    <w:p>
      <w:pPr>
        <w:pStyle w:val="CaptionSmall"/>
        <w:jc w:val="center"/>
      </w:pPr>
      <w:r>
        <w:t>Figure 6 — VirusTotal properties showing the associated filename and hash.</w:t>
      </w:r>
    </w:p>
    <w:p>
      <w:pPr>
        <w:pStyle w:val="Heading2"/>
      </w:pPr>
      <w:r>
        <w:t>Compilation Timestamp</w:t>
      </w:r>
    </w:p>
    <w:p>
      <w:r>
        <w:t>The PE header recorded 2020-09-24 18:26:47 UTC as the compilation timestamp. This may indicate when the binary was built, but PE timestamps are attacker-controlled metadata and can be altered.</w:t>
      </w:r>
    </w:p>
    <w:p>
      <w:pPr>
        <w:keepNext/>
        <w:jc w:val="center"/>
      </w:pPr>
      <w:r>
        <w:drawing>
          <wp:inline xmlns:a="http://schemas.openxmlformats.org/drawingml/2006/main" xmlns:pic="http://schemas.openxmlformats.org/drawingml/2006/picture">
            <wp:extent cx="5806440" cy="3276216"/>
            <wp:docPr id="7" name="Picture 7"/>
            <wp:cNvGraphicFramePr>
              <a:graphicFrameLocks noChangeAspect="1"/>
            </wp:cNvGraphicFramePr>
            <a:graphic>
              <a:graphicData uri="http://schemas.openxmlformats.org/drawingml/2006/picture">
                <pic:pic>
                  <pic:nvPicPr>
                    <pic:cNvPr id="0" name="07_virustotal_compilation_timestamp.png"/>
                    <pic:cNvPicPr/>
                  </pic:nvPicPr>
                  <pic:blipFill>
                    <a:blip r:embed="rId17"/>
                    <a:stretch>
                      <a:fillRect/>
                    </a:stretch>
                  </pic:blipFill>
                  <pic:spPr>
                    <a:xfrm>
                      <a:off x="0" y="0"/>
                      <a:ext cx="5806440" cy="3276216"/>
                    </a:xfrm>
                    <a:prstGeom prst="rect"/>
                  </pic:spPr>
                </pic:pic>
              </a:graphicData>
            </a:graphic>
          </wp:inline>
        </w:drawing>
      </w:r>
    </w:p>
    <w:p>
      <w:pPr>
        <w:pStyle w:val="CaptionSmall"/>
        <w:jc w:val="center"/>
      </w:pPr>
      <w:r>
        <w:t>Figure 7 — PE compilation timestamp displayed by VirusTotal.</w:t>
      </w:r>
    </w:p>
    <w:p>
      <w:r>
        <w:br w:type="page"/>
      </w:r>
    </w:p>
    <w:p>
      <w:pPr>
        <w:pStyle w:val="Heading1"/>
      </w:pPr>
      <w:r>
        <w:t>VirusTotal Submission History</w:t>
      </w:r>
    </w:p>
    <w:p>
      <w:r>
        <w:t>VirusTotal recorded the first submission at 2020-10-15 02:47:37 UTC. The approximately 20-day gap from the compilation timestamp can guide timeline questions, but it does not establish when the sample first infected a system or first appeared in the wild.</w:t>
      </w:r>
    </w:p>
    <w:p>
      <w:pPr>
        <w:keepNext/>
        <w:jc w:val="center"/>
      </w:pPr>
      <w:r>
        <w:drawing>
          <wp:inline xmlns:a="http://schemas.openxmlformats.org/drawingml/2006/main" xmlns:pic="http://schemas.openxmlformats.org/drawingml/2006/picture">
            <wp:extent cx="5806440" cy="3660749"/>
            <wp:docPr id="8" name="Picture 8"/>
            <wp:cNvGraphicFramePr>
              <a:graphicFrameLocks noChangeAspect="1"/>
            </wp:cNvGraphicFramePr>
            <a:graphic>
              <a:graphicData uri="http://schemas.openxmlformats.org/drawingml/2006/picture">
                <pic:pic>
                  <pic:nvPicPr>
                    <pic:cNvPr id="0" name="08_virustotal_first_submission.png"/>
                    <pic:cNvPicPr/>
                  </pic:nvPicPr>
                  <pic:blipFill>
                    <a:blip r:embed="rId18"/>
                    <a:stretch>
                      <a:fillRect/>
                    </a:stretch>
                  </pic:blipFill>
                  <pic:spPr>
                    <a:xfrm>
                      <a:off x="0" y="0"/>
                      <a:ext cx="5806440" cy="3660749"/>
                    </a:xfrm>
                    <a:prstGeom prst="rect"/>
                  </pic:spPr>
                </pic:pic>
              </a:graphicData>
            </a:graphic>
          </wp:inline>
        </w:drawing>
      </w:r>
    </w:p>
    <w:p>
      <w:pPr>
        <w:pStyle w:val="CaptionSmall"/>
        <w:jc w:val="center"/>
      </w:pPr>
      <w:r>
        <w:t>Figure 8 — VirusTotal history showing the first-submission timestamp.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6324F"/>
            <w:tcMar>
              <w:top w:w="80" w:type="dxa"/>
              <w:start w:w="100" w:type="dxa"/>
              <w:bottom w:w="80" w:type="dxa"/>
              <w:end w:w="100" w:type="dxa"/>
            </w:tcMar>
          </w:tcPr>
          <w:p>
            <w:pPr>
              <w:spacing w:after="0"/>
            </w:pPr>
            <w:r>
              <w:rPr>
                <w:b/>
                <w:color w:val="FFFFFF"/>
                <w:sz w:val="16"/>
              </w:rPr>
              <w:t>Timestamp</w:t>
            </w:r>
          </w:p>
        </w:tc>
        <w:tc>
          <w:tcPr>
            <w:tcW w:type="dxa" w:w="3168"/>
            <w:shd w:fill="16324F"/>
            <w:tcMar>
              <w:top w:w="80" w:type="dxa"/>
              <w:start w:w="100" w:type="dxa"/>
              <w:bottom w:w="80" w:type="dxa"/>
              <w:end w:w="100" w:type="dxa"/>
            </w:tcMar>
          </w:tcPr>
          <w:p>
            <w:pPr>
              <w:spacing w:after="0"/>
            </w:pPr>
            <w:r>
              <w:rPr>
                <w:b/>
                <w:color w:val="FFFFFF"/>
                <w:sz w:val="16"/>
              </w:rPr>
              <w:t>Meaning</w:t>
            </w:r>
          </w:p>
        </w:tc>
        <w:tc>
          <w:tcPr>
            <w:tcW w:type="dxa" w:w="3600"/>
            <w:shd w:fill="16324F"/>
            <w:tcMar>
              <w:top w:w="80" w:type="dxa"/>
              <w:start w:w="100" w:type="dxa"/>
              <w:bottom w:w="80" w:type="dxa"/>
              <w:end w:w="100" w:type="dxa"/>
            </w:tcMar>
          </w:tcPr>
          <w:p>
            <w:pPr>
              <w:spacing w:after="0"/>
            </w:pPr>
            <w:r>
              <w:rPr>
                <w:b/>
                <w:color w:val="FFFFFF"/>
                <w:sz w:val="16"/>
              </w:rPr>
              <w:t>What it does not prove</w:t>
            </w:r>
          </w:p>
        </w:tc>
      </w:tr>
      <w:tr>
        <w:tc>
          <w:tcPr>
            <w:tcW w:type="dxa" w:w="2880"/>
            <w:tcMar>
              <w:top w:w="80" w:type="dxa"/>
              <w:start w:w="100" w:type="dxa"/>
              <w:bottom w:w="80" w:type="dxa"/>
              <w:end w:w="100" w:type="dxa"/>
            </w:tcMar>
            <w:vAlign w:val="center"/>
          </w:tcPr>
          <w:p>
            <w:pPr>
              <w:spacing w:after="0"/>
            </w:pPr>
            <w:r>
              <w:rPr>
                <w:sz w:val="16"/>
              </w:rPr>
              <w:t>2020-09-24 18:26:47 UTC</w:t>
            </w:r>
          </w:p>
        </w:tc>
        <w:tc>
          <w:tcPr>
            <w:tcW w:type="dxa" w:w="3168"/>
            <w:tcMar>
              <w:top w:w="80" w:type="dxa"/>
              <w:start w:w="100" w:type="dxa"/>
              <w:bottom w:w="80" w:type="dxa"/>
              <w:end w:w="100" w:type="dxa"/>
            </w:tcMar>
            <w:vAlign w:val="center"/>
          </w:tcPr>
          <w:p>
            <w:pPr>
              <w:spacing w:after="0"/>
            </w:pPr>
            <w:r>
              <w:rPr>
                <w:sz w:val="16"/>
              </w:rPr>
              <w:t>Timestamp stored in the PE header</w:t>
            </w:r>
          </w:p>
        </w:tc>
        <w:tc>
          <w:tcPr>
            <w:tcW w:type="dxa" w:w="3600"/>
            <w:tcMar>
              <w:top w:w="80" w:type="dxa"/>
              <w:start w:w="100" w:type="dxa"/>
              <w:bottom w:w="80" w:type="dxa"/>
              <w:end w:w="100" w:type="dxa"/>
            </w:tcMar>
            <w:vAlign w:val="center"/>
          </w:tcPr>
          <w:p>
            <w:pPr>
              <w:spacing w:after="0"/>
            </w:pPr>
            <w:r>
              <w:rPr>
                <w:sz w:val="16"/>
              </w:rPr>
              <w:t>First execution or first compromise</w:t>
            </w:r>
          </w:p>
        </w:tc>
      </w:tr>
      <w:tr>
        <w:tc>
          <w:tcPr>
            <w:tcW w:type="dxa" w:w="2880"/>
            <w:tcMar>
              <w:top w:w="80" w:type="dxa"/>
              <w:start w:w="100" w:type="dxa"/>
              <w:bottom w:w="80" w:type="dxa"/>
              <w:end w:w="100" w:type="dxa"/>
            </w:tcMar>
            <w:vAlign w:val="center"/>
            <w:shd w:fill="F2F4F6"/>
          </w:tcPr>
          <w:p>
            <w:pPr>
              <w:spacing w:after="0"/>
            </w:pPr>
            <w:r>
              <w:rPr>
                <w:sz w:val="16"/>
              </w:rPr>
              <w:t>2020-10-15 02:47:37 UTC</w:t>
            </w:r>
          </w:p>
        </w:tc>
        <w:tc>
          <w:tcPr>
            <w:tcW w:type="dxa" w:w="3168"/>
            <w:tcMar>
              <w:top w:w="80" w:type="dxa"/>
              <w:start w:w="100" w:type="dxa"/>
              <w:bottom w:w="80" w:type="dxa"/>
              <w:end w:w="100" w:type="dxa"/>
            </w:tcMar>
            <w:vAlign w:val="center"/>
            <w:shd w:fill="F2F4F6"/>
          </w:tcPr>
          <w:p>
            <w:pPr>
              <w:spacing w:after="0"/>
            </w:pPr>
            <w:r>
              <w:rPr>
                <w:sz w:val="16"/>
              </w:rPr>
              <w:t>First recorded upload to VirusTotal</w:t>
            </w:r>
          </w:p>
        </w:tc>
        <w:tc>
          <w:tcPr>
            <w:tcW w:type="dxa" w:w="3600"/>
            <w:tcMar>
              <w:top w:w="80" w:type="dxa"/>
              <w:start w:w="100" w:type="dxa"/>
              <w:bottom w:w="80" w:type="dxa"/>
              <w:end w:w="100" w:type="dxa"/>
            </w:tcMar>
            <w:vAlign w:val="center"/>
            <w:shd w:fill="F2F4F6"/>
          </w:tcPr>
          <w:p>
            <w:pPr>
              <w:spacing w:after="0"/>
            </w:pPr>
            <w:r>
              <w:rPr>
                <w:sz w:val="16"/>
              </w:rPr>
              <w:t>First appearance in the wild</w:t>
            </w:r>
          </w:p>
        </w:tc>
      </w:tr>
    </w:tbl>
    <w:p>
      <w:pPr>
        <w:spacing w:after="0"/>
      </w:pPr>
    </w:p>
    <w:p>
      <w:r>
        <w:br w:type="page"/>
      </w:r>
    </w:p>
    <w:p>
      <w:pPr>
        <w:pStyle w:val="Heading1"/>
      </w:pPr>
      <w:r>
        <w:t>Host Artifact Analysis</w:t>
      </w:r>
    </w:p>
    <w:p>
      <w:r>
        <w:t>The Red Canary analysis documents a file created in the roaming AppData directory: %USERPROFILE%\AppData\Roaming\solarmarker.dat. The malware uses this file to store a randomly generated identifier for the infected host.</w:t>
      </w:r>
    </w:p>
    <w:p>
      <w:pPr>
        <w:keepNext/>
        <w:jc w:val="center"/>
      </w:pPr>
      <w:r>
        <w:drawing>
          <wp:inline xmlns:a="http://schemas.openxmlformats.org/drawingml/2006/main" xmlns:pic="http://schemas.openxmlformats.org/drawingml/2006/picture">
            <wp:extent cx="6217920" cy="3325788"/>
            <wp:docPr id="9" name="Picture 9"/>
            <wp:cNvGraphicFramePr>
              <a:graphicFrameLocks noChangeAspect="1"/>
            </wp:cNvGraphicFramePr>
            <a:graphic>
              <a:graphicData uri="http://schemas.openxmlformats.org/drawingml/2006/picture">
                <pic:pic>
                  <pic:nvPicPr>
                    <pic:cNvPr id="0" name="09_red_canary_appdata_artifact.png"/>
                    <pic:cNvPicPr/>
                  </pic:nvPicPr>
                  <pic:blipFill>
                    <a:blip r:embed="rId19"/>
                    <a:stretch>
                      <a:fillRect/>
                    </a:stretch>
                  </pic:blipFill>
                  <pic:spPr>
                    <a:xfrm>
                      <a:off x="0" y="0"/>
                      <a:ext cx="6217920" cy="3325788"/>
                    </a:xfrm>
                    <a:prstGeom prst="rect"/>
                  </pic:spPr>
                </pic:pic>
              </a:graphicData>
            </a:graphic>
          </wp:inline>
        </w:drawing>
      </w:r>
    </w:p>
    <w:p>
      <w:pPr>
        <w:pStyle w:val="CaptionSmall"/>
        <w:jc w:val="center"/>
      </w:pPr>
      <w:r>
        <w:t>Figure 9 — Technical analysis describing solarmarker.dat and its purpose.</w:t>
      </w:r>
    </w:p>
    <w:p>
      <w:pPr>
        <w:pStyle w:val="Heading2"/>
      </w:pPr>
      <w:r>
        <w:t>Defensive Value</w:t>
      </w:r>
    </w:p>
    <w:p>
      <w:pPr>
        <w:pStyle w:val="ListBullet"/>
        <w:spacing w:after="60"/>
      </w:pPr>
      <w:r>
        <w:t>The path provides a concrete endpoint hunting pivot beyond the original DLL hash.</w:t>
      </w:r>
    </w:p>
    <w:p>
      <w:pPr>
        <w:pStyle w:val="ListBullet"/>
        <w:spacing w:after="60"/>
      </w:pPr>
      <w:r>
        <w:t>File creation telemetry can identify the responsible process and nearby activity.</w:t>
      </w:r>
    </w:p>
    <w:p>
      <w:pPr>
        <w:pStyle w:val="ListBullet"/>
        <w:spacing w:after="60"/>
      </w:pPr>
      <w:r>
        <w:t>The artifact should be correlated with persistence, PowerShell, process injection, and network events before declaring an incident.</w:t>
      </w:r>
    </w:p>
    <w:p>
      <w:pPr>
        <w:pStyle w:val="Heading2"/>
      </w:pPr>
      <w:r>
        <w:t>Suggested Hunt</w:t>
      </w:r>
    </w:p>
    <w:p>
      <w:r>
        <w:t>Search file inventory and EDR events for filenames equal to solarmarker.dat under user Roaming AppData directories. For each match, capture the file hash, creation time, parent process, user context, and related outbound connections.</w:t>
      </w:r>
    </w:p>
    <w:p>
      <w:r>
        <w:br w:type="page"/>
      </w:r>
    </w:p>
    <w:p>
      <w:pPr>
        <w:pStyle w:val="Heading1"/>
      </w:pPr>
      <w:r>
        <w:t>Command and Control Analysis</w:t>
      </w:r>
    </w:p>
    <w:p>
      <w:r>
        <w:t>The technical report links the sample to the historical C2 domain gogohid[.]com. It describes /gate as a path used for sending host information and retrieving commands and /success as a path used to report command execution status.</w:t>
      </w:r>
    </w:p>
    <w:p>
      <w:pPr>
        <w:keepNext/>
        <w:jc w:val="center"/>
      </w:pPr>
      <w:r>
        <w:drawing>
          <wp:inline xmlns:a="http://schemas.openxmlformats.org/drawingml/2006/main" xmlns:pic="http://schemas.openxmlformats.org/drawingml/2006/picture">
            <wp:extent cx="6217920" cy="3312319"/>
            <wp:docPr id="10" name="Picture 10"/>
            <wp:cNvGraphicFramePr>
              <a:graphicFrameLocks noChangeAspect="1"/>
            </wp:cNvGraphicFramePr>
            <a:graphic>
              <a:graphicData uri="http://schemas.openxmlformats.org/drawingml/2006/picture">
                <pic:pic>
                  <pic:nvPicPr>
                    <pic:cNvPr id="0" name="10_red_canary_c2_communication.png"/>
                    <pic:cNvPicPr/>
                  </pic:nvPicPr>
                  <pic:blipFill>
                    <a:blip r:embed="rId20"/>
                    <a:stretch>
                      <a:fillRect/>
                    </a:stretch>
                  </pic:blipFill>
                  <pic:spPr>
                    <a:xfrm>
                      <a:off x="0" y="0"/>
                      <a:ext cx="6217920" cy="3312319"/>
                    </a:xfrm>
                    <a:prstGeom prst="rect"/>
                  </pic:spPr>
                </pic:pic>
              </a:graphicData>
            </a:graphic>
          </wp:inline>
        </w:drawing>
      </w:r>
    </w:p>
    <w:p>
      <w:pPr>
        <w:pStyle w:val="CaptionSmall"/>
        <w:jc w:val="center"/>
      </w:pPr>
      <w:r>
        <w:t>Figure 10 — Technical analysis describing the historical C2 workflow.</w:t>
      </w:r>
    </w:p>
    <w:p>
      <w:pPr>
        <w:pStyle w:val="Heading2"/>
      </w:pPr>
      <w:r>
        <w:t>Network Hunting Guidance</w:t>
      </w:r>
    </w:p>
    <w:p>
      <w:pPr>
        <w:pStyle w:val="ListBullet"/>
        <w:spacing w:after="60"/>
      </w:pPr>
      <w:r>
        <w:t>Search DNS records for resolutions of the defanged domain.</w:t>
      </w:r>
    </w:p>
    <w:p>
      <w:pPr>
        <w:pStyle w:val="ListBullet"/>
        <w:spacing w:after="60"/>
      </w:pPr>
      <w:r>
        <w:t>Search proxy and firewall logs for connections to resolved IP addresses around the suspected period.</w:t>
      </w:r>
    </w:p>
    <w:p>
      <w:pPr>
        <w:pStyle w:val="ListBullet"/>
        <w:spacing w:after="60"/>
      </w:pPr>
      <w:r>
        <w:t>Review HTTP or TLS metadata for the documented URI paths where visibility permits.</w:t>
      </w:r>
    </w:p>
    <w:p>
      <w:pPr>
        <w:pStyle w:val="ListBullet"/>
        <w:spacing w:after="60"/>
      </w:pPr>
      <w:r>
        <w:t>Correlate network hits with the SHA-256, DLL filename, solarmarker.dat, and suspicious process trees.</w:t>
      </w:r>
    </w:p>
    <w:tbl>
      <w:tblPr>
        <w:tblW w:type="auto" w:w="0"/>
        <w:jc w:val="center"/>
        <w:tblLook w:firstColumn="1" w:firstRow="1" w:lastColumn="0" w:lastRow="0" w:noHBand="0" w:noVBand="1" w:val="04A0"/>
      </w:tblPr>
      <w:tblGrid>
        <w:gridCol w:w="10166"/>
      </w:tblGrid>
      <w:tr>
        <w:tc>
          <w:tcPr>
            <w:tcW w:type="dxa" w:w="10166"/>
            <w:shd w:fill="FDECEC"/>
            <w:tcMar>
              <w:top w:w="110" w:type="dxa"/>
              <w:start w:w="130" w:type="dxa"/>
              <w:bottom w:w="110" w:type="dxa"/>
              <w:end w:w="130" w:type="dxa"/>
            </w:tcMar>
          </w:tcPr>
          <w:p>
            <w:pPr>
              <w:spacing w:after="40"/>
            </w:pPr>
            <w:r>
              <w:rPr>
                <w:b/>
                <w:color w:val="A61B1B"/>
                <w:sz w:val="16"/>
              </w:rPr>
              <w:t>OPERATIONAL CAUTION</w:t>
              <w:br/>
            </w:r>
            <w:r>
              <w:rPr>
                <w:sz w:val="18"/>
              </w:rPr>
              <w:t>Historical infrastructure can expire, change ownership, or be repurposed. Validate current reputation and business context before applying permanent controls.</w:t>
            </w:r>
          </w:p>
        </w:tc>
      </w:tr>
    </w:tbl>
    <w:p>
      <w:r>
        <w:br w:type="page"/>
      </w:r>
    </w:p>
    <w:p>
      <w:pPr>
        <w:pStyle w:val="Heading1"/>
      </w:pPr>
      <w:r>
        <w:t>Indicators of Compromise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16324F"/>
            <w:tcMar>
              <w:top w:w="80" w:type="dxa"/>
              <w:start w:w="100" w:type="dxa"/>
              <w:bottom w:w="80" w:type="dxa"/>
              <w:end w:w="100" w:type="dxa"/>
            </w:tcMar>
          </w:tcPr>
          <w:p>
            <w:pPr>
              <w:spacing w:after="0"/>
            </w:pPr>
            <w:r>
              <w:rPr>
                <w:b/>
                <w:color w:val="FFFFFF"/>
                <w:sz w:val="16"/>
              </w:rPr>
              <w:t>Type</w:t>
            </w:r>
          </w:p>
        </w:tc>
        <w:tc>
          <w:tcPr>
            <w:tcW w:type="dxa" w:w="4320"/>
            <w:shd w:fill="16324F"/>
            <w:tcMar>
              <w:top w:w="80" w:type="dxa"/>
              <w:start w:w="100" w:type="dxa"/>
              <w:bottom w:w="80" w:type="dxa"/>
              <w:end w:w="100" w:type="dxa"/>
            </w:tcMar>
          </w:tcPr>
          <w:p>
            <w:pPr>
              <w:spacing w:after="0"/>
            </w:pPr>
            <w:r>
              <w:rPr>
                <w:b/>
                <w:color w:val="FFFFFF"/>
                <w:sz w:val="16"/>
              </w:rPr>
              <w:t>Indicator</w:t>
            </w:r>
          </w:p>
        </w:tc>
        <w:tc>
          <w:tcPr>
            <w:tcW w:type="dxa" w:w="1152"/>
            <w:shd w:fill="16324F"/>
            <w:tcMar>
              <w:top w:w="80" w:type="dxa"/>
              <w:start w:w="100" w:type="dxa"/>
              <w:bottom w:w="80" w:type="dxa"/>
              <w:end w:w="100" w:type="dxa"/>
            </w:tcMar>
          </w:tcPr>
          <w:p>
            <w:pPr>
              <w:spacing w:after="0"/>
            </w:pPr>
            <w:r>
              <w:rPr>
                <w:b/>
                <w:color w:val="FFFFFF"/>
                <w:sz w:val="16"/>
              </w:rPr>
              <w:t>Confidence</w:t>
            </w:r>
          </w:p>
        </w:tc>
        <w:tc>
          <w:tcPr>
            <w:tcW w:type="dxa" w:w="3024"/>
            <w:shd w:fill="16324F"/>
            <w:tcMar>
              <w:top w:w="80" w:type="dxa"/>
              <w:start w:w="100" w:type="dxa"/>
              <w:bottom w:w="80" w:type="dxa"/>
              <w:end w:w="100" w:type="dxa"/>
            </w:tcMar>
          </w:tcPr>
          <w:p>
            <w:pPr>
              <w:spacing w:after="0"/>
            </w:pPr>
            <w:r>
              <w:rPr>
                <w:b/>
                <w:color w:val="FFFFFF"/>
                <w:sz w:val="16"/>
              </w:rPr>
              <w:t>Analyst note</w:t>
            </w:r>
          </w:p>
        </w:tc>
      </w:tr>
      <w:tr>
        <w:tc>
          <w:tcPr>
            <w:tcW w:type="dxa" w:w="1152"/>
            <w:tcMar>
              <w:top w:w="80" w:type="dxa"/>
              <w:start w:w="100" w:type="dxa"/>
              <w:bottom w:w="80" w:type="dxa"/>
              <w:end w:w="100" w:type="dxa"/>
            </w:tcMar>
            <w:vAlign w:val="center"/>
          </w:tcPr>
          <w:p>
            <w:pPr>
              <w:spacing w:after="0"/>
            </w:pPr>
            <w:r>
              <w:rPr>
                <w:sz w:val="16"/>
              </w:rPr>
              <w:t>SHA-256</w:t>
            </w:r>
          </w:p>
        </w:tc>
        <w:tc>
          <w:tcPr>
            <w:tcW w:type="dxa" w:w="4320"/>
            <w:tcMar>
              <w:top w:w="80" w:type="dxa"/>
              <w:start w:w="100" w:type="dxa"/>
              <w:bottom w:w="80" w:type="dxa"/>
              <w:end w:w="100" w:type="dxa"/>
            </w:tcMar>
            <w:vAlign w:val="center"/>
          </w:tcPr>
          <w:p>
            <w:pPr>
              <w:spacing w:after="0"/>
            </w:pPr>
            <w:r>
              <w:rPr>
                <w:sz w:val="16"/>
              </w:rPr>
              <w:t>30e527e45f50d2ba82865c5679a6fa998ee0a1755361ab01673950810d071c85</w:t>
            </w:r>
          </w:p>
        </w:tc>
        <w:tc>
          <w:tcPr>
            <w:tcW w:type="dxa" w:w="1152"/>
            <w:tcMar>
              <w:top w:w="80" w:type="dxa"/>
              <w:start w:w="100" w:type="dxa"/>
              <w:bottom w:w="80" w:type="dxa"/>
              <w:end w:w="100" w:type="dxa"/>
            </w:tcMar>
            <w:vAlign w:val="center"/>
          </w:tcPr>
          <w:p>
            <w:pPr>
              <w:spacing w:after="0"/>
            </w:pPr>
            <w:r>
              <w:rPr>
                <w:sz w:val="16"/>
              </w:rPr>
              <w:t>High</w:t>
            </w:r>
          </w:p>
        </w:tc>
        <w:tc>
          <w:tcPr>
            <w:tcW w:type="dxa" w:w="3024"/>
            <w:tcMar>
              <w:top w:w="80" w:type="dxa"/>
              <w:start w:w="100" w:type="dxa"/>
              <w:bottom w:w="80" w:type="dxa"/>
              <w:end w:w="100" w:type="dxa"/>
            </w:tcMar>
            <w:vAlign w:val="center"/>
          </w:tcPr>
          <w:p>
            <w:pPr>
              <w:spacing w:after="0"/>
            </w:pPr>
            <w:r>
              <w:rPr>
                <w:sz w:val="16"/>
              </w:rPr>
              <w:t>Stable content identifier</w:t>
            </w:r>
          </w:p>
        </w:tc>
      </w:tr>
      <w:tr>
        <w:tc>
          <w:tcPr>
            <w:tcW w:type="dxa" w:w="1152"/>
            <w:tcMar>
              <w:top w:w="80" w:type="dxa"/>
              <w:start w:w="100" w:type="dxa"/>
              <w:bottom w:w="80" w:type="dxa"/>
              <w:end w:w="100" w:type="dxa"/>
            </w:tcMar>
            <w:vAlign w:val="center"/>
            <w:shd w:fill="F2F4F6"/>
          </w:tcPr>
          <w:p>
            <w:pPr>
              <w:spacing w:after="0"/>
            </w:pPr>
            <w:r>
              <w:rPr>
                <w:sz w:val="16"/>
              </w:rPr>
              <w:t>Filename</w:t>
            </w:r>
          </w:p>
        </w:tc>
        <w:tc>
          <w:tcPr>
            <w:tcW w:type="dxa" w:w="4320"/>
            <w:tcMar>
              <w:top w:w="80" w:type="dxa"/>
              <w:start w:w="100" w:type="dxa"/>
              <w:bottom w:w="80" w:type="dxa"/>
              <w:end w:w="100" w:type="dxa"/>
            </w:tcMar>
            <w:vAlign w:val="center"/>
            <w:shd w:fill="F2F4F6"/>
          </w:tcPr>
          <w:p>
            <w:pPr>
              <w:spacing w:after="0"/>
            </w:pPr>
            <w:r>
              <w:rPr>
                <w:sz w:val="16"/>
              </w:rPr>
              <w:t>111bc461-1ca8-43c6-97ed-911e0e69fdf8.dll</w:t>
            </w:r>
          </w:p>
        </w:tc>
        <w:tc>
          <w:tcPr>
            <w:tcW w:type="dxa" w:w="1152"/>
            <w:tcMar>
              <w:top w:w="80" w:type="dxa"/>
              <w:start w:w="100" w:type="dxa"/>
              <w:bottom w:w="80" w:type="dxa"/>
              <w:end w:w="100" w:type="dxa"/>
            </w:tcMar>
            <w:vAlign w:val="center"/>
            <w:shd w:fill="F2F4F6"/>
          </w:tcPr>
          <w:p>
            <w:pPr>
              <w:spacing w:after="0"/>
            </w:pPr>
            <w:r>
              <w:rPr>
                <w:sz w:val="16"/>
              </w:rPr>
              <w:t>Medium</w:t>
            </w:r>
          </w:p>
        </w:tc>
        <w:tc>
          <w:tcPr>
            <w:tcW w:type="dxa" w:w="3024"/>
            <w:tcMar>
              <w:top w:w="80" w:type="dxa"/>
              <w:start w:w="100" w:type="dxa"/>
              <w:bottom w:w="80" w:type="dxa"/>
              <w:end w:w="100" w:type="dxa"/>
            </w:tcMar>
            <w:vAlign w:val="center"/>
            <w:shd w:fill="F2F4F6"/>
          </w:tcPr>
          <w:p>
            <w:pPr>
              <w:spacing w:after="0"/>
            </w:pPr>
            <w:r>
              <w:rPr>
                <w:sz w:val="16"/>
              </w:rPr>
              <w:t>Renamable; correlate with hash</w:t>
            </w:r>
          </w:p>
        </w:tc>
      </w:tr>
      <w:tr>
        <w:tc>
          <w:tcPr>
            <w:tcW w:type="dxa" w:w="1152"/>
            <w:tcMar>
              <w:top w:w="80" w:type="dxa"/>
              <w:start w:w="100" w:type="dxa"/>
              <w:bottom w:w="80" w:type="dxa"/>
              <w:end w:w="100" w:type="dxa"/>
            </w:tcMar>
            <w:vAlign w:val="center"/>
          </w:tcPr>
          <w:p>
            <w:pPr>
              <w:spacing w:after="0"/>
            </w:pPr>
            <w:r>
              <w:rPr>
                <w:sz w:val="16"/>
              </w:rPr>
              <w:t>File path</w:t>
            </w:r>
          </w:p>
        </w:tc>
        <w:tc>
          <w:tcPr>
            <w:tcW w:type="dxa" w:w="4320"/>
            <w:tcMar>
              <w:top w:w="80" w:type="dxa"/>
              <w:start w:w="100" w:type="dxa"/>
              <w:bottom w:w="80" w:type="dxa"/>
              <w:end w:w="100" w:type="dxa"/>
            </w:tcMar>
            <w:vAlign w:val="center"/>
          </w:tcPr>
          <w:p>
            <w:pPr>
              <w:spacing w:after="0"/>
            </w:pPr>
            <w:r>
              <w:rPr>
                <w:sz w:val="16"/>
              </w:rPr>
              <w:t>%APPDATA%\solarmarker.dat</w:t>
            </w:r>
          </w:p>
        </w:tc>
        <w:tc>
          <w:tcPr>
            <w:tcW w:type="dxa" w:w="1152"/>
            <w:tcMar>
              <w:top w:w="80" w:type="dxa"/>
              <w:start w:w="100" w:type="dxa"/>
              <w:bottom w:w="80" w:type="dxa"/>
              <w:end w:w="100" w:type="dxa"/>
            </w:tcMar>
            <w:vAlign w:val="center"/>
          </w:tcPr>
          <w:p>
            <w:pPr>
              <w:spacing w:after="0"/>
            </w:pPr>
            <w:r>
              <w:rPr>
                <w:sz w:val="16"/>
              </w:rPr>
              <w:t>High</w:t>
            </w:r>
          </w:p>
        </w:tc>
        <w:tc>
          <w:tcPr>
            <w:tcW w:type="dxa" w:w="3024"/>
            <w:tcMar>
              <w:top w:w="80" w:type="dxa"/>
              <w:start w:w="100" w:type="dxa"/>
              <w:bottom w:w="80" w:type="dxa"/>
              <w:end w:w="100" w:type="dxa"/>
            </w:tcMar>
            <w:vAlign w:val="center"/>
          </w:tcPr>
          <w:p>
            <w:pPr>
              <w:spacing w:after="0"/>
            </w:pPr>
            <w:r>
              <w:rPr>
                <w:sz w:val="16"/>
              </w:rPr>
              <w:t>Host identifier artifact</w:t>
            </w:r>
          </w:p>
        </w:tc>
      </w:tr>
      <w:tr>
        <w:tc>
          <w:tcPr>
            <w:tcW w:type="dxa" w:w="1152"/>
            <w:tcMar>
              <w:top w:w="80" w:type="dxa"/>
              <w:start w:w="100" w:type="dxa"/>
              <w:bottom w:w="80" w:type="dxa"/>
              <w:end w:w="100" w:type="dxa"/>
            </w:tcMar>
            <w:vAlign w:val="center"/>
            <w:shd w:fill="F2F4F6"/>
          </w:tcPr>
          <w:p>
            <w:pPr>
              <w:spacing w:after="0"/>
            </w:pPr>
            <w:r>
              <w:rPr>
                <w:sz w:val="16"/>
              </w:rPr>
              <w:t>Domain</w:t>
            </w:r>
          </w:p>
        </w:tc>
        <w:tc>
          <w:tcPr>
            <w:tcW w:type="dxa" w:w="4320"/>
            <w:tcMar>
              <w:top w:w="80" w:type="dxa"/>
              <w:start w:w="100" w:type="dxa"/>
              <w:bottom w:w="80" w:type="dxa"/>
              <w:end w:w="100" w:type="dxa"/>
            </w:tcMar>
            <w:vAlign w:val="center"/>
            <w:shd w:fill="F2F4F6"/>
          </w:tcPr>
          <w:p>
            <w:pPr>
              <w:spacing w:after="0"/>
            </w:pPr>
            <w:r>
              <w:rPr>
                <w:sz w:val="16"/>
              </w:rPr>
              <w:t>gogohid[.]com</w:t>
            </w:r>
          </w:p>
        </w:tc>
        <w:tc>
          <w:tcPr>
            <w:tcW w:type="dxa" w:w="1152"/>
            <w:tcMar>
              <w:top w:w="80" w:type="dxa"/>
              <w:start w:w="100" w:type="dxa"/>
              <w:bottom w:w="80" w:type="dxa"/>
              <w:end w:w="100" w:type="dxa"/>
            </w:tcMar>
            <w:vAlign w:val="center"/>
            <w:shd w:fill="F2F4F6"/>
          </w:tcPr>
          <w:p>
            <w:pPr>
              <w:spacing w:after="0"/>
            </w:pPr>
            <w:r>
              <w:rPr>
                <w:sz w:val="16"/>
              </w:rPr>
              <w:t>High</w:t>
            </w:r>
          </w:p>
        </w:tc>
        <w:tc>
          <w:tcPr>
            <w:tcW w:type="dxa" w:w="3024"/>
            <w:tcMar>
              <w:top w:w="80" w:type="dxa"/>
              <w:start w:w="100" w:type="dxa"/>
              <w:bottom w:w="80" w:type="dxa"/>
              <w:end w:w="100" w:type="dxa"/>
            </w:tcMar>
            <w:vAlign w:val="center"/>
            <w:shd w:fill="F2F4F6"/>
          </w:tcPr>
          <w:p>
            <w:pPr>
              <w:spacing w:after="0"/>
            </w:pPr>
            <w:r>
              <w:rPr>
                <w:sz w:val="16"/>
              </w:rPr>
              <w:t>Historical C2; validate current status</w:t>
            </w:r>
          </w:p>
        </w:tc>
      </w:tr>
      <w:tr>
        <w:tc>
          <w:tcPr>
            <w:tcW w:type="dxa" w:w="1152"/>
            <w:tcMar>
              <w:top w:w="80" w:type="dxa"/>
              <w:start w:w="100" w:type="dxa"/>
              <w:bottom w:w="80" w:type="dxa"/>
              <w:end w:w="100" w:type="dxa"/>
            </w:tcMar>
            <w:vAlign w:val="center"/>
          </w:tcPr>
          <w:p>
            <w:pPr>
              <w:spacing w:after="0"/>
            </w:pPr>
            <w:r>
              <w:rPr>
                <w:sz w:val="16"/>
              </w:rPr>
              <w:t>URI</w:t>
            </w:r>
          </w:p>
        </w:tc>
        <w:tc>
          <w:tcPr>
            <w:tcW w:type="dxa" w:w="4320"/>
            <w:tcMar>
              <w:top w:w="80" w:type="dxa"/>
              <w:start w:w="100" w:type="dxa"/>
              <w:bottom w:w="80" w:type="dxa"/>
              <w:end w:w="100" w:type="dxa"/>
            </w:tcMar>
            <w:vAlign w:val="center"/>
          </w:tcPr>
          <w:p>
            <w:pPr>
              <w:spacing w:after="0"/>
            </w:pPr>
            <w:r>
              <w:rPr>
                <w:sz w:val="16"/>
              </w:rPr>
              <w:t>/gate</w:t>
            </w:r>
          </w:p>
        </w:tc>
        <w:tc>
          <w:tcPr>
            <w:tcW w:type="dxa" w:w="1152"/>
            <w:tcMar>
              <w:top w:w="80" w:type="dxa"/>
              <w:start w:w="100" w:type="dxa"/>
              <w:bottom w:w="80" w:type="dxa"/>
              <w:end w:w="100" w:type="dxa"/>
            </w:tcMar>
            <w:vAlign w:val="center"/>
          </w:tcPr>
          <w:p>
            <w:pPr>
              <w:spacing w:after="0"/>
            </w:pPr>
            <w:r>
              <w:rPr>
                <w:sz w:val="16"/>
              </w:rPr>
              <w:t>Medium</w:t>
            </w:r>
          </w:p>
        </w:tc>
        <w:tc>
          <w:tcPr>
            <w:tcW w:type="dxa" w:w="3024"/>
            <w:tcMar>
              <w:top w:w="80" w:type="dxa"/>
              <w:start w:w="100" w:type="dxa"/>
              <w:bottom w:w="80" w:type="dxa"/>
              <w:end w:w="100" w:type="dxa"/>
            </w:tcMar>
            <w:vAlign w:val="center"/>
          </w:tcPr>
          <w:p>
            <w:pPr>
              <w:spacing w:after="0"/>
            </w:pPr>
            <w:r>
              <w:rPr>
                <w:sz w:val="16"/>
              </w:rPr>
              <w:t>Host information and commands</w:t>
            </w:r>
          </w:p>
        </w:tc>
      </w:tr>
      <w:tr>
        <w:tc>
          <w:tcPr>
            <w:tcW w:type="dxa" w:w="1152"/>
            <w:tcMar>
              <w:top w:w="80" w:type="dxa"/>
              <w:start w:w="100" w:type="dxa"/>
              <w:bottom w:w="80" w:type="dxa"/>
              <w:end w:w="100" w:type="dxa"/>
            </w:tcMar>
            <w:vAlign w:val="center"/>
            <w:shd w:fill="F2F4F6"/>
          </w:tcPr>
          <w:p>
            <w:pPr>
              <w:spacing w:after="0"/>
            </w:pPr>
            <w:r>
              <w:rPr>
                <w:sz w:val="16"/>
              </w:rPr>
              <w:t>URI</w:t>
            </w:r>
          </w:p>
        </w:tc>
        <w:tc>
          <w:tcPr>
            <w:tcW w:type="dxa" w:w="4320"/>
            <w:tcMar>
              <w:top w:w="80" w:type="dxa"/>
              <w:start w:w="100" w:type="dxa"/>
              <w:bottom w:w="80" w:type="dxa"/>
              <w:end w:w="100" w:type="dxa"/>
            </w:tcMar>
            <w:vAlign w:val="center"/>
            <w:shd w:fill="F2F4F6"/>
          </w:tcPr>
          <w:p>
            <w:pPr>
              <w:spacing w:after="0"/>
            </w:pPr>
            <w:r>
              <w:rPr>
                <w:sz w:val="16"/>
              </w:rPr>
              <w:t>/success</w:t>
            </w:r>
          </w:p>
        </w:tc>
        <w:tc>
          <w:tcPr>
            <w:tcW w:type="dxa" w:w="1152"/>
            <w:tcMar>
              <w:top w:w="80" w:type="dxa"/>
              <w:start w:w="100" w:type="dxa"/>
              <w:bottom w:w="80" w:type="dxa"/>
              <w:end w:w="100" w:type="dxa"/>
            </w:tcMar>
            <w:vAlign w:val="center"/>
            <w:shd w:fill="F2F4F6"/>
          </w:tcPr>
          <w:p>
            <w:pPr>
              <w:spacing w:after="0"/>
            </w:pPr>
            <w:r>
              <w:rPr>
                <w:sz w:val="16"/>
              </w:rPr>
              <w:t>Medium</w:t>
            </w:r>
          </w:p>
        </w:tc>
        <w:tc>
          <w:tcPr>
            <w:tcW w:type="dxa" w:w="3024"/>
            <w:tcMar>
              <w:top w:w="80" w:type="dxa"/>
              <w:start w:w="100" w:type="dxa"/>
              <w:bottom w:w="80" w:type="dxa"/>
              <w:end w:w="100" w:type="dxa"/>
            </w:tcMar>
            <w:vAlign w:val="center"/>
            <w:shd w:fill="F2F4F6"/>
          </w:tcPr>
          <w:p>
            <w:pPr>
              <w:spacing w:after="0"/>
            </w:pPr>
            <w:r>
              <w:rPr>
                <w:sz w:val="16"/>
              </w:rPr>
              <w:t>Execution result reporting</w:t>
            </w:r>
          </w:p>
        </w:tc>
      </w:tr>
    </w:tbl>
    <w:p>
      <w:pPr>
        <w:spacing w:after="0"/>
      </w:pPr>
    </w:p>
    <w:p>
      <w:pPr>
        <w:pStyle w:val="Heading1"/>
      </w:pPr>
      <w:r>
        <w:t>MITRE ATT&amp;CK Mapping</w:t>
      </w:r>
    </w:p>
    <w:p>
      <w:r>
        <w:t>These mappings describe behavior documented for the broader Yellow Cockatoo cluster. Additional endpoint or network telemetry is required before asserting that every technique occurred on a specific host.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12"/>
            <w:shd w:fill="16324F"/>
            <w:tcMar>
              <w:top w:w="80" w:type="dxa"/>
              <w:start w:w="100" w:type="dxa"/>
              <w:bottom w:w="80" w:type="dxa"/>
              <w:end w:w="100" w:type="dxa"/>
            </w:tcMar>
          </w:tcPr>
          <w:p>
            <w:pPr>
              <w:spacing w:after="0"/>
            </w:pPr>
            <w:r>
              <w:rPr>
                <w:b/>
                <w:color w:val="FFFFFF"/>
                <w:sz w:val="16"/>
              </w:rPr>
              <w:t>Technique</w:t>
            </w:r>
          </w:p>
        </w:tc>
        <w:tc>
          <w:tcPr>
            <w:tcW w:type="dxa" w:w="1584"/>
            <w:shd w:fill="16324F"/>
            <w:tcMar>
              <w:top w:w="80" w:type="dxa"/>
              <w:start w:w="100" w:type="dxa"/>
              <w:bottom w:w="80" w:type="dxa"/>
              <w:end w:w="100" w:type="dxa"/>
            </w:tcMar>
          </w:tcPr>
          <w:p>
            <w:pPr>
              <w:spacing w:after="0"/>
            </w:pPr>
            <w:r>
              <w:rPr>
                <w:b/>
                <w:color w:val="FFFFFF"/>
                <w:sz w:val="16"/>
              </w:rPr>
              <w:t>ID</w:t>
            </w:r>
          </w:p>
        </w:tc>
        <w:tc>
          <w:tcPr>
            <w:tcW w:type="dxa" w:w="4752"/>
            <w:shd w:fill="16324F"/>
            <w:tcMar>
              <w:top w:w="80" w:type="dxa"/>
              <w:start w:w="100" w:type="dxa"/>
              <w:bottom w:w="80" w:type="dxa"/>
              <w:end w:w="100" w:type="dxa"/>
            </w:tcMar>
          </w:tcPr>
          <w:p>
            <w:pPr>
              <w:spacing w:after="0"/>
            </w:pPr>
            <w:r>
              <w:rPr>
                <w:b/>
                <w:color w:val="FFFFFF"/>
                <w:sz w:val="16"/>
              </w:rPr>
              <w:t>Evidence rationale</w:t>
            </w:r>
          </w:p>
        </w:tc>
      </w:tr>
      <w:tr>
        <w:tc>
          <w:tcPr>
            <w:tcW w:type="dxa" w:w="3312"/>
            <w:tcMar>
              <w:top w:w="80" w:type="dxa"/>
              <w:start w:w="100" w:type="dxa"/>
              <w:bottom w:w="80" w:type="dxa"/>
              <w:end w:w="100" w:type="dxa"/>
            </w:tcMar>
            <w:vAlign w:val="center"/>
          </w:tcPr>
          <w:p>
            <w:pPr>
              <w:spacing w:after="0"/>
            </w:pPr>
            <w:r>
              <w:rPr>
                <w:sz w:val="16"/>
              </w:rPr>
              <w:t>Ingress Tool Transfer</w:t>
            </w:r>
          </w:p>
        </w:tc>
        <w:tc>
          <w:tcPr>
            <w:tcW w:type="dxa" w:w="1584"/>
            <w:tcMar>
              <w:top w:w="80" w:type="dxa"/>
              <w:start w:w="100" w:type="dxa"/>
              <w:bottom w:w="80" w:type="dxa"/>
              <w:end w:w="100" w:type="dxa"/>
            </w:tcMar>
            <w:vAlign w:val="center"/>
          </w:tcPr>
          <w:p>
            <w:pPr>
              <w:spacing w:after="0"/>
            </w:pPr>
            <w:r>
              <w:rPr>
                <w:sz w:val="16"/>
              </w:rPr>
              <w:t>T1105</w:t>
            </w:r>
          </w:p>
        </w:tc>
        <w:tc>
          <w:tcPr>
            <w:tcW w:type="dxa" w:w="4752"/>
            <w:tcMar>
              <w:top w:w="80" w:type="dxa"/>
              <w:start w:w="100" w:type="dxa"/>
              <w:bottom w:w="80" w:type="dxa"/>
              <w:end w:w="100" w:type="dxa"/>
            </w:tcMar>
            <w:vAlign w:val="center"/>
          </w:tcPr>
          <w:p>
            <w:pPr>
              <w:spacing w:after="0"/>
            </w:pPr>
            <w:r>
              <w:rPr>
                <w:sz w:val="16"/>
              </w:rPr>
              <w:t>Downloads additional payloads</w:t>
            </w:r>
          </w:p>
        </w:tc>
      </w:tr>
      <w:tr>
        <w:tc>
          <w:tcPr>
            <w:tcW w:type="dxa" w:w="3312"/>
            <w:tcMar>
              <w:top w:w="80" w:type="dxa"/>
              <w:start w:w="100" w:type="dxa"/>
              <w:bottom w:w="80" w:type="dxa"/>
              <w:end w:w="100" w:type="dxa"/>
            </w:tcMar>
            <w:vAlign w:val="center"/>
            <w:shd w:fill="F2F4F6"/>
          </w:tcPr>
          <w:p>
            <w:pPr>
              <w:spacing w:after="0"/>
            </w:pPr>
            <w:r>
              <w:rPr>
                <w:sz w:val="16"/>
              </w:rPr>
              <w:t>Application Layer Protocol Web Protocols</w:t>
            </w:r>
          </w:p>
        </w:tc>
        <w:tc>
          <w:tcPr>
            <w:tcW w:type="dxa" w:w="1584"/>
            <w:tcMar>
              <w:top w:w="80" w:type="dxa"/>
              <w:start w:w="100" w:type="dxa"/>
              <w:bottom w:w="80" w:type="dxa"/>
              <w:end w:w="100" w:type="dxa"/>
            </w:tcMar>
            <w:vAlign w:val="center"/>
            <w:shd w:fill="F2F4F6"/>
          </w:tcPr>
          <w:p>
            <w:pPr>
              <w:spacing w:after="0"/>
            </w:pPr>
            <w:r>
              <w:rPr>
                <w:sz w:val="16"/>
              </w:rPr>
              <w:t>T1071.001</w:t>
            </w:r>
          </w:p>
        </w:tc>
        <w:tc>
          <w:tcPr>
            <w:tcW w:type="dxa" w:w="4752"/>
            <w:tcMar>
              <w:top w:w="80" w:type="dxa"/>
              <w:start w:w="100" w:type="dxa"/>
              <w:bottom w:w="80" w:type="dxa"/>
              <w:end w:w="100" w:type="dxa"/>
            </w:tcMar>
            <w:vAlign w:val="center"/>
            <w:shd w:fill="F2F4F6"/>
          </w:tcPr>
          <w:p>
            <w:pPr>
              <w:spacing w:after="0"/>
            </w:pPr>
            <w:r>
              <w:rPr>
                <w:sz w:val="16"/>
              </w:rPr>
              <w:t>HTTPS-based C2 communication</w:t>
            </w:r>
          </w:p>
        </w:tc>
      </w:tr>
      <w:tr>
        <w:tc>
          <w:tcPr>
            <w:tcW w:type="dxa" w:w="3312"/>
            <w:tcMar>
              <w:top w:w="80" w:type="dxa"/>
              <w:start w:w="100" w:type="dxa"/>
              <w:bottom w:w="80" w:type="dxa"/>
              <w:end w:w="100" w:type="dxa"/>
            </w:tcMar>
            <w:vAlign w:val="center"/>
          </w:tcPr>
          <w:p>
            <w:pPr>
              <w:spacing w:after="0"/>
            </w:pPr>
            <w:r>
              <w:rPr>
                <w:sz w:val="16"/>
              </w:rPr>
              <w:t>System Information Discovery</w:t>
            </w:r>
          </w:p>
        </w:tc>
        <w:tc>
          <w:tcPr>
            <w:tcW w:type="dxa" w:w="1584"/>
            <w:tcMar>
              <w:top w:w="80" w:type="dxa"/>
              <w:start w:w="100" w:type="dxa"/>
              <w:bottom w:w="80" w:type="dxa"/>
              <w:end w:w="100" w:type="dxa"/>
            </w:tcMar>
            <w:vAlign w:val="center"/>
          </w:tcPr>
          <w:p>
            <w:pPr>
              <w:spacing w:after="0"/>
            </w:pPr>
            <w:r>
              <w:rPr>
                <w:sz w:val="16"/>
              </w:rPr>
              <w:t>T1082</w:t>
            </w:r>
          </w:p>
        </w:tc>
        <w:tc>
          <w:tcPr>
            <w:tcW w:type="dxa" w:w="4752"/>
            <w:tcMar>
              <w:top w:w="80" w:type="dxa"/>
              <w:start w:w="100" w:type="dxa"/>
              <w:bottom w:w="80" w:type="dxa"/>
              <w:end w:w="100" w:type="dxa"/>
            </w:tcMar>
            <w:vAlign w:val="center"/>
          </w:tcPr>
          <w:p>
            <w:pPr>
              <w:spacing w:after="0"/>
            </w:pPr>
            <w:r>
              <w:rPr>
                <w:sz w:val="16"/>
              </w:rPr>
              <w:t>Collects and sends host information</w:t>
            </w:r>
          </w:p>
        </w:tc>
      </w:tr>
      <w:tr>
        <w:tc>
          <w:tcPr>
            <w:tcW w:type="dxa" w:w="3312"/>
            <w:tcMar>
              <w:top w:w="80" w:type="dxa"/>
              <w:start w:w="100" w:type="dxa"/>
              <w:bottom w:w="80" w:type="dxa"/>
              <w:end w:w="100" w:type="dxa"/>
            </w:tcMar>
            <w:vAlign w:val="center"/>
            <w:shd w:fill="F2F4F6"/>
          </w:tcPr>
          <w:p>
            <w:pPr>
              <w:spacing w:after="0"/>
            </w:pPr>
            <w:r>
              <w:rPr>
                <w:sz w:val="16"/>
              </w:rPr>
              <w:t>PowerShell</w:t>
            </w:r>
          </w:p>
        </w:tc>
        <w:tc>
          <w:tcPr>
            <w:tcW w:type="dxa" w:w="1584"/>
            <w:tcMar>
              <w:top w:w="80" w:type="dxa"/>
              <w:start w:w="100" w:type="dxa"/>
              <w:bottom w:w="80" w:type="dxa"/>
              <w:end w:w="100" w:type="dxa"/>
            </w:tcMar>
            <w:vAlign w:val="center"/>
            <w:shd w:fill="F2F4F6"/>
          </w:tcPr>
          <w:p>
            <w:pPr>
              <w:spacing w:after="0"/>
            </w:pPr>
            <w:r>
              <w:rPr>
                <w:sz w:val="16"/>
              </w:rPr>
              <w:t>T1059.001</w:t>
            </w:r>
          </w:p>
        </w:tc>
        <w:tc>
          <w:tcPr>
            <w:tcW w:type="dxa" w:w="4752"/>
            <w:tcMar>
              <w:top w:w="80" w:type="dxa"/>
              <w:start w:w="100" w:type="dxa"/>
              <w:bottom w:w="80" w:type="dxa"/>
              <w:end w:w="100" w:type="dxa"/>
            </w:tcMar>
            <w:vAlign w:val="center"/>
            <w:shd w:fill="F2F4F6"/>
          </w:tcPr>
          <w:p>
            <w:pPr>
              <w:spacing w:after="0"/>
            </w:pPr>
            <w:r>
              <w:rPr>
                <w:sz w:val="16"/>
              </w:rPr>
              <w:t>PowerShell-based execution described in cluster reporting</w:t>
            </w:r>
          </w:p>
        </w:tc>
      </w:tr>
      <w:tr>
        <w:tc>
          <w:tcPr>
            <w:tcW w:type="dxa" w:w="3312"/>
            <w:tcMar>
              <w:top w:w="80" w:type="dxa"/>
              <w:start w:w="100" w:type="dxa"/>
              <w:bottom w:w="80" w:type="dxa"/>
              <w:end w:w="100" w:type="dxa"/>
            </w:tcMar>
            <w:vAlign w:val="center"/>
          </w:tcPr>
          <w:p>
            <w:pPr>
              <w:spacing w:after="0"/>
            </w:pPr>
            <w:r>
              <w:rPr>
                <w:sz w:val="16"/>
              </w:rPr>
              <w:t>Process Hollowing</w:t>
            </w:r>
          </w:p>
        </w:tc>
        <w:tc>
          <w:tcPr>
            <w:tcW w:type="dxa" w:w="1584"/>
            <w:tcMar>
              <w:top w:w="80" w:type="dxa"/>
              <w:start w:w="100" w:type="dxa"/>
              <w:bottom w:w="80" w:type="dxa"/>
              <w:end w:w="100" w:type="dxa"/>
            </w:tcMar>
            <w:vAlign w:val="center"/>
          </w:tcPr>
          <w:p>
            <w:pPr>
              <w:spacing w:after="0"/>
            </w:pPr>
            <w:r>
              <w:rPr>
                <w:sz w:val="16"/>
              </w:rPr>
              <w:t>T1055.012</w:t>
            </w:r>
          </w:p>
        </w:tc>
        <w:tc>
          <w:tcPr>
            <w:tcW w:type="dxa" w:w="4752"/>
            <w:tcMar>
              <w:top w:w="80" w:type="dxa"/>
              <w:start w:w="100" w:type="dxa"/>
              <w:bottom w:w="80" w:type="dxa"/>
              <w:end w:w="100" w:type="dxa"/>
            </w:tcMar>
            <w:vAlign w:val="center"/>
          </w:tcPr>
          <w:p>
            <w:pPr>
              <w:spacing w:after="0"/>
            </w:pPr>
            <w:r>
              <w:rPr>
                <w:sz w:val="16"/>
              </w:rPr>
              <w:t>Documented rpe command performs process hollowing</w:t>
            </w:r>
          </w:p>
        </w:tc>
      </w:tr>
      <w:tr>
        <w:tc>
          <w:tcPr>
            <w:tcW w:type="dxa" w:w="3312"/>
            <w:tcMar>
              <w:top w:w="80" w:type="dxa"/>
              <w:start w:w="100" w:type="dxa"/>
              <w:bottom w:w="80" w:type="dxa"/>
              <w:end w:w="100" w:type="dxa"/>
            </w:tcMar>
            <w:vAlign w:val="center"/>
            <w:shd w:fill="F2F4F6"/>
          </w:tcPr>
          <w:p>
            <w:pPr>
              <w:spacing w:after="0"/>
            </w:pPr>
            <w:r>
              <w:rPr>
                <w:sz w:val="16"/>
              </w:rPr>
              <w:t>Registry Run Keys Startup Folder</w:t>
            </w:r>
          </w:p>
        </w:tc>
        <w:tc>
          <w:tcPr>
            <w:tcW w:type="dxa" w:w="1584"/>
            <w:tcMar>
              <w:top w:w="80" w:type="dxa"/>
              <w:start w:w="100" w:type="dxa"/>
              <w:bottom w:w="80" w:type="dxa"/>
              <w:end w:w="100" w:type="dxa"/>
            </w:tcMar>
            <w:vAlign w:val="center"/>
            <w:shd w:fill="F2F4F6"/>
          </w:tcPr>
          <w:p>
            <w:pPr>
              <w:spacing w:after="0"/>
            </w:pPr>
            <w:r>
              <w:rPr>
                <w:sz w:val="16"/>
              </w:rPr>
              <w:t>T1547.001</w:t>
            </w:r>
          </w:p>
        </w:tc>
        <w:tc>
          <w:tcPr>
            <w:tcW w:type="dxa" w:w="4752"/>
            <w:tcMar>
              <w:top w:w="80" w:type="dxa"/>
              <w:start w:w="100" w:type="dxa"/>
              <w:bottom w:w="80" w:type="dxa"/>
              <w:end w:w="100" w:type="dxa"/>
            </w:tcMar>
            <w:vAlign w:val="center"/>
            <w:shd w:fill="F2F4F6"/>
          </w:tcPr>
          <w:p>
            <w:pPr>
              <w:spacing w:after="0"/>
            </w:pPr>
            <w:r>
              <w:rPr>
                <w:sz w:val="16"/>
              </w:rPr>
              <w:t>Startup shortcut persistence described in reporting</w:t>
            </w:r>
          </w:p>
        </w:tc>
      </w:tr>
    </w:tbl>
    <w:p>
      <w:pPr>
        <w:spacing w:after="0"/>
      </w:pPr>
    </w:p>
    <w:p>
      <w:r>
        <w:br w:type="page"/>
      </w:r>
    </w:p>
    <w:p>
      <w:pPr>
        <w:pStyle w:val="Heading1"/>
      </w:pPr>
      <w:r>
        <w:t>Detection and Response Plan</w:t>
      </w:r>
    </w:p>
    <w:p>
      <w:pPr>
        <w:pStyle w:val="Heading2"/>
      </w:pPr>
      <w:r>
        <w:t>Immediate Containment</w:t>
      </w:r>
    </w:p>
    <w:p>
      <w:pPr>
        <w:pStyle w:val="ListBullet"/>
        <w:spacing w:after="60"/>
      </w:pPr>
      <w:r>
        <w:t>Isolate endpoints with corroborated detections while preserving evidence.</w:t>
      </w:r>
    </w:p>
    <w:p>
      <w:pPr>
        <w:pStyle w:val="ListBullet"/>
        <w:spacing w:after="60"/>
      </w:pPr>
      <w:r>
        <w:t>Block confirmed malicious infrastructure at DNS, proxy, and firewall layers where appropriate.</w:t>
      </w:r>
    </w:p>
    <w:p>
      <w:pPr>
        <w:pStyle w:val="ListBullet"/>
        <w:spacing w:after="60"/>
      </w:pPr>
      <w:r>
        <w:t>Quarantine matching files and prevent execution using EDR controls.</w:t>
      </w:r>
    </w:p>
    <w:p>
      <w:pPr>
        <w:pStyle w:val="Heading2"/>
      </w:pPr>
      <w:r>
        <w:t>Enterprise Hunt</w:t>
      </w:r>
    </w:p>
    <w:p>
      <w:pPr>
        <w:pStyle w:val="ListBullet"/>
        <w:spacing w:after="60"/>
      </w:pPr>
      <w:r>
        <w:t>Query endpoint telemetry for the SHA-256 and associated filename.</w:t>
      </w:r>
    </w:p>
    <w:p>
      <w:pPr>
        <w:pStyle w:val="ListBullet"/>
        <w:spacing w:after="60"/>
      </w:pPr>
      <w:r>
        <w:t>Search for %APPDATA%\solarmarker.dat across user profiles.</w:t>
      </w:r>
    </w:p>
    <w:p>
      <w:pPr>
        <w:pStyle w:val="ListBullet"/>
        <w:spacing w:after="60"/>
      </w:pPr>
      <w:r>
        <w:t>Review Startup folders and shortcut creation for persistence.</w:t>
      </w:r>
    </w:p>
    <w:p>
      <w:pPr>
        <w:pStyle w:val="ListBullet"/>
        <w:spacing w:after="60"/>
      </w:pPr>
      <w:r>
        <w:t>Correlate PowerShell, process injection, and unusual child-process behavior.</w:t>
      </w:r>
    </w:p>
    <w:p>
      <w:pPr>
        <w:pStyle w:val="ListBullet"/>
        <w:spacing w:after="60"/>
      </w:pPr>
      <w:r>
        <w:t>Review DNS and proxy logs for the historical C2 and related destinations.</w:t>
      </w:r>
    </w:p>
    <w:p>
      <w:pPr>
        <w:pStyle w:val="Heading2"/>
      </w:pPr>
      <w:r>
        <w:t>Evidence Collection</w:t>
      </w:r>
    </w:p>
    <w:p>
      <w:pPr>
        <w:pStyle w:val="ListBullet"/>
        <w:spacing w:after="60"/>
      </w:pPr>
      <w:r>
        <w:t>Capture volatile memory before shutdown when feasible.</w:t>
      </w:r>
    </w:p>
    <w:p>
      <w:pPr>
        <w:pStyle w:val="ListBullet"/>
        <w:spacing w:after="60"/>
      </w:pPr>
      <w:r>
        <w:t>Preserve suspicious files, file-system metadata, process trees, command lines, and network telemetry.</w:t>
      </w:r>
    </w:p>
    <w:p>
      <w:pPr>
        <w:pStyle w:val="ListBullet"/>
        <w:spacing w:after="60"/>
      </w:pPr>
      <w:r>
        <w:t>Record timezone and clock accuracy before reconstructing the incident timeline.</w:t>
      </w:r>
    </w:p>
    <w:p>
      <w:pPr>
        <w:pStyle w:val="ListBullet"/>
        <w:spacing w:after="60"/>
      </w:pPr>
      <w:r>
        <w:t>Retain original evidence separately from working copies and document hashes for acquired files.</w:t>
      </w:r>
    </w:p>
    <w:p>
      <w:pPr>
        <w:pStyle w:val="Heading2"/>
      </w:pPr>
      <w:r>
        <w:t>Recovery and Monitoring</w:t>
      </w:r>
    </w:p>
    <w:p>
      <w:pPr>
        <w:pStyle w:val="ListBullet"/>
        <w:spacing w:after="60"/>
      </w:pPr>
      <w:r>
        <w:t>Remove verified persistence and rebuild systems when trust cannot be restored.</w:t>
      </w:r>
    </w:p>
    <w:p>
      <w:pPr>
        <w:pStyle w:val="ListBullet"/>
        <w:spacing w:after="60"/>
      </w:pPr>
      <w:r>
        <w:t>Reset credentials only when investigation evidence or exposure scope supports the action.</w:t>
      </w:r>
    </w:p>
    <w:p>
      <w:pPr>
        <w:pStyle w:val="ListBullet"/>
        <w:spacing w:after="60"/>
      </w:pPr>
      <w:r>
        <w:t>Deploy temporary detections for the observed indicators and monitor for recurrence.</w:t>
      </w:r>
    </w:p>
    <w:p>
      <w:pPr>
        <w:pStyle w:val="ListBullet"/>
        <w:spacing w:after="60"/>
      </w:pPr>
      <w:r>
        <w:t>Review defensive gaps that allowed the initial file to reach or execute on endpoints.</w:t>
      </w:r>
    </w:p>
    <w:p>
      <w:r>
        <w:br w:type="page"/>
      </w:r>
    </w:p>
    <w:p>
      <w:pPr>
        <w:pStyle w:val="Heading1"/>
      </w:pPr>
      <w:r>
        <w:t>Limitations and Lessons Learned</w:t>
      </w:r>
    </w:p>
    <w:p>
      <w:pPr>
        <w:pStyle w:val="Heading2"/>
      </w:pPr>
      <w:r>
        <w:t>Limitations</w:t>
      </w:r>
    </w:p>
    <w:p>
      <w:pPr>
        <w:pStyle w:val="ListBullet"/>
        <w:spacing w:after="60"/>
      </w:pPr>
      <w:r>
        <w:t>The lab supplied a hash rather than the executable, so no local static disassembly or dynamic execution was performed.</w:t>
      </w:r>
    </w:p>
    <w:p>
      <w:pPr>
        <w:pStyle w:val="ListBullet"/>
        <w:spacing w:after="60"/>
      </w:pPr>
      <w:r>
        <w:t>VirusTotal labels represent multiple vendor taxonomies and are not authoritative attribution.</w:t>
      </w:r>
    </w:p>
    <w:p>
      <w:pPr>
        <w:pStyle w:val="ListBullet"/>
        <w:spacing w:after="60"/>
      </w:pPr>
      <w:r>
        <w:t>VirusTotal behavior data did not expose every requested artifact for this sample.</w:t>
      </w:r>
    </w:p>
    <w:p>
      <w:pPr>
        <w:pStyle w:val="ListBullet"/>
        <w:spacing w:after="60"/>
      </w:pPr>
      <w:r>
        <w:t>Hybrid Analysis restricted older searches for anonymous access; the investigation pivoted to the authoritative Red Canary report.</w:t>
      </w:r>
    </w:p>
    <w:p>
      <w:pPr>
        <w:pStyle w:val="ListBullet"/>
        <w:spacing w:after="60"/>
      </w:pPr>
      <w:r>
        <w:t>Compilation and first-submission timestamps do not establish victim infection time.</w:t>
      </w:r>
    </w:p>
    <w:p>
      <w:pPr>
        <w:pStyle w:val="Heading2"/>
      </w:pPr>
      <w:r>
        <w:t>Transferable Method</w:t>
      </w:r>
    </w:p>
    <w:p>
      <w:pPr>
        <w:pStyle w:val="ListBullet"/>
        <w:spacing w:after="60"/>
      </w:pPr>
      <w:r>
        <w:t>Identify what the evidence actually is before choosing the analysis path.</w:t>
      </w:r>
    </w:p>
    <w:p>
      <w:pPr>
        <w:pStyle w:val="ListBullet"/>
        <w:spacing w:after="60"/>
      </w:pPr>
      <w:r>
        <w:t>Use cryptographic hashes as stable pivots and filenames as supporting clues.</w:t>
      </w:r>
    </w:p>
    <w:p>
      <w:pPr>
        <w:pStyle w:val="ListBullet"/>
        <w:spacing w:after="60"/>
      </w:pPr>
      <w:r>
        <w:t>Resolve vendor naming conflicts through the source organization’s own reporting.</w:t>
      </w:r>
    </w:p>
    <w:p>
      <w:pPr>
        <w:pStyle w:val="ListBullet"/>
        <w:spacing w:after="60"/>
      </w:pPr>
      <w:r>
        <w:t>Separate direct observation, corroborated intelligence, and inference in every conclusion.</w:t>
      </w:r>
    </w:p>
    <w:p>
      <w:pPr>
        <w:pStyle w:val="ListBullet"/>
        <w:spacing w:after="60"/>
      </w:pPr>
      <w:r>
        <w:t>When a source lacks an artifact, pivot to another reputable source and record the limitation.</w:t>
      </w:r>
    </w:p>
    <w:p>
      <w:pPr>
        <w:pStyle w:val="Heading2"/>
      </w:pPr>
      <w:r>
        <w:t>Conclusion</w:t>
      </w:r>
    </w:p>
    <w:p>
      <w:r>
        <w:t>The investigation converted a single SHA-256 into a defensible set of malware-intelligence findings. The sample is associated with activity tracked by Red Canary as Yellow Cockatoo, with useful file, host, timeline, and network indicators for enterprise hunting. The strongest operational approach is correlation: no single filename, timestamp, or domain should be treated in isolation.</w:t>
      </w:r>
    </w:p>
    <w:p>
      <w:pPr>
        <w:pStyle w:val="Heading2"/>
      </w:pPr>
      <w:r>
        <w:t>References</w:t>
      </w:r>
    </w:p>
    <w:p>
      <w:pPr>
        <w:pStyle w:val="ListBullet"/>
        <w:spacing w:after="60"/>
      </w:pPr>
      <w:r>
        <w:rPr>
          <w:sz w:val="16"/>
        </w:rPr>
        <w:t>VirusTotal sample report: https://www.virustotal.com/gui/file/30e527e45f50d2ba82865c5679a6fa998ee0a1755361ab01673950810d071c85</w:t>
      </w:r>
    </w:p>
    <w:p>
      <w:pPr>
        <w:pStyle w:val="ListBullet"/>
        <w:spacing w:after="60"/>
      </w:pPr>
      <w:r>
        <w:rPr>
          <w:sz w:val="16"/>
        </w:rPr>
        <w:t>Red Canary: https://redcanary.com/blog/threat-intelligence/yellow-cockatoo/</w:t>
      </w:r>
    </w:p>
    <w:p>
      <w:pPr>
        <w:pStyle w:val="ListBullet"/>
        <w:spacing w:after="60"/>
      </w:pPr>
      <w:r>
        <w:rPr>
          <w:sz w:val="16"/>
        </w:rPr>
        <w:t>Zscaler-hosted technical analysis: https://www.zscaler.com/blogs/cybersecurity-best-practices/yellow-cockatoo</w:t>
      </w:r>
    </w:p>
    <w:p>
      <w:pPr>
        <w:pStyle w:val="ListBullet"/>
        <w:spacing w:after="60"/>
      </w:pPr>
      <w:r>
        <w:rPr>
          <w:sz w:val="16"/>
        </w:rPr>
        <w:t>MITRE ATT&amp;CK Enterprise: https://attack.mitre.org/</w:t>
      </w:r>
    </w:p>
    <w:p/>
    <w:tbl>
      <w:tblPr>
        <w:tblW w:type="auto" w:w="0"/>
        <w:jc w:val="center"/>
        <w:tblLook w:firstColumn="1" w:firstRow="1" w:lastColumn="0" w:lastRow="0" w:noHBand="0" w:noVBand="1" w:val="04A0"/>
      </w:tblPr>
      <w:tblGrid>
        <w:gridCol w:w="10166"/>
      </w:tblGrid>
      <w:tr>
        <w:tc>
          <w:tcPr>
            <w:tcW w:type="dxa" w:w="10166"/>
            <w:shd w:fill="EAF3F8"/>
            <w:tcMar>
              <w:top w:w="110" w:type="dxa"/>
              <w:start w:w="130" w:type="dxa"/>
              <w:bottom w:w="110" w:type="dxa"/>
              <w:end w:w="130" w:type="dxa"/>
            </w:tcMar>
          </w:tcPr>
          <w:p>
            <w:pPr>
              <w:spacing w:after="40"/>
            </w:pPr>
            <w:r>
              <w:rPr>
                <w:b/>
                <w:color w:val="16324F"/>
                <w:sz w:val="16"/>
              </w:rPr>
              <w:t>DISCLAIMER</w:t>
              <w:br/>
            </w:r>
            <w:r>
              <w:rPr>
                <w:sz w:val="18"/>
              </w:rPr>
              <w:t>This report documents an authorized training investigation. Indicators should be validated against current intelligence and local telemetry before operational use.</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4"/>
      </w:rPr>
      <w:t xml:space="preserve">CyberDefenders training investigation  •  Alaa Zahra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6"/>
        <w:sz w:val="14"/>
      </w:rPr>
      <w:t>YELLOW RAT  |  MALWARE INTELLIGENCE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5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keepNext w:val="0"/>
      <w:spacing w:after="140"/>
    </w:pPr>
    <w:rPr>
      <w:rFonts w:ascii="Aptos" w:hAnsi="Aptos"/>
      <w:i/>
      <w:color w:val="5F6B76"/>
      <w:sz w:val="16"/>
    </w:rPr>
  </w:style>
  <w:style w:type="paragraph" w:customStyle="1" w:styleId="Code">
    <w:name w:val="Code"/>
    <w:pPr>
      <w:spacing w:before="60" w:after="120"/>
      <w:ind w:left="259" w:right="259"/>
    </w:pPr>
    <w:rPr>
      <w:rFonts w:ascii="Consolas" w:hAnsi="Consolas"/>
      <w:color w:val="2025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Yellow RAT Malware Intelligence Investigation</dc:title>
  <dc:subject>CyberDefenders malware intelligence report</dc:subject>
  <dc:creator>Alaa Zahra</dc:creator>
  <cp:keywords>Yellow Cockatoo, Yellow RAT, malware intelligence, VirusTotal, Red Canary</cp:keywords>
  <dc:description>generated by python-docx</dc:description>
  <cp:lastModifiedBy/>
  <cp:revision>1</cp:revision>
  <dcterms:created xsi:type="dcterms:W3CDTF">2013-12-23T23:15:00Z</dcterms:created>
  <dcterms:modified xsi:type="dcterms:W3CDTF">2013-12-23T23:15:00Z</dcterms:modified>
  <cp:category/>
</cp:coreProperties>
</file>