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32"/>
        <w:jc w:val="center"/>
      </w:pPr>
      <w:r>
        <w:rPr>
          <w:rFonts w:ascii="DejaVu Sans" w:hAnsi="DejaVu Sans" w:eastAsia="DejaVu Sans"/>
          <w:b/>
          <w:color w:val="0F4C81"/>
          <w:sz w:val="22"/>
        </w:rPr>
        <w:t>CYBERDEFENDERS</w:t>
      </w:r>
    </w:p>
    <w:p>
      <w:pPr>
        <w:pStyle w:val="Title"/>
        <w:jc w:val="center"/>
      </w:pPr>
      <w:r>
        <w:t>PoisonedCredentials Network Forensics Investigation</w:t>
      </w:r>
    </w:p>
    <w:p>
      <w:pPr>
        <w:pStyle w:val="Subtitle"/>
        <w:jc w:val="center"/>
      </w:pPr>
      <w:r>
        <w:t>NBNS and LLMNR poisoning with SMB and NTLM analysis</w:t>
      </w:r>
    </w:p>
    <w:p>
      <w:pPr>
        <w:spacing w:after="80"/>
        <w:jc w:val="center"/>
      </w:pPr>
      <w:r>
        <w:rPr>
          <w:rFonts w:ascii="DejaVu Sans" w:hAnsi="DejaVu Sans" w:eastAsia="DejaVu Sans"/>
          <w:i w:val="0"/>
        </w:rPr>
        <w:t>Incident Investigation Report</w:t>
      </w:r>
    </w:p>
    <w:p>
      <w:pPr>
        <w:spacing w:after="80"/>
        <w:jc w:val="center"/>
      </w:pPr>
      <w:r>
        <w:rPr>
          <w:rFonts w:ascii="DejaVu Sans" w:hAnsi="DejaVu Sans" w:eastAsia="DejaVu Sans"/>
          <w:i w:val="0"/>
        </w:rPr>
        <w:t>Evidence: PoisonedCredentials.pcap</w:t>
      </w:r>
    </w:p>
    <w:p>
      <w:pPr>
        <w:spacing w:after="80"/>
        <w:jc w:val="center"/>
      </w:pPr>
      <w:r>
        <w:rPr>
          <w:rFonts w:ascii="DejaVu Sans" w:hAnsi="DejaVu Sans" w:eastAsia="DejaVu Sans"/>
          <w:i w:val="0"/>
        </w:rPr>
        <w:t>Prepared by Alaa Zahra</w:t>
      </w:r>
    </w:p>
    <w:p>
      <w:pPr>
        <w:spacing w:after="80"/>
        <w:jc w:val="center"/>
      </w:pPr>
      <w:r>
        <w:rPr>
          <w:rFonts w:ascii="DejaVu Sans" w:hAnsi="DejaVu Sans" w:eastAsia="DejaVu Sans"/>
          <w:i w:val="0"/>
        </w:rPr>
        <w:t>SOC Analyst Tier 1</w:t>
      </w:r>
    </w:p>
    <w:p>
      <w:pPr>
        <w:spacing w:after="80"/>
        <w:jc w:val="center"/>
      </w:pPr>
      <w:r>
        <w:rPr>
          <w:rFonts w:ascii="DejaVu Sans" w:hAnsi="DejaVu Sans" w:eastAsia="DejaVu Sans"/>
          <w:i w:val="0"/>
        </w:rPr>
        <w:t>1 October 2026</w:t>
      </w:r>
    </w:p>
    <w:p>
      <w:pPr>
        <w:spacing w:before="1944"/>
        <w:jc w:val="center"/>
      </w:pPr>
      <w:r>
        <w:rPr>
          <w:rFonts w:ascii="DejaVu Sans" w:hAnsi="DejaVu Sans" w:eastAsia="DejaVu Sans"/>
          <w:i/>
          <w:color w:val="4B5563"/>
          <w:sz w:val="19"/>
        </w:rPr>
        <w:t>Training-lab report based on the supplied packet capture</w:t>
      </w:r>
    </w:p>
    <w:p>
      <w:r>
        <w:br w:type="page"/>
      </w:r>
    </w:p>
    <w:p>
      <w:pPr>
        <w:pStyle w:val="Heading1"/>
      </w:pPr>
      <w:r>
        <w:t>Executive Summary</w:t>
      </w:r>
    </w:p>
    <w:p>
      <w:pPr>
        <w:spacing w:after="100"/>
      </w:pPr>
      <w:r>
        <w:rPr>
          <w:rFonts w:ascii="DejaVu Sans" w:hAnsi="DejaVu Sans" w:eastAsia="DejaVu Sans"/>
          <w:i w:val="0"/>
        </w:rPr>
        <w:t>The supplied packet capture records a local-network name-resolution poisoning incident. A workstation attempted to resolve a misspelled file-share name, which triggered NBNS and LLMNR fallback traffic. The host 192.168.232.215 answered the NBNS request and falsely claimed ownership of the requested name.</w:t>
      </w:r>
    </w:p>
    <w:p>
      <w:pPr>
        <w:spacing w:after="100"/>
      </w:pPr>
      <w:r>
        <w:rPr>
          <w:rFonts w:ascii="DejaVu Sans" w:hAnsi="DejaVu Sans" w:eastAsia="DejaVu Sans"/>
          <w:i w:val="0"/>
        </w:rPr>
        <w:t>Scope analysis showed that the same responder also sent forged replies to 192.168.232.176. Several minutes later, 192.168.232.215 initiated an SMB connection to that host and completed an NTLM authentication exchange using the domain identity cybercactus.local\janesmith. The NTLM challenge identified the SMB destination as AccountingPC.cybercactus.local.</w:t>
      </w:r>
    </w:p>
    <w:p>
      <w:pPr>
        <w:spacing w:after="100"/>
      </w:pPr>
      <w:r>
        <w:rPr>
          <w:rFonts w:ascii="DejaVu Sans" w:hAnsi="DejaVu Sans" w:eastAsia="DejaVu Sans"/>
          <w:i/>
        </w:rPr>
        <w:t>The evidence supports an assessment of NBNS/LLMNR poisoning followed by credential misuse and SMB access. The capture does not expose a plaintext password and does not conclusively distinguish between cracking, relaying, pass-the-hash, or another credential-acquisition method.</w:t>
      </w:r>
    </w:p>
    <w:p>
      <w:pPr>
        <w:pStyle w:val="Heading2"/>
      </w:pPr>
      <w:r>
        <w:t>Key Findings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12"/>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8"/>
              </w:rPr>
              <w:t>Question</w:t>
            </w:r>
          </w:p>
        </w:tc>
        <w:tc>
          <w:tcPr>
            <w:tcW w:type="dxa" w:w="6768"/>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8"/>
              </w:rPr>
              <w:t>Finding</w:t>
            </w:r>
          </w:p>
        </w:tc>
      </w:tr>
      <w:tr>
        <w:trPr>
          <w:cantSplit/>
        </w:trPr>
        <w:tc>
          <w:tcPr>
            <w:tcW w:type="dxa" w:w="331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8"/>
              </w:rPr>
              <w:t>Mistyped name</w:t>
            </w:r>
          </w:p>
        </w:tc>
        <w:tc>
          <w:tcPr>
            <w:tcW w:type="dxa" w:w="6768"/>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8"/>
              </w:rPr>
              <w:t>FILESHAARE</w:t>
            </w:r>
          </w:p>
        </w:tc>
      </w:tr>
      <w:tr>
        <w:trPr>
          <w:cantSplit/>
        </w:trPr>
        <w:tc>
          <w:tcPr>
            <w:tcW w:type="dxa" w:w="3312"/>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8"/>
              </w:rPr>
              <w:t>Rogue responder</w:t>
            </w:r>
          </w:p>
        </w:tc>
        <w:tc>
          <w:tcPr>
            <w:tcW w:type="dxa" w:w="6768"/>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8"/>
              </w:rPr>
              <w:t>192.168.232.215</w:t>
            </w:r>
          </w:p>
        </w:tc>
      </w:tr>
      <w:tr>
        <w:trPr>
          <w:cantSplit/>
        </w:trPr>
        <w:tc>
          <w:tcPr>
            <w:tcW w:type="dxa" w:w="331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8"/>
              </w:rPr>
              <w:t>Additional poisoned host</w:t>
            </w:r>
          </w:p>
        </w:tc>
        <w:tc>
          <w:tcPr>
            <w:tcW w:type="dxa" w:w="6768"/>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8"/>
              </w:rPr>
              <w:t>192.168.232.176</w:t>
            </w:r>
          </w:p>
        </w:tc>
      </w:tr>
      <w:tr>
        <w:trPr>
          <w:cantSplit/>
        </w:trPr>
        <w:tc>
          <w:tcPr>
            <w:tcW w:type="dxa" w:w="3312"/>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8"/>
              </w:rPr>
              <w:t>Compromised user</w:t>
            </w:r>
          </w:p>
        </w:tc>
        <w:tc>
          <w:tcPr>
            <w:tcW w:type="dxa" w:w="6768"/>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8"/>
              </w:rPr>
              <w:t>cybercactus.local\janesmith</w:t>
            </w:r>
          </w:p>
        </w:tc>
      </w:tr>
      <w:tr>
        <w:trPr>
          <w:cantSplit/>
        </w:trPr>
        <w:tc>
          <w:tcPr>
            <w:tcW w:type="dxa" w:w="331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8"/>
              </w:rPr>
              <w:t>SMB target</w:t>
            </w:r>
          </w:p>
        </w:tc>
        <w:tc>
          <w:tcPr>
            <w:tcW w:type="dxa" w:w="6768"/>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8"/>
              </w:rPr>
              <w:t>AccountingPC.cybercactus.local</w:t>
            </w:r>
          </w:p>
        </w:tc>
      </w:tr>
    </w:tbl>
    <w:p>
      <w:pPr>
        <w:spacing w:after="0"/>
      </w:pPr>
    </w:p>
    <w:p>
      <w:pPr>
        <w:pStyle w:val="Heading2"/>
      </w:pPr>
      <w:r>
        <w:t>Scope and Evidence</w:t>
      </w:r>
    </w:p>
    <w:p>
      <w:pPr>
        <w:pStyle w:val="ListBullet"/>
      </w:pPr>
      <w:r>
        <w:t>Evidence file: PoisonedCredentials.pcap</w:t>
      </w:r>
    </w:p>
    <w:p>
      <w:pPr>
        <w:pStyle w:val="ListBullet"/>
      </w:pPr>
      <w:r>
        <w:t>Packets analyzed: 269</w:t>
      </w:r>
    </w:p>
    <w:p>
      <w:pPr>
        <w:pStyle w:val="ListBullet"/>
      </w:pPr>
      <w:r>
        <w:t>Primary tool: Wireshark</w:t>
      </w:r>
    </w:p>
    <w:p>
      <w:pPr>
        <w:pStyle w:val="ListBullet"/>
      </w:pPr>
      <w:r>
        <w:t>Relevant protocols: NBNS, LLMNR, TCP, SMB2, and NTLMSSP</w:t>
      </w:r>
    </w:p>
    <w:p>
      <w:pPr>
        <w:pStyle w:val="ListBullet"/>
      </w:pPr>
      <w:r>
        <w:t>Timestamps: shown in the Wireshark display format used during the investigation</w:t>
      </w:r>
    </w:p>
    <w:p>
      <w:r>
        <w:br w:type="page"/>
      </w:r>
    </w:p>
    <w:p>
      <w:pPr>
        <w:pStyle w:val="Heading1"/>
      </w:pPr>
      <w:r>
        <w:t>Investigation Methodology</w:t>
      </w:r>
    </w:p>
    <w:p>
      <w:pPr>
        <w:spacing w:after="100"/>
      </w:pPr>
      <w:r>
        <w:rPr>
          <w:rFonts w:ascii="DejaVu Sans" w:hAnsi="DejaVu Sans" w:eastAsia="DejaVu Sans"/>
          <w:i w:val="0"/>
        </w:rPr>
        <w:t>The investigation followed an evidence-outward workflow: establish a protocol baseline, isolate suspicious fallback name resolution, identify the responding host, expand the victim scope, and correlate the responder with later SMB and NTLM activity.</w:t>
      </w:r>
    </w:p>
    <w:p>
      <w:pPr>
        <w:spacing w:after="60" w:line="252" w:lineRule="auto"/>
        <w:ind w:left="403" w:hanging="317"/>
      </w:pPr>
      <w:r>
        <w:rPr>
          <w:rFonts w:ascii="DejaVu Sans" w:hAnsi="DejaVu Sans" w:eastAsia="DejaVu Sans"/>
          <w:b/>
        </w:rPr>
        <w:t xml:space="preserve">1. </w:t>
      </w:r>
      <w:r>
        <w:rPr>
          <w:rFonts w:ascii="DejaVu Sans" w:hAnsi="DejaVu Sans" w:eastAsia="DejaVu Sans"/>
        </w:rPr>
        <w:t>Review protocol statistics before applying assumptions about the attack.</w:t>
      </w:r>
    </w:p>
    <w:p>
      <w:pPr>
        <w:spacing w:after="60" w:line="252" w:lineRule="auto"/>
        <w:ind w:left="403" w:hanging="317"/>
      </w:pPr>
      <w:r>
        <w:rPr>
          <w:rFonts w:ascii="DejaVu Sans" w:hAnsi="DejaVu Sans" w:eastAsia="DejaVu Sans"/>
          <w:b/>
        </w:rPr>
        <w:t xml:space="preserve">2. </w:t>
      </w:r>
      <w:r>
        <w:rPr>
          <w:rFonts w:ascii="DejaVu Sans" w:hAnsi="DejaVu Sans" w:eastAsia="DejaVu Sans"/>
        </w:rPr>
        <w:t>Filter the initially supplied workstation's NBNS and LLMNR traffic.</w:t>
      </w:r>
    </w:p>
    <w:p>
      <w:pPr>
        <w:spacing w:after="60" w:line="252" w:lineRule="auto"/>
        <w:ind w:left="403" w:hanging="317"/>
      </w:pPr>
      <w:r>
        <w:rPr>
          <w:rFonts w:ascii="DejaVu Sans" w:hAnsi="DejaVu Sans" w:eastAsia="DejaVu Sans"/>
          <w:b/>
        </w:rPr>
        <w:t xml:space="preserve">3. </w:t>
      </w:r>
      <w:r>
        <w:rPr>
          <w:rFonts w:ascii="DejaVu Sans" w:hAnsi="DejaVu Sans" w:eastAsia="DejaVu Sans"/>
        </w:rPr>
        <w:t>Identify the host sending forged NBNS responses.</w:t>
      </w:r>
    </w:p>
    <w:p>
      <w:pPr>
        <w:spacing w:after="60" w:line="252" w:lineRule="auto"/>
        <w:ind w:left="403" w:hanging="317"/>
      </w:pPr>
      <w:r>
        <w:rPr>
          <w:rFonts w:ascii="DejaVu Sans" w:hAnsi="DejaVu Sans" w:eastAsia="DejaVu Sans"/>
          <w:b/>
        </w:rPr>
        <w:t xml:space="preserve">4. </w:t>
      </w:r>
      <w:r>
        <w:rPr>
          <w:rFonts w:ascii="DejaVu Sans" w:hAnsi="DejaVu Sans" w:eastAsia="DejaVu Sans"/>
        </w:rPr>
        <w:t>Search for every destination that received replies from the same responder.</w:t>
      </w:r>
    </w:p>
    <w:p>
      <w:pPr>
        <w:spacing w:after="60" w:line="252" w:lineRule="auto"/>
        <w:ind w:left="403" w:hanging="317"/>
      </w:pPr>
      <w:r>
        <w:rPr>
          <w:rFonts w:ascii="DejaVu Sans" w:hAnsi="DejaVu Sans" w:eastAsia="DejaVu Sans"/>
          <w:b/>
        </w:rPr>
        <w:t xml:space="preserve">5. </w:t>
      </w:r>
      <w:r>
        <w:rPr>
          <w:rFonts w:ascii="DejaVu Sans" w:hAnsi="DejaVu Sans" w:eastAsia="DejaVu Sans"/>
        </w:rPr>
        <w:t>Pivot from the rogue IP to TCP port 445 and NTLMSSP traffic.</w:t>
      </w:r>
    </w:p>
    <w:p>
      <w:pPr>
        <w:spacing w:after="60" w:line="252" w:lineRule="auto"/>
        <w:ind w:left="403" w:hanging="317"/>
      </w:pPr>
      <w:r>
        <w:rPr>
          <w:rFonts w:ascii="DejaVu Sans" w:hAnsi="DejaVu Sans" w:eastAsia="DejaVu Sans"/>
          <w:b/>
        </w:rPr>
        <w:t xml:space="preserve">6. </w:t>
      </w:r>
      <w:r>
        <w:rPr>
          <w:rFonts w:ascii="DejaVu Sans" w:hAnsi="DejaVu Sans" w:eastAsia="DejaVu Sans"/>
        </w:rPr>
        <w:t>Read the client identity from NTLMSSP_AUTH and the server identity from NTLMSSP_CHALLENGE.</w:t>
      </w:r>
    </w:p>
    <w:p>
      <w:pPr>
        <w:pStyle w:val="Heading2"/>
      </w:pPr>
      <w:r>
        <w:t>Protocol Baseline</w:t>
      </w:r>
    </w:p>
    <w:p>
      <w:pPr>
        <w:spacing w:after="100"/>
      </w:pPr>
      <w:r>
        <w:rPr>
          <w:rFonts w:ascii="DejaVu Sans" w:hAnsi="DejaVu Sans" w:eastAsia="DejaVu Sans"/>
          <w:i w:val="0"/>
        </w:rPr>
        <w:t>Wireshark's Protocol Hierarchy Statistics showed NBNS and LLMNR alongside NetBIOS Session Service, SMB, and SMB2. This combination is significant because unresolved Windows names can fall back to multicast or broadcast protocols, and an unauthorized responder can redirect the victim to an authentication-capable service such as SMB.</w:t>
      </w:r>
    </w:p>
    <w:p>
      <w:pPr>
        <w:spacing w:before="60" w:after="40"/>
        <w:jc w:val="center"/>
      </w:pPr>
      <w:r>
        <w:drawing>
          <wp:inline xmlns:a="http://schemas.openxmlformats.org/drawingml/2006/main" xmlns:pic="http://schemas.openxmlformats.org/drawingml/2006/picture">
            <wp:extent cx="6172200" cy="3115093"/>
            <wp:docPr id="1" name="Picture 1" title="Figure 1. Protocol hierarchy for the 269-packet capture." descr="Wireshark Protocol Hierarchy window showing NBNS, LLMNR, NetBIOS Session Service, SMB, and SMB2 traffic."/>
            <wp:cNvGraphicFramePr>
              <a:graphicFrameLocks noChangeAspect="1"/>
            </wp:cNvGraphicFramePr>
            <a:graphic>
              <a:graphicData uri="http://schemas.openxmlformats.org/drawingml/2006/picture">
                <pic:pic>
                  <pic:nvPicPr>
                    <pic:cNvPr id="0" name="01-protocol-hierarchy.png"/>
                    <pic:cNvPicPr/>
                  </pic:nvPicPr>
                  <pic:blipFill>
                    <a:blip r:embed="rId11"/>
                    <a:stretch>
                      <a:fillRect/>
                    </a:stretch>
                  </pic:blipFill>
                  <pic:spPr>
                    <a:xfrm>
                      <a:off x="0" y="0"/>
                      <a:ext cx="6172200" cy="3115093"/>
                    </a:xfrm>
                    <a:prstGeom prst="rect"/>
                  </pic:spPr>
                </pic:pic>
              </a:graphicData>
            </a:graphic>
          </wp:inline>
        </w:drawing>
      </w:r>
    </w:p>
    <w:p>
      <w:pPr>
        <w:keepNext/>
        <w:spacing w:after="100"/>
        <w:jc w:val="center"/>
      </w:pPr>
      <w:r>
        <w:rPr>
          <w:rFonts w:ascii="DejaVu Sans" w:hAnsi="DejaVu Sans" w:eastAsia="DejaVu Sans"/>
          <w:i/>
          <w:color w:val="4B5563"/>
          <w:sz w:val="17"/>
        </w:rPr>
        <w:t>Figure 1. Protocol hierarchy for the 269-packet capture.</w:t>
      </w:r>
    </w:p>
    <w:p>
      <w:r>
        <w:br w:type="page"/>
      </w:r>
    </w:p>
    <w:p>
      <w:pPr>
        <w:pStyle w:val="Heading1"/>
      </w:pPr>
      <w:r>
        <w:t>Finding 1  Mistyped Name Query</w:t>
      </w:r>
    </w:p>
    <w:p>
      <w:pPr>
        <w:spacing w:after="100"/>
      </w:pPr>
      <w:r>
        <w:rPr>
          <w:rFonts w:ascii="DejaVu Sans" w:hAnsi="DejaVu Sans" w:eastAsia="DejaVu Sans"/>
          <w:i w:val="0"/>
        </w:rPr>
        <w:t>The investigation began with the initially identified workstation, 192.168.232.162. Its outbound NBNS and LLMNR requests were isolated to determine which unresolved name triggered the activity.</w:t>
      </w:r>
    </w:p>
    <w:p>
      <w:pPr>
        <w:pStyle w:val="Heading2"/>
      </w:pPr>
      <w:r>
        <w:t>Wireshark Filter</w:t>
      </w:r>
    </w:p>
    <w:p>
      <w:pPr>
        <w:spacing w:before="40" w:after="120"/>
        <w:ind w:left="360" w:right="173"/>
        <w:shd w:fill="F3F4F6"/>
      </w:pPr>
      <w:r>
        <w:rPr>
          <w:rFonts w:ascii="DejaVu Sans Mono" w:hAnsi="DejaVu Sans Mono" w:eastAsia="DejaVu Sans Mono"/>
          <w:color w:val="111827"/>
          <w:sz w:val="18"/>
        </w:rPr>
        <w:t>ip.src == 192.168.232.162 &amp;&amp; (nbns || llmnr)</w:t>
      </w:r>
    </w:p>
    <w:p>
      <w:pPr>
        <w:spacing w:after="100"/>
      </w:pPr>
      <w:r>
        <w:rPr>
          <w:rFonts w:ascii="DejaVu Sans" w:hAnsi="DejaVu Sans" w:eastAsia="DejaVu Sans"/>
          <w:i w:val="0"/>
        </w:rPr>
        <w:t>The result contained a NetBIOS name query for FILESHAARE&lt;20&gt; and LLMNR queries for the equivalent lowercase name. The spelling includes an extra A. The &lt;20&gt; suffix identifies the NetBIOS file-server service, so this was an attempted file-share lookup rather than a general workstation-name lookup.</w:t>
      </w:r>
    </w:p>
    <w:p>
      <w:pPr>
        <w:spacing w:after="100"/>
      </w:pPr>
      <w:r>
        <w:rPr>
          <w:rFonts w:ascii="DejaVu Sans" w:hAnsi="DejaVu Sans" w:eastAsia="DejaVu Sans"/>
          <w:i w:val="0"/>
        </w:rPr>
        <w:t>LLMNR sent its IPv4 request to multicast address 224.0.0.252 on UDP port 5355. NBNS used subnet broadcast on UDP port 137. Both mechanisms allowed any listening host on the local segment to respond.</w:t>
      </w:r>
    </w:p>
    <w:p>
      <w:pPr>
        <w:spacing w:before="60" w:after="40"/>
        <w:jc w:val="center"/>
      </w:pPr>
      <w:r>
        <w:drawing>
          <wp:inline xmlns:a="http://schemas.openxmlformats.org/drawingml/2006/main" xmlns:pic="http://schemas.openxmlformats.org/drawingml/2006/picture">
            <wp:extent cx="6172200" cy="2923504"/>
            <wp:docPr id="2" name="Picture 2" title="Figure 2. NBNS and LLMNR requests for the misspelled file-share name." descr="Wireshark display showing traffic from 192.168.232.162 and the queried name FILESHAARE."/>
            <wp:cNvGraphicFramePr>
              <a:graphicFrameLocks noChangeAspect="1"/>
            </wp:cNvGraphicFramePr>
            <a:graphic>
              <a:graphicData uri="http://schemas.openxmlformats.org/drawingml/2006/picture">
                <pic:pic>
                  <pic:nvPicPr>
                    <pic:cNvPr id="0" name="02-mistyped-name-query.png"/>
                    <pic:cNvPicPr/>
                  </pic:nvPicPr>
                  <pic:blipFill>
                    <a:blip r:embed="rId12"/>
                    <a:stretch>
                      <a:fillRect/>
                    </a:stretch>
                  </pic:blipFill>
                  <pic:spPr>
                    <a:xfrm>
                      <a:off x="0" y="0"/>
                      <a:ext cx="6172200" cy="2923504"/>
                    </a:xfrm>
                    <a:prstGeom prst="rect"/>
                  </pic:spPr>
                </pic:pic>
              </a:graphicData>
            </a:graphic>
          </wp:inline>
        </w:drawing>
      </w:r>
    </w:p>
    <w:p>
      <w:pPr>
        <w:keepNext/>
        <w:spacing w:after="100"/>
        <w:jc w:val="center"/>
      </w:pPr>
      <w:r>
        <w:rPr>
          <w:rFonts w:ascii="DejaVu Sans" w:hAnsi="DejaVu Sans" w:eastAsia="DejaVu Sans"/>
          <w:i/>
          <w:color w:val="4B5563"/>
          <w:sz w:val="17"/>
        </w:rPr>
        <w:t>Figure 2. NBNS and LLMNR requests for the misspelled file-share name.</w:t>
      </w:r>
    </w:p>
    <w:p>
      <w:pPr>
        <w:spacing w:before="60" w:after="60"/>
      </w:pPr>
      <w:r>
        <w:rPr>
          <w:rFonts w:ascii="DejaVu Sans" w:hAnsi="DejaVu Sans" w:eastAsia="DejaVu Sans"/>
          <w:b/>
          <w:color w:val="0F4C81"/>
        </w:rPr>
        <w:t xml:space="preserve">Finding: </w:t>
      </w:r>
      <w:r>
        <w:rPr>
          <w:rFonts w:ascii="DejaVu Sans Mono" w:hAnsi="DejaVu Sans Mono" w:eastAsia="DejaVu Sans Mono"/>
          <w:b/>
        </w:rPr>
        <w:t>FILESHAARE</w:t>
      </w:r>
    </w:p>
    <w:p>
      <w:r>
        <w:br w:type="page"/>
      </w:r>
    </w:p>
    <w:p>
      <w:pPr>
        <w:pStyle w:val="Heading1"/>
      </w:pPr>
      <w:r>
        <w:t>Finding 2  Rogue NBNS Responder</w:t>
      </w:r>
    </w:p>
    <w:p>
      <w:pPr>
        <w:spacing w:after="100"/>
      </w:pPr>
      <w:r>
        <w:rPr>
          <w:rFonts w:ascii="DejaVu Sans" w:hAnsi="DejaVu Sans" w:eastAsia="DejaVu Sans"/>
          <w:i w:val="0"/>
        </w:rPr>
        <w:t>To identify the system that answered the unresolved query, the analysis focused on NBNS response packets sent back to the initial workstation.</w:t>
      </w:r>
    </w:p>
    <w:p>
      <w:pPr>
        <w:pStyle w:val="Heading2"/>
      </w:pPr>
      <w:r>
        <w:t>Wireshark Filter</w:t>
      </w:r>
    </w:p>
    <w:p>
      <w:pPr>
        <w:spacing w:before="40" w:after="120"/>
        <w:ind w:left="360" w:right="173"/>
        <w:shd w:fill="F3F4F6"/>
      </w:pPr>
      <w:r>
        <w:rPr>
          <w:rFonts w:ascii="DejaVu Sans Mono" w:hAnsi="DejaVu Sans Mono" w:eastAsia="DejaVu Sans Mono"/>
          <w:color w:val="111827"/>
          <w:sz w:val="18"/>
        </w:rPr>
        <w:t>nbns.flags.response == 1 &amp;&amp; ip.dst == 192.168.232.162</w:t>
      </w:r>
    </w:p>
    <w:p>
      <w:pPr>
        <w:spacing w:after="100"/>
      </w:pPr>
      <w:r>
        <w:rPr>
          <w:rFonts w:ascii="DejaVu Sans" w:hAnsi="DejaVu Sans" w:eastAsia="DejaVu Sans"/>
          <w:i w:val="0"/>
        </w:rPr>
        <w:t>The returned packet originated from 192.168.232.215 and advertised that same address as the resolution for FILESHAARE&lt;20&gt;. Because the host answered a misspelled, non-authoritative name with its own address, the response is consistent with NBNS poisoning.</w:t>
      </w:r>
    </w:p>
    <w:p>
      <w:pPr>
        <w:spacing w:after="100"/>
      </w:pPr>
      <w:r>
        <w:rPr>
          <w:rFonts w:ascii="DejaVu Sans" w:hAnsi="DejaVu Sans" w:eastAsia="DejaVu Sans"/>
          <w:i w:val="0"/>
        </w:rPr>
        <w:t>The response arrived approximately one millisecond after the query, a pattern that is common when a local poisoning tool is waiting to answer broadcast resolution requests.</w:t>
      </w:r>
    </w:p>
    <w:p>
      <w:pPr>
        <w:spacing w:before="60" w:after="40"/>
        <w:jc w:val="center"/>
      </w:pPr>
      <w:r>
        <w:drawing>
          <wp:inline xmlns:a="http://schemas.openxmlformats.org/drawingml/2006/main" xmlns:pic="http://schemas.openxmlformats.org/drawingml/2006/picture">
            <wp:extent cx="6172200" cy="2917065"/>
            <wp:docPr id="3" name="Picture 3" title="Figure 3. Forged NBNS response sent to the initial victim." descr="Wireshark display showing an NBNS response from 192.168.232.215 to 192.168.232.162."/>
            <wp:cNvGraphicFramePr>
              <a:graphicFrameLocks noChangeAspect="1"/>
            </wp:cNvGraphicFramePr>
            <a:graphic>
              <a:graphicData uri="http://schemas.openxmlformats.org/drawingml/2006/picture">
                <pic:pic>
                  <pic:nvPicPr>
                    <pic:cNvPr id="0" name="03-nbns-poisoned-response.png"/>
                    <pic:cNvPicPr/>
                  </pic:nvPicPr>
                  <pic:blipFill>
                    <a:blip r:embed="rId13"/>
                    <a:stretch>
                      <a:fillRect/>
                    </a:stretch>
                  </pic:blipFill>
                  <pic:spPr>
                    <a:xfrm>
                      <a:off x="0" y="0"/>
                      <a:ext cx="6172200" cy="2917065"/>
                    </a:xfrm>
                    <a:prstGeom prst="rect"/>
                  </pic:spPr>
                </pic:pic>
              </a:graphicData>
            </a:graphic>
          </wp:inline>
        </w:drawing>
      </w:r>
    </w:p>
    <w:p>
      <w:pPr>
        <w:keepNext/>
        <w:spacing w:after="100"/>
        <w:jc w:val="center"/>
      </w:pPr>
      <w:r>
        <w:rPr>
          <w:rFonts w:ascii="DejaVu Sans" w:hAnsi="DejaVu Sans" w:eastAsia="DejaVu Sans"/>
          <w:i/>
          <w:color w:val="4B5563"/>
          <w:sz w:val="17"/>
        </w:rPr>
        <w:t>Figure 3. Forged NBNS response sent to the initial victim.</w:t>
      </w:r>
    </w:p>
    <w:p>
      <w:pPr>
        <w:spacing w:before="60" w:after="60"/>
      </w:pPr>
      <w:r>
        <w:rPr>
          <w:rFonts w:ascii="DejaVu Sans" w:hAnsi="DejaVu Sans" w:eastAsia="DejaVu Sans"/>
          <w:b/>
          <w:color w:val="0F4C81"/>
        </w:rPr>
        <w:t xml:space="preserve">Rogue responder: </w:t>
      </w:r>
      <w:r>
        <w:rPr>
          <w:rFonts w:ascii="DejaVu Sans Mono" w:hAnsi="DejaVu Sans Mono" w:eastAsia="DejaVu Sans Mono"/>
          <w:b/>
        </w:rPr>
        <w:t>192.168.232.215</w:t>
      </w:r>
    </w:p>
    <w:p>
      <w:r>
        <w:br w:type="page"/>
      </w:r>
    </w:p>
    <w:p>
      <w:pPr>
        <w:pStyle w:val="Heading1"/>
      </w:pPr>
      <w:r>
        <w:t>Finding 3  Additional Poisoned Host</w:t>
      </w:r>
    </w:p>
    <w:p>
      <w:pPr>
        <w:spacing w:after="100"/>
      </w:pPr>
      <w:r>
        <w:rPr>
          <w:rFonts w:ascii="DejaVu Sans" w:hAnsi="DejaVu Sans" w:eastAsia="DejaVu Sans"/>
          <w:i w:val="0"/>
        </w:rPr>
        <w:t>A single endpoint report does not define the full incident scope. The responder was therefore treated as the pivot, and every NBNS response from that address was reviewed.</w:t>
      </w:r>
    </w:p>
    <w:p>
      <w:pPr>
        <w:pStyle w:val="Heading2"/>
      </w:pPr>
      <w:r>
        <w:t>Wireshark Filter</w:t>
      </w:r>
    </w:p>
    <w:p>
      <w:pPr>
        <w:spacing w:before="40" w:after="120"/>
        <w:ind w:left="360" w:right="173"/>
        <w:shd w:fill="F3F4F6"/>
      </w:pPr>
      <w:r>
        <w:rPr>
          <w:rFonts w:ascii="DejaVu Sans Mono" w:hAnsi="DejaVu Sans Mono" w:eastAsia="DejaVu Sans Mono"/>
          <w:color w:val="111827"/>
          <w:sz w:val="18"/>
        </w:rPr>
        <w:t>nbns.flags.response == 1 &amp;&amp; ip.src == 192.168.232.215</w:t>
      </w:r>
    </w:p>
    <w:p>
      <w:pPr>
        <w:spacing w:after="100"/>
      </w:pPr>
      <w:r>
        <w:rPr>
          <w:rFonts w:ascii="DejaVu Sans" w:hAnsi="DejaVu Sans" w:eastAsia="DejaVu Sans"/>
          <w:i w:val="0"/>
        </w:rPr>
        <w:t>The result showed forged replies to both 192.168.232.162 and 192.168.232.176. This confirms that the poisoning behavior was not limited to the initially supplied victim.</w:t>
      </w:r>
    </w:p>
    <w:p>
      <w:pPr>
        <w:spacing w:after="100"/>
      </w:pPr>
      <w:r>
        <w:rPr>
          <w:rFonts w:ascii="DejaVu Sans" w:hAnsi="DejaVu Sans" w:eastAsia="DejaVu Sans"/>
          <w:i w:val="0"/>
        </w:rPr>
        <w:t>The distinction matters operationally: the first host revealed the activity, while the second host became the target of the later SMB connection.</w:t>
      </w:r>
    </w:p>
    <w:p>
      <w:pPr>
        <w:spacing w:before="60" w:after="40"/>
        <w:jc w:val="center"/>
      </w:pPr>
      <w:r>
        <w:drawing>
          <wp:inline xmlns:a="http://schemas.openxmlformats.org/drawingml/2006/main" xmlns:pic="http://schemas.openxmlformats.org/drawingml/2006/picture">
            <wp:extent cx="6172200" cy="2939143"/>
            <wp:docPr id="4" name="Picture 4" title="Figure 4. NBNS responses from the rogue host to multiple internal systems." descr="Wireshark display showing NBNS responses from 192.168.232.215 to 192.168.232.162 and 192.168.232.176."/>
            <wp:cNvGraphicFramePr>
              <a:graphicFrameLocks noChangeAspect="1"/>
            </wp:cNvGraphicFramePr>
            <a:graphic>
              <a:graphicData uri="http://schemas.openxmlformats.org/drawingml/2006/picture">
                <pic:pic>
                  <pic:nvPicPr>
                    <pic:cNvPr id="0" name="04-poisoned-victims.png"/>
                    <pic:cNvPicPr/>
                  </pic:nvPicPr>
                  <pic:blipFill>
                    <a:blip r:embed="rId14"/>
                    <a:stretch>
                      <a:fillRect/>
                    </a:stretch>
                  </pic:blipFill>
                  <pic:spPr>
                    <a:xfrm>
                      <a:off x="0" y="0"/>
                      <a:ext cx="6172200" cy="2939143"/>
                    </a:xfrm>
                    <a:prstGeom prst="rect"/>
                  </pic:spPr>
                </pic:pic>
              </a:graphicData>
            </a:graphic>
          </wp:inline>
        </w:drawing>
      </w:r>
    </w:p>
    <w:p>
      <w:pPr>
        <w:keepNext/>
        <w:spacing w:after="100"/>
        <w:jc w:val="center"/>
      </w:pPr>
      <w:r>
        <w:rPr>
          <w:rFonts w:ascii="DejaVu Sans" w:hAnsi="DejaVu Sans" w:eastAsia="DejaVu Sans"/>
          <w:i/>
          <w:color w:val="4B5563"/>
          <w:sz w:val="17"/>
        </w:rPr>
        <w:t>Figure 4. NBNS responses from the rogue host to multiple internal systems.</w:t>
      </w:r>
    </w:p>
    <w:p>
      <w:pPr>
        <w:spacing w:before="60" w:after="60"/>
      </w:pPr>
      <w:r>
        <w:rPr>
          <w:rFonts w:ascii="DejaVu Sans" w:hAnsi="DejaVu Sans" w:eastAsia="DejaVu Sans"/>
          <w:b/>
          <w:color w:val="0F4C81"/>
        </w:rPr>
        <w:t xml:space="preserve">Additional poisoned host: </w:t>
      </w:r>
      <w:r>
        <w:rPr>
          <w:rFonts w:ascii="DejaVu Sans Mono" w:hAnsi="DejaVu Sans Mono" w:eastAsia="DejaVu Sans Mono"/>
          <w:b/>
        </w:rPr>
        <w:t>192.168.232.176</w:t>
      </w:r>
    </w:p>
    <w:p>
      <w:r>
        <w:br w:type="page"/>
      </w:r>
    </w:p>
    <w:p>
      <w:pPr>
        <w:pStyle w:val="Heading1"/>
      </w:pPr>
      <w:r>
        <w:t>Finding 4  Compromised User Identity</w:t>
      </w:r>
    </w:p>
    <w:p>
      <w:pPr>
        <w:spacing w:after="100"/>
      </w:pPr>
      <w:r>
        <w:rPr>
          <w:rFonts w:ascii="DejaVu Sans" w:hAnsi="DejaVu Sans" w:eastAsia="DejaVu Sans"/>
          <w:i w:val="0"/>
        </w:rPr>
        <w:t>The investigation then pivoted from poisoning traffic to SMB activity involving the rogue host. The objective was to determine whether name-resolution manipulation was followed by authenticated access.</w:t>
      </w:r>
    </w:p>
    <w:p>
      <w:pPr>
        <w:pStyle w:val="Heading2"/>
      </w:pPr>
      <w:r>
        <w:t>Wireshark Filter</w:t>
      </w:r>
    </w:p>
    <w:p>
      <w:pPr>
        <w:spacing w:before="40" w:after="120"/>
        <w:ind w:left="360" w:right="173"/>
        <w:shd w:fill="F3F4F6"/>
      </w:pPr>
      <w:r>
        <w:rPr>
          <w:rFonts w:ascii="DejaVu Sans Mono" w:hAnsi="DejaVu Sans Mono" w:eastAsia="DejaVu Sans Mono"/>
          <w:color w:val="111827"/>
          <w:sz w:val="18"/>
        </w:rPr>
        <w:t>ip.addr == 192.168.232.215 &amp;&amp; tcp.port == 445</w:t>
      </w:r>
    </w:p>
    <w:p>
      <w:pPr>
        <w:spacing w:after="100"/>
      </w:pPr>
      <w:r>
        <w:rPr>
          <w:rFonts w:ascii="DejaVu Sans" w:hAnsi="DejaVu Sans" w:eastAsia="DejaVu Sans"/>
          <w:i w:val="0"/>
        </w:rPr>
        <w:t>The packet sequence showed 192.168.232.215 initiating TCP to 192.168.232.176:445, negotiating SMB, and completing the NTLM message sequence. Frame 242 was an NTLMSSP_AUTH message sent from the rogue host to the SMB target. Its Info column identified the account as cybercactus.local\janesmith.</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6"/>
              </w:rPr>
              <w:t>Step</w:t>
            </w:r>
          </w:p>
        </w:tc>
        <w:tc>
          <w:tcPr>
            <w:tcW w:type="dxa" w:w="2232"/>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6"/>
              </w:rPr>
              <w:t>Direction</w:t>
            </w:r>
          </w:p>
        </w:tc>
        <w:tc>
          <w:tcPr>
            <w:tcW w:type="dxa" w:w="5616"/>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6"/>
              </w:rPr>
              <w:t>Evidence</w:t>
            </w:r>
          </w:p>
        </w:tc>
      </w:tr>
      <w:tr>
        <w:trPr>
          <w:cantSplit/>
        </w:trPr>
        <w:tc>
          <w:tcPr>
            <w:tcW w:type="dxa" w:w="223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TCP connection</w:t>
            </w:r>
          </w:p>
        </w:tc>
        <w:tc>
          <w:tcPr>
            <w:tcW w:type="dxa" w:w="223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.215 → .176:445</w:t>
            </w:r>
          </w:p>
        </w:tc>
        <w:tc>
          <w:tcPr>
            <w:tcW w:type="dxa" w:w="5616"/>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SYN followed by SYN/ACK</w:t>
            </w:r>
          </w:p>
        </w:tc>
      </w:tr>
      <w:tr>
        <w:trPr>
          <w:cantSplit/>
        </w:trPr>
        <w:tc>
          <w:tcPr>
            <w:tcW w:type="dxa" w:w="2232"/>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SMB negotiation</w:t>
            </w:r>
          </w:p>
        </w:tc>
        <w:tc>
          <w:tcPr>
            <w:tcW w:type="dxa" w:w="2232"/>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.215 ↔ .176</w:t>
            </w:r>
          </w:p>
        </w:tc>
        <w:tc>
          <w:tcPr>
            <w:tcW w:type="dxa" w:w="5616"/>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Negotiate request and response</w:t>
            </w:r>
          </w:p>
        </w:tc>
      </w:tr>
      <w:tr>
        <w:trPr>
          <w:cantSplit/>
        </w:trPr>
        <w:tc>
          <w:tcPr>
            <w:tcW w:type="dxa" w:w="223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NTLM negotiate</w:t>
            </w:r>
          </w:p>
        </w:tc>
        <w:tc>
          <w:tcPr>
            <w:tcW w:type="dxa" w:w="223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.215 → .176</w:t>
            </w:r>
          </w:p>
        </w:tc>
        <w:tc>
          <w:tcPr>
            <w:tcW w:type="dxa" w:w="5616"/>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NTLMSSP_NEGOTIATE</w:t>
            </w:r>
          </w:p>
        </w:tc>
      </w:tr>
      <w:tr>
        <w:trPr>
          <w:cantSplit/>
        </w:trPr>
        <w:tc>
          <w:tcPr>
            <w:tcW w:type="dxa" w:w="2232"/>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NTLM challenge</w:t>
            </w:r>
          </w:p>
        </w:tc>
        <w:tc>
          <w:tcPr>
            <w:tcW w:type="dxa" w:w="2232"/>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.176 → .215</w:t>
            </w:r>
          </w:p>
        </w:tc>
        <w:tc>
          <w:tcPr>
            <w:tcW w:type="dxa" w:w="5616"/>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NTLMSSP_CHALLENGE</w:t>
            </w:r>
          </w:p>
        </w:tc>
      </w:tr>
      <w:tr>
        <w:trPr>
          <w:cantSplit/>
        </w:trPr>
        <w:tc>
          <w:tcPr>
            <w:tcW w:type="dxa" w:w="223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NTLM authenticate</w:t>
            </w:r>
          </w:p>
        </w:tc>
        <w:tc>
          <w:tcPr>
            <w:tcW w:type="dxa" w:w="223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.215 → .176</w:t>
            </w:r>
          </w:p>
        </w:tc>
        <w:tc>
          <w:tcPr>
            <w:tcW w:type="dxa" w:w="5616"/>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cybercactus.local\janesmith</w:t>
            </w:r>
          </w:p>
        </w:tc>
      </w:tr>
    </w:tbl>
    <w:p>
      <w:pPr>
        <w:spacing w:after="0"/>
      </w:pPr>
    </w:p>
    <w:p>
      <w:pPr>
        <w:spacing w:before="60" w:after="40"/>
        <w:jc w:val="center"/>
      </w:pPr>
      <w:r>
        <w:drawing>
          <wp:inline xmlns:a="http://schemas.openxmlformats.org/drawingml/2006/main" xmlns:pic="http://schemas.openxmlformats.org/drawingml/2006/picture">
            <wp:extent cx="5897880" cy="2791951"/>
            <wp:docPr id="5" name="Picture 5" title="Figure 5. SMB and NTLM authentication sequence involving the rogue host." descr="Wireshark display showing SMB negotiation and NTLM authentication, including user cybercactus.local backslash janesmith."/>
            <wp:cNvGraphicFramePr>
              <a:graphicFrameLocks noChangeAspect="1"/>
            </wp:cNvGraphicFramePr>
            <a:graphic>
              <a:graphicData uri="http://schemas.openxmlformats.org/drawingml/2006/picture">
                <pic:pic>
                  <pic:nvPicPr>
                    <pic:cNvPr id="0" name="05-smb-ntlm-authentication.png"/>
                    <pic:cNvPicPr/>
                  </pic:nvPicPr>
                  <pic:blipFill>
                    <a:blip r:embed="rId15"/>
                    <a:stretch>
                      <a:fillRect/>
                    </a:stretch>
                  </pic:blipFill>
                  <pic:spPr>
                    <a:xfrm>
                      <a:off x="0" y="0"/>
                      <a:ext cx="5897880" cy="2791951"/>
                    </a:xfrm>
                    <a:prstGeom prst="rect"/>
                  </pic:spPr>
                </pic:pic>
              </a:graphicData>
            </a:graphic>
          </wp:inline>
        </w:drawing>
      </w:r>
    </w:p>
    <w:p>
      <w:pPr>
        <w:keepNext/>
        <w:spacing w:after="100"/>
        <w:jc w:val="center"/>
      </w:pPr>
      <w:r>
        <w:rPr>
          <w:rFonts w:ascii="DejaVu Sans" w:hAnsi="DejaVu Sans" w:eastAsia="DejaVu Sans"/>
          <w:i/>
          <w:color w:val="4B5563"/>
          <w:sz w:val="17"/>
        </w:rPr>
        <w:t>Figure 5. SMB and NTLM authentication sequence involving the rogue host.</w:t>
      </w:r>
    </w:p>
    <w:p>
      <w:pPr>
        <w:spacing w:before="60" w:after="60"/>
      </w:pPr>
      <w:r>
        <w:rPr>
          <w:rFonts w:ascii="DejaVu Sans" w:hAnsi="DejaVu Sans" w:eastAsia="DejaVu Sans"/>
          <w:b/>
          <w:color w:val="0F4C81"/>
        </w:rPr>
        <w:t xml:space="preserve">Compromised username: </w:t>
      </w:r>
      <w:r>
        <w:rPr>
          <w:rFonts w:ascii="DejaVu Sans Mono" w:hAnsi="DejaVu Sans Mono" w:eastAsia="DejaVu Sans Mono"/>
          <w:b/>
        </w:rPr>
        <w:t>janesmith</w:t>
      </w:r>
    </w:p>
    <w:p>
      <w:pPr>
        <w:pStyle w:val="Heading2"/>
      </w:pPr>
      <w:r>
        <w:t>Interpretation Limitation</w:t>
      </w:r>
    </w:p>
    <w:p>
      <w:pPr>
        <w:spacing w:after="100"/>
      </w:pPr>
      <w:r>
        <w:rPr>
          <w:rFonts w:ascii="DejaVu Sans" w:hAnsi="DejaVu Sans" w:eastAsia="DejaVu Sans"/>
          <w:i w:val="0"/>
        </w:rPr>
        <w:t>The username appears in a client-to-server authentication message because 192.168.232.215 is acting as the SMB client in this later connection. The PCAP proves that the identity was used or relayed; it does not reveal a plaintext password or conclusively prove the credential-acquisition technique.</w:t>
      </w:r>
    </w:p>
    <w:p>
      <w:r>
        <w:br w:type="page"/>
      </w:r>
    </w:p>
    <w:p>
      <w:pPr>
        <w:pStyle w:val="Heading1"/>
      </w:pPr>
      <w:r>
        <w:t>Finding 5  SMB Target Hostname</w:t>
      </w:r>
    </w:p>
    <w:p>
      <w:pPr>
        <w:spacing w:after="100"/>
      </w:pPr>
      <w:r>
        <w:rPr>
          <w:rFonts w:ascii="DejaVu Sans" w:hAnsi="DejaVu Sans" w:eastAsia="DejaVu Sans"/>
          <w:i w:val="0"/>
        </w:rPr>
        <w:t>The server-side NTLMSSP_CHALLENGE packet contains target information that identifies the destination independently of its IP address. Packet 241 was expanded under SMB2 Session Setup Response, Security Blob, NTLM Secure Service Provider, and Target Info.</w:t>
      </w:r>
    </w:p>
    <w:p>
      <w:pPr>
        <w:spacing w:before="40" w:after="120"/>
        <w:ind w:left="360" w:right="173"/>
        <w:shd w:fill="F3F4F6"/>
      </w:pPr>
      <w:r>
        <w:rPr>
          <w:rFonts w:ascii="DejaVu Sans Mono" w:hAnsi="DejaVu Sans Mono" w:eastAsia="DejaVu Sans Mono"/>
          <w:color w:val="111827"/>
          <w:sz w:val="18"/>
        </w:rPr>
        <w:t>NetBIOS computer name: ACCOUNTINGPC</w:t>
      </w:r>
      <w:r>
        <w:br/>
      </w:r>
      <w:r>
        <w:rPr>
          <w:rFonts w:ascii="DejaVu Sans Mono" w:hAnsi="DejaVu Sans Mono" w:eastAsia="DejaVu Sans Mono"/>
          <w:color w:val="111827"/>
          <w:sz w:val="18"/>
        </w:rPr>
        <w:t>DNS computer name: AccountingPC.cybercactus.local</w:t>
      </w:r>
    </w:p>
    <w:p>
      <w:pPr>
        <w:spacing w:after="100"/>
      </w:pPr>
      <w:r>
        <w:rPr>
          <w:rFonts w:ascii="DejaVu Sans" w:hAnsi="DejaVu Sans" w:eastAsia="DejaVu Sans"/>
          <w:i w:val="0"/>
        </w:rPr>
        <w:t>The NetBIOS value is shown in uppercase because NetBIOS names are case-insensitive. The DNS value provides the full host identity inside the cybercactus.local domain.</w:t>
      </w:r>
    </w:p>
    <w:p>
      <w:pPr>
        <w:spacing w:before="60" w:after="40"/>
        <w:jc w:val="center"/>
      </w:pPr>
      <w:r>
        <w:drawing>
          <wp:inline xmlns:a="http://schemas.openxmlformats.org/drawingml/2006/main" xmlns:pic="http://schemas.openxmlformats.org/drawingml/2006/picture">
            <wp:extent cx="6172200" cy="2920111"/>
            <wp:docPr id="6" name="Picture 6" title="Figure 6. NTLM target information identifying the SMB destination." descr="Wireshark packet details showing NetBIOS computer name ACCOUNTINGPC and DNS computer name AccountingPC.cybercactus.local."/>
            <wp:cNvGraphicFramePr>
              <a:graphicFrameLocks noChangeAspect="1"/>
            </wp:cNvGraphicFramePr>
            <a:graphic>
              <a:graphicData uri="http://schemas.openxmlformats.org/drawingml/2006/picture">
                <pic:pic>
                  <pic:nvPicPr>
                    <pic:cNvPr id="0" name="06-smb-target-hostname.png"/>
                    <pic:cNvPicPr/>
                  </pic:nvPicPr>
                  <pic:blipFill>
                    <a:blip r:embed="rId16"/>
                    <a:stretch>
                      <a:fillRect/>
                    </a:stretch>
                  </pic:blipFill>
                  <pic:spPr>
                    <a:xfrm>
                      <a:off x="0" y="0"/>
                      <a:ext cx="6172200" cy="2920111"/>
                    </a:xfrm>
                    <a:prstGeom prst="rect"/>
                  </pic:spPr>
                </pic:pic>
              </a:graphicData>
            </a:graphic>
          </wp:inline>
        </w:drawing>
      </w:r>
    </w:p>
    <w:p>
      <w:pPr>
        <w:keepNext/>
        <w:spacing w:after="100"/>
        <w:jc w:val="center"/>
      </w:pPr>
      <w:r>
        <w:rPr>
          <w:rFonts w:ascii="DejaVu Sans" w:hAnsi="DejaVu Sans" w:eastAsia="DejaVu Sans"/>
          <w:i/>
          <w:color w:val="4B5563"/>
          <w:sz w:val="17"/>
        </w:rPr>
        <w:t>Figure 6. NTLM target information identifying the SMB destination.</w:t>
      </w:r>
    </w:p>
    <w:p>
      <w:pPr>
        <w:spacing w:before="60" w:after="60"/>
      </w:pPr>
      <w:r>
        <w:rPr>
          <w:rFonts w:ascii="DejaVu Sans" w:hAnsi="DejaVu Sans" w:eastAsia="DejaVu Sans"/>
          <w:b/>
          <w:color w:val="0F4C81"/>
        </w:rPr>
        <w:t xml:space="preserve">SMB target hostname: </w:t>
      </w:r>
      <w:r>
        <w:rPr>
          <w:rFonts w:ascii="DejaVu Sans Mono" w:hAnsi="DejaVu Sans Mono" w:eastAsia="DejaVu Sans Mono"/>
          <w:b/>
        </w:rPr>
        <w:t>AccountingPC</w:t>
      </w:r>
    </w:p>
    <w:p>
      <w:r>
        <w:br w:type="page"/>
      </w:r>
    </w:p>
    <w:p>
      <w:pPr>
        <w:pStyle w:val="Heading1"/>
      </w:pPr>
      <w:r>
        <w:t>Reconstructed Timeline</w:t>
      </w:r>
    </w:p>
    <w:p>
      <w:pPr>
        <w:spacing w:after="100"/>
      </w:pPr>
      <w:r>
        <w:rPr>
          <w:rFonts w:ascii="DejaVu Sans" w:hAnsi="DejaVu Sans" w:eastAsia="DejaVu Sans"/>
          <w:i w:val="0"/>
        </w:rPr>
        <w:t>The following sequence combines the name-resolution and SMB evidence into a single incident timeline.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6"/>
              </w:rPr>
              <w:t>Time</w:t>
            </w:r>
          </w:p>
        </w:tc>
        <w:tc>
          <w:tcPr>
            <w:tcW w:type="dxa" w:w="2952"/>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6"/>
              </w:rPr>
              <w:t>Event</w:t>
            </w:r>
          </w:p>
        </w:tc>
        <w:tc>
          <w:tcPr>
            <w:tcW w:type="dxa" w:w="5400"/>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6"/>
              </w:rPr>
              <w:t>Evidence</w:t>
            </w:r>
          </w:p>
        </w:tc>
      </w:tr>
      <w:tr>
        <w:trPr>
          <w:cantSplit/>
        </w:trPr>
        <w:tc>
          <w:tcPr>
            <w:tcW w:type="dxa" w:w="1728"/>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20:27:45.448</w:t>
            </w:r>
          </w:p>
        </w:tc>
        <w:tc>
          <w:tcPr>
            <w:tcW w:type="dxa" w:w="295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Mistyped file-share lookup</w:t>
            </w:r>
          </w:p>
        </w:tc>
        <w:tc>
          <w:tcPr>
            <w:tcW w:type="dxa" w:w="5400"/>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NBNS query from .162 for FILESHAARE&lt;20&gt;</w:t>
            </w:r>
          </w:p>
        </w:tc>
      </w:tr>
      <w:tr>
        <w:trPr>
          <w:cantSplit/>
        </w:trPr>
        <w:tc>
          <w:tcPr>
            <w:tcW w:type="dxa" w:w="1728"/>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20:27:45.449</w:t>
            </w:r>
          </w:p>
        </w:tc>
        <w:tc>
          <w:tcPr>
            <w:tcW w:type="dxa" w:w="2952"/>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False resolution returned</w:t>
            </w:r>
          </w:p>
        </w:tc>
        <w:tc>
          <w:tcPr>
            <w:tcW w:type="dxa" w:w="5400"/>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NBNS response from .215 to .162</w:t>
            </w:r>
          </w:p>
        </w:tc>
      </w:tr>
      <w:tr>
        <w:trPr>
          <w:cantSplit/>
        </w:trPr>
        <w:tc>
          <w:tcPr>
            <w:tcW w:type="dxa" w:w="1728"/>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20:30:40.380</w:t>
            </w:r>
          </w:p>
        </w:tc>
        <w:tc>
          <w:tcPr>
            <w:tcW w:type="dxa" w:w="295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Second host poisoned</w:t>
            </w:r>
          </w:p>
        </w:tc>
        <w:tc>
          <w:tcPr>
            <w:tcW w:type="dxa" w:w="5400"/>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NBNS response from .215 to .176</w:t>
            </w:r>
          </w:p>
        </w:tc>
      </w:tr>
      <w:tr>
        <w:trPr>
          <w:cantSplit/>
        </w:trPr>
        <w:tc>
          <w:tcPr>
            <w:tcW w:type="dxa" w:w="1728"/>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20:33:09.518</w:t>
            </w:r>
          </w:p>
        </w:tc>
        <w:tc>
          <w:tcPr>
            <w:tcW w:type="dxa" w:w="2952"/>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SMB connection begins</w:t>
            </w:r>
          </w:p>
        </w:tc>
        <w:tc>
          <w:tcPr>
            <w:tcW w:type="dxa" w:w="5400"/>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TCP SYN from .215 to .176:445</w:t>
            </w:r>
          </w:p>
        </w:tc>
      </w:tr>
      <w:tr>
        <w:trPr>
          <w:cantSplit/>
        </w:trPr>
        <w:tc>
          <w:tcPr>
            <w:tcW w:type="dxa" w:w="1728"/>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20:33:09.560</w:t>
            </w:r>
          </w:p>
        </w:tc>
        <w:tc>
          <w:tcPr>
            <w:tcW w:type="dxa" w:w="295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NTLM challenge returned</w:t>
            </w:r>
          </w:p>
        </w:tc>
        <w:tc>
          <w:tcPr>
            <w:tcW w:type="dxa" w:w="5400"/>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Target information sent by .176</w:t>
            </w:r>
          </w:p>
        </w:tc>
      </w:tr>
      <w:tr>
        <w:trPr>
          <w:cantSplit/>
        </w:trPr>
        <w:tc>
          <w:tcPr>
            <w:tcW w:type="dxa" w:w="1728"/>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20:33:09.570</w:t>
            </w:r>
          </w:p>
        </w:tc>
        <w:tc>
          <w:tcPr>
            <w:tcW w:type="dxa" w:w="2952"/>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User identity submitted</w:t>
            </w:r>
          </w:p>
        </w:tc>
        <w:tc>
          <w:tcPr>
            <w:tcW w:type="dxa" w:w="5400"/>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NTLMSSP_AUTH for janesmith</w:t>
            </w:r>
          </w:p>
        </w:tc>
      </w:tr>
      <w:tr>
        <w:trPr>
          <w:cantSplit/>
        </w:trPr>
        <w:tc>
          <w:tcPr>
            <w:tcW w:type="dxa" w:w="1728"/>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20:33:09.698</w:t>
            </w:r>
          </w:p>
        </w:tc>
        <w:tc>
          <w:tcPr>
            <w:tcW w:type="dxa" w:w="2952"/>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Session setup completes</w:t>
            </w:r>
          </w:p>
        </w:tc>
        <w:tc>
          <w:tcPr>
            <w:tcW w:type="dxa" w:w="5400"/>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Response followed by encrypted SMB3 frames</w:t>
            </w:r>
          </w:p>
        </w:tc>
      </w:tr>
    </w:tbl>
    <w:p>
      <w:pPr>
        <w:spacing w:after="0"/>
      </w:pPr>
    </w:p>
    <w:p>
      <w:pPr>
        <w:pStyle w:val="Heading2"/>
      </w:pPr>
      <w:r>
        <w:t>Attack Chain</w:t>
      </w:r>
    </w:p>
    <w:p>
      <w:pPr>
        <w:spacing w:after="60" w:line="252" w:lineRule="auto"/>
        <w:ind w:left="403" w:hanging="317"/>
      </w:pPr>
      <w:r>
        <w:rPr>
          <w:rFonts w:ascii="DejaVu Sans" w:hAnsi="DejaVu Sans" w:eastAsia="DejaVu Sans"/>
          <w:b/>
        </w:rPr>
        <w:t xml:space="preserve">1. </w:t>
      </w:r>
      <w:r>
        <w:rPr>
          <w:rFonts w:ascii="DejaVu Sans" w:hAnsi="DejaVu Sans" w:eastAsia="DejaVu Sans"/>
        </w:rPr>
        <w:t>A user or process referenced the nonexistent file-share name FILESHAARE.</w:t>
      </w:r>
    </w:p>
    <w:p>
      <w:pPr>
        <w:spacing w:after="60" w:line="252" w:lineRule="auto"/>
        <w:ind w:left="403" w:hanging="317"/>
      </w:pPr>
      <w:r>
        <w:rPr>
          <w:rFonts w:ascii="DejaVu Sans" w:hAnsi="DejaVu Sans" w:eastAsia="DejaVu Sans"/>
          <w:b/>
        </w:rPr>
        <w:t xml:space="preserve">2. </w:t>
      </w:r>
      <w:r>
        <w:rPr>
          <w:rFonts w:ascii="DejaVu Sans" w:hAnsi="DejaVu Sans" w:eastAsia="DejaVu Sans"/>
        </w:rPr>
        <w:t>Windows fallback resolution generated NBNS and LLMNR queries.</w:t>
      </w:r>
    </w:p>
    <w:p>
      <w:pPr>
        <w:spacing w:after="60" w:line="252" w:lineRule="auto"/>
        <w:ind w:left="403" w:hanging="317"/>
      </w:pPr>
      <w:r>
        <w:rPr>
          <w:rFonts w:ascii="DejaVu Sans" w:hAnsi="DejaVu Sans" w:eastAsia="DejaVu Sans"/>
          <w:b/>
        </w:rPr>
        <w:t xml:space="preserve">3. </w:t>
      </w:r>
      <w:r>
        <w:rPr>
          <w:rFonts w:ascii="DejaVu Sans" w:hAnsi="DejaVu Sans" w:eastAsia="DejaVu Sans"/>
        </w:rPr>
        <w:t>192.168.232.215 falsely claimed the requested name.</w:t>
      </w:r>
    </w:p>
    <w:p>
      <w:pPr>
        <w:spacing w:after="60" w:line="252" w:lineRule="auto"/>
        <w:ind w:left="403" w:hanging="317"/>
      </w:pPr>
      <w:r>
        <w:rPr>
          <w:rFonts w:ascii="DejaVu Sans" w:hAnsi="DejaVu Sans" w:eastAsia="DejaVu Sans"/>
          <w:b/>
        </w:rPr>
        <w:t xml:space="preserve">4. </w:t>
      </w:r>
      <w:r>
        <w:rPr>
          <w:rFonts w:ascii="DejaVu Sans" w:hAnsi="DejaVu Sans" w:eastAsia="DejaVu Sans"/>
        </w:rPr>
        <w:t>The same responder poisoned more than one internal workstation.</w:t>
      </w:r>
    </w:p>
    <w:p>
      <w:pPr>
        <w:spacing w:after="60" w:line="252" w:lineRule="auto"/>
        <w:ind w:left="403" w:hanging="317"/>
      </w:pPr>
      <w:r>
        <w:rPr>
          <w:rFonts w:ascii="DejaVu Sans" w:hAnsi="DejaVu Sans" w:eastAsia="DejaVu Sans"/>
          <w:b/>
        </w:rPr>
        <w:t xml:space="preserve">5. </w:t>
      </w:r>
      <w:r>
        <w:rPr>
          <w:rFonts w:ascii="DejaVu Sans" w:hAnsi="DejaVu Sans" w:eastAsia="DejaVu Sans"/>
        </w:rPr>
        <w:t>The rogue host later initiated SMB to 192.168.232.176.</w:t>
      </w:r>
    </w:p>
    <w:p>
      <w:pPr>
        <w:spacing w:after="60" w:line="252" w:lineRule="auto"/>
        <w:ind w:left="403" w:hanging="317"/>
      </w:pPr>
      <w:r>
        <w:rPr>
          <w:rFonts w:ascii="DejaVu Sans" w:hAnsi="DejaVu Sans" w:eastAsia="DejaVu Sans"/>
          <w:b/>
        </w:rPr>
        <w:t xml:space="preserve">6. </w:t>
      </w:r>
      <w:r>
        <w:rPr>
          <w:rFonts w:ascii="DejaVu Sans" w:hAnsi="DejaVu Sans" w:eastAsia="DejaVu Sans"/>
        </w:rPr>
        <w:t>The NTLM exchange used cybercactus.local\janesmith.</w:t>
      </w:r>
    </w:p>
    <w:p>
      <w:pPr>
        <w:spacing w:after="60" w:line="252" w:lineRule="auto"/>
        <w:ind w:left="403" w:hanging="317"/>
      </w:pPr>
      <w:r>
        <w:rPr>
          <w:rFonts w:ascii="DejaVu Sans" w:hAnsi="DejaVu Sans" w:eastAsia="DejaVu Sans"/>
          <w:b/>
        </w:rPr>
        <w:t xml:space="preserve">7. </w:t>
      </w:r>
      <w:r>
        <w:rPr>
          <w:rFonts w:ascii="DejaVu Sans" w:hAnsi="DejaVu Sans" w:eastAsia="DejaVu Sans"/>
        </w:rPr>
        <w:t>The target challenge identified AccountingPC.cybercactus.local.</w:t>
      </w:r>
    </w:p>
    <w:p>
      <w:pPr>
        <w:pStyle w:val="Heading2"/>
      </w:pPr>
      <w:r>
        <w:t>Indicators of Compromise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7"/>
              </w:rPr>
              <w:t>Type</w:t>
            </w:r>
          </w:p>
        </w:tc>
        <w:tc>
          <w:tcPr>
            <w:tcW w:type="dxa" w:w="6840"/>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7"/>
              </w:rPr>
              <w:t>Indicator</w:t>
            </w:r>
          </w:p>
        </w:tc>
      </w:tr>
      <w:tr>
        <w:trPr>
          <w:cantSplit/>
        </w:trPr>
        <w:tc>
          <w:tcPr>
            <w:tcW w:type="dxa" w:w="3240"/>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7"/>
              </w:rPr>
              <w:t>Rogue IP</w:t>
            </w:r>
          </w:p>
        </w:tc>
        <w:tc>
          <w:tcPr>
            <w:tcW w:type="dxa" w:w="6840"/>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7"/>
              </w:rPr>
              <w:t>192.168.232.215</w:t>
            </w:r>
          </w:p>
        </w:tc>
      </w:tr>
      <w:tr>
        <w:trPr>
          <w:cantSplit/>
        </w:trPr>
        <w:tc>
          <w:tcPr>
            <w:tcW w:type="dxa" w:w="3240"/>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7"/>
              </w:rPr>
              <w:t>Initial victim</w:t>
            </w:r>
          </w:p>
        </w:tc>
        <w:tc>
          <w:tcPr>
            <w:tcW w:type="dxa" w:w="6840"/>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7"/>
              </w:rPr>
              <w:t>192.168.232.162</w:t>
            </w:r>
          </w:p>
        </w:tc>
      </w:tr>
      <w:tr>
        <w:trPr>
          <w:cantSplit/>
        </w:trPr>
        <w:tc>
          <w:tcPr>
            <w:tcW w:type="dxa" w:w="3240"/>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7"/>
              </w:rPr>
              <w:t>Additional host / SMB target</w:t>
            </w:r>
          </w:p>
        </w:tc>
        <w:tc>
          <w:tcPr>
            <w:tcW w:type="dxa" w:w="6840"/>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7"/>
              </w:rPr>
              <w:t>192.168.232.176</w:t>
            </w:r>
          </w:p>
        </w:tc>
      </w:tr>
      <w:tr>
        <w:trPr>
          <w:cantSplit/>
        </w:trPr>
        <w:tc>
          <w:tcPr>
            <w:tcW w:type="dxa" w:w="3240"/>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7"/>
              </w:rPr>
              <w:t>Identity</w:t>
            </w:r>
          </w:p>
        </w:tc>
        <w:tc>
          <w:tcPr>
            <w:tcW w:type="dxa" w:w="6840"/>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7"/>
              </w:rPr>
              <w:t>cybercactus.local\janesmith</w:t>
            </w:r>
          </w:p>
        </w:tc>
      </w:tr>
      <w:tr>
        <w:trPr>
          <w:cantSplit/>
        </w:trPr>
        <w:tc>
          <w:tcPr>
            <w:tcW w:type="dxa" w:w="3240"/>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7"/>
              </w:rPr>
              <w:t>Hostname</w:t>
            </w:r>
          </w:p>
        </w:tc>
        <w:tc>
          <w:tcPr>
            <w:tcW w:type="dxa" w:w="6840"/>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7"/>
              </w:rPr>
              <w:t>AccountingPC.cybercactus.local</w:t>
            </w:r>
          </w:p>
        </w:tc>
      </w:tr>
      <w:tr>
        <w:trPr>
          <w:cantSplit/>
        </w:trPr>
        <w:tc>
          <w:tcPr>
            <w:tcW w:type="dxa" w:w="3240"/>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7"/>
              </w:rPr>
              <w:t>Queried name</w:t>
            </w:r>
          </w:p>
        </w:tc>
        <w:tc>
          <w:tcPr>
            <w:tcW w:type="dxa" w:w="6840"/>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7"/>
              </w:rPr>
              <w:t>FILESHAARE&lt;20&gt;</w:t>
            </w:r>
          </w:p>
        </w:tc>
      </w:tr>
    </w:tbl>
    <w:p>
      <w:pPr>
        <w:spacing w:after="0"/>
      </w:pPr>
    </w:p>
    <w:p>
      <w:r>
        <w:br w:type="page"/>
      </w:r>
    </w:p>
    <w:p>
      <w:pPr>
        <w:pStyle w:val="Heading1"/>
      </w:pPr>
      <w:r>
        <w:t>MITRE ATT&amp;CK Mapping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6"/>
              </w:rPr>
              <w:t>Technique</w:t>
            </w:r>
          </w:p>
        </w:tc>
        <w:tc>
          <w:tcPr>
            <w:tcW w:type="dxa" w:w="5256"/>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6"/>
              </w:rPr>
              <w:t>Evidence</w:t>
            </w:r>
          </w:p>
        </w:tc>
        <w:tc>
          <w:tcPr>
            <w:tcW w:type="dxa" w:w="1008"/>
            <w:vAlign w:val="center"/>
            <w:shd w:fill="0F4C81"/>
            <w:tcBorders>
              <w:top w:val="single" w:sz="5" w:color="CBD5E1"/>
              <w:left w:val="single" w:sz="5" w:color="CBD5E1"/>
              <w:bottom w:val="single" w:sz="5" w:color="CBD5E1"/>
              <w:right w:val="single" w:sz="5" w:color="CBD5E1"/>
            </w:tcBorders>
          </w:tcPr>
          <w:p>
            <w:pPr>
              <w:spacing w:after="0"/>
            </w:pPr>
            <w:r>
              <w:rPr>
                <w:rFonts w:ascii="DejaVu Sans" w:hAnsi="DejaVu Sans" w:eastAsia="DejaVu Sans"/>
                <w:b/>
                <w:color w:val="FFFFFF"/>
                <w:sz w:val="16"/>
              </w:rPr>
              <w:t>Confidence</w:t>
            </w:r>
          </w:p>
        </w:tc>
      </w:tr>
      <w:tr>
        <w:trPr>
          <w:cantSplit/>
        </w:trPr>
        <w:tc>
          <w:tcPr>
            <w:tcW w:type="dxa" w:w="3816"/>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T1557.001  LLMNR/NBT-NS Poisoning and SMB Relay</w:t>
            </w:r>
          </w:p>
        </w:tc>
        <w:tc>
          <w:tcPr>
            <w:tcW w:type="dxa" w:w="5256"/>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A rogue host returned forged NBNS answers for unresolved names.</w:t>
            </w:r>
          </w:p>
        </w:tc>
        <w:tc>
          <w:tcPr>
            <w:tcW w:type="dxa" w:w="1008"/>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High</w:t>
            </w:r>
          </w:p>
        </w:tc>
      </w:tr>
      <w:tr>
        <w:trPr>
          <w:cantSplit/>
        </w:trPr>
        <w:tc>
          <w:tcPr>
            <w:tcW w:type="dxa" w:w="3816"/>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T1078  Valid Accounts</w:t>
            </w:r>
          </w:p>
        </w:tc>
        <w:tc>
          <w:tcPr>
            <w:tcW w:type="dxa" w:w="5256"/>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The janesmith identity was used during NTLM authentication.</w:t>
            </w:r>
          </w:p>
        </w:tc>
        <w:tc>
          <w:tcPr>
            <w:tcW w:type="dxa" w:w="1008"/>
            <w:vAlign w:val="center"/>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High</w:t>
            </w:r>
          </w:p>
        </w:tc>
      </w:tr>
      <w:tr>
        <w:trPr>
          <w:cantSplit/>
        </w:trPr>
        <w:tc>
          <w:tcPr>
            <w:tcW w:type="dxa" w:w="3816"/>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T1021.002  SMB/Windows Admin Shares</w:t>
            </w:r>
          </w:p>
        </w:tc>
        <w:tc>
          <w:tcPr>
            <w:tcW w:type="dxa" w:w="5256"/>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The rogue host initiated an SMB session to an internal target over TCP 445.</w:t>
            </w:r>
          </w:p>
        </w:tc>
        <w:tc>
          <w:tcPr>
            <w:tcW w:type="dxa" w:w="1008"/>
            <w:vAlign w:val="center"/>
            <w:shd w:fill="EAF2F8"/>
            <w:tcBorders>
              <w:top w:val="single" w:sz="5" w:color="CBD5E1"/>
              <w:left w:val="single" w:sz="5" w:color="CBD5E1"/>
              <w:bottom w:val="single" w:sz="5" w:color="CBD5E1"/>
              <w:right w:val="single" w:sz="5" w:color="CBD5E1"/>
            </w:tcBorders>
          </w:tcPr>
          <w:p>
            <w:pPr>
              <w:spacing w:after="0" w:line="240" w:lineRule="auto"/>
            </w:pPr>
            <w:r>
              <w:rPr>
                <w:rFonts w:ascii="DejaVu Sans" w:hAnsi="DejaVu Sans" w:eastAsia="DejaVu Sans"/>
                <w:sz w:val="16"/>
              </w:rPr>
              <w:t>High</w:t>
            </w:r>
          </w:p>
        </w:tc>
      </w:tr>
    </w:tbl>
    <w:p>
      <w:pPr>
        <w:spacing w:after="0"/>
      </w:pPr>
    </w:p>
    <w:p>
      <w:pPr>
        <w:spacing w:after="100"/>
      </w:pPr>
      <w:r>
        <w:rPr>
          <w:rFonts w:ascii="DejaVu Sans" w:hAnsi="DejaVu Sans" w:eastAsia="DejaVu Sans"/>
          <w:i/>
        </w:rPr>
        <w:t>Pass-the-hash and password cracking are not mapped because the capture does not establish either technique. The evidence is consistent with credential misuse, but the exact mechanism remains undetermined.</w:t>
      </w:r>
    </w:p>
    <w:p>
      <w:pPr>
        <w:pStyle w:val="Heading1"/>
      </w:pPr>
      <w:r>
        <w:t>Detection Opportunities</w:t>
      </w:r>
    </w:p>
    <w:p>
      <w:pPr>
        <w:pStyle w:val="ListBullet"/>
      </w:pPr>
      <w:r>
        <w:t>Alert on internal endpoints that answer NBNS or LLMNR queries for many unrelated names or victims.</w:t>
      </w:r>
    </w:p>
    <w:p>
      <w:pPr>
        <w:pStyle w:val="ListBullet"/>
      </w:pPr>
      <w:r>
        <w:t>Correlate fallback name-resolution responses with immediate SMB, HTTP, LDAP, or other authentication-capable connections.</w:t>
      </w:r>
    </w:p>
    <w:p>
      <w:pPr>
        <w:pStyle w:val="ListBullet"/>
      </w:pPr>
      <w:r>
        <w:t>Identify workstations acting as unexpected NBNS responders.</w:t>
      </w:r>
    </w:p>
    <w:p>
      <w:pPr>
        <w:pStyle w:val="ListBullet"/>
      </w:pPr>
      <w:r>
        <w:t>Monitor NTLM authentication for users appearing from new internal source systems.</w:t>
      </w:r>
    </w:p>
    <w:p>
      <w:pPr>
        <w:pStyle w:val="ListBullet"/>
      </w:pPr>
      <w:r>
        <w:t>Alert on lateral SMB connections that violate workstation-to-workstation baselines.</w:t>
      </w:r>
    </w:p>
    <w:p>
      <w:pPr>
        <w:pStyle w:val="ListBullet"/>
      </w:pPr>
      <w:r>
        <w:t>Preserve the full NTLM negotiate, challenge, and authenticate sequence when triaging suspected relays.</w:t>
      </w:r>
    </w:p>
    <w:p>
      <w:pPr>
        <w:pStyle w:val="Heading2"/>
      </w:pPr>
      <w:r>
        <w:t>Containment Priorities</w:t>
      </w:r>
    </w:p>
    <w:p>
      <w:pPr>
        <w:pStyle w:val="ListBullet"/>
      </w:pPr>
      <w:r>
        <w:t>Isolate 192.168.232.215 and preserve volatile evidence.</w:t>
      </w:r>
    </w:p>
    <w:p>
      <w:pPr>
        <w:pStyle w:val="ListBullet"/>
      </w:pPr>
      <w:r>
        <w:t>Reset janesmith's password and invalidate active sessions.</w:t>
      </w:r>
    </w:p>
    <w:p>
      <w:pPr>
        <w:pStyle w:val="ListBullet"/>
      </w:pPr>
      <w:r>
        <w:t>Review AccountingPC and 192.168.232.162 for follow-on access or persistence.</w:t>
      </w:r>
    </w:p>
    <w:p>
      <w:r>
        <w:br w:type="page"/>
      </w:r>
    </w:p>
    <w:p>
      <w:pPr>
        <w:pStyle w:val="Heading1"/>
      </w:pPr>
      <w:r>
        <w:t>Remediation Recommendations</w:t>
      </w:r>
    </w:p>
    <w:p>
      <w:pPr>
        <w:spacing w:after="60" w:line="252" w:lineRule="auto"/>
        <w:ind w:left="403" w:hanging="317"/>
      </w:pPr>
      <w:r>
        <w:rPr>
          <w:rFonts w:ascii="DejaVu Sans" w:hAnsi="DejaVu Sans" w:eastAsia="DejaVu Sans"/>
          <w:b/>
        </w:rPr>
        <w:t xml:space="preserve">1. </w:t>
      </w:r>
      <w:r>
        <w:rPr>
          <w:rFonts w:ascii="DejaVu Sans" w:hAnsi="DejaVu Sans" w:eastAsia="DejaVu Sans"/>
        </w:rPr>
        <w:t>Disable LLMNR through Group Policy where it is not operationally required.</w:t>
      </w:r>
    </w:p>
    <w:p>
      <w:pPr>
        <w:spacing w:after="60" w:line="252" w:lineRule="auto"/>
        <w:ind w:left="403" w:hanging="317"/>
      </w:pPr>
      <w:r>
        <w:rPr>
          <w:rFonts w:ascii="DejaVu Sans" w:hAnsi="DejaVu Sans" w:eastAsia="DejaVu Sans"/>
          <w:b/>
        </w:rPr>
        <w:t xml:space="preserve">2. </w:t>
      </w:r>
      <w:r>
        <w:rPr>
          <w:rFonts w:ascii="DejaVu Sans" w:hAnsi="DejaVu Sans" w:eastAsia="DejaVu Sans"/>
        </w:rPr>
        <w:t>Disable NetBIOS over TCP/IP on systems that no longer depend on it.</w:t>
      </w:r>
    </w:p>
    <w:p>
      <w:pPr>
        <w:spacing w:after="60" w:line="252" w:lineRule="auto"/>
        <w:ind w:left="403" w:hanging="317"/>
      </w:pPr>
      <w:r>
        <w:rPr>
          <w:rFonts w:ascii="DejaVu Sans" w:hAnsi="DejaVu Sans" w:eastAsia="DejaVu Sans"/>
          <w:b/>
        </w:rPr>
        <w:t xml:space="preserve">3. </w:t>
      </w:r>
      <w:r>
        <w:rPr>
          <w:rFonts w:ascii="DejaVu Sans" w:hAnsi="DejaVu Sans" w:eastAsia="DejaVu Sans"/>
        </w:rPr>
        <w:t>Require SMB signing to reduce the effectiveness of relay attacks.</w:t>
      </w:r>
    </w:p>
    <w:p>
      <w:pPr>
        <w:spacing w:after="60" w:line="252" w:lineRule="auto"/>
        <w:ind w:left="403" w:hanging="317"/>
      </w:pPr>
      <w:r>
        <w:rPr>
          <w:rFonts w:ascii="DejaVu Sans" w:hAnsi="DejaVu Sans" w:eastAsia="DejaVu Sans"/>
          <w:b/>
        </w:rPr>
        <w:t xml:space="preserve">4. </w:t>
      </w:r>
      <w:r>
        <w:rPr>
          <w:rFonts w:ascii="DejaVu Sans" w:hAnsi="DejaVu Sans" w:eastAsia="DejaVu Sans"/>
        </w:rPr>
        <w:t>Restrict NTLM and prioritize Kerberos for domain authentication.</w:t>
      </w:r>
    </w:p>
    <w:p>
      <w:pPr>
        <w:spacing w:after="60" w:line="252" w:lineRule="auto"/>
        <w:ind w:left="403" w:hanging="317"/>
      </w:pPr>
      <w:r>
        <w:rPr>
          <w:rFonts w:ascii="DejaVu Sans" w:hAnsi="DejaVu Sans" w:eastAsia="DejaVu Sans"/>
          <w:b/>
        </w:rPr>
        <w:t xml:space="preserve">5. </w:t>
      </w:r>
      <w:r>
        <w:rPr>
          <w:rFonts w:ascii="DejaVu Sans" w:hAnsi="DejaVu Sans" w:eastAsia="DejaVu Sans"/>
        </w:rPr>
        <w:t>Limit inbound SMB with host firewalls, VLAN boundaries, and access-control lists.</w:t>
      </w:r>
    </w:p>
    <w:p>
      <w:pPr>
        <w:spacing w:after="60" w:line="252" w:lineRule="auto"/>
        <w:ind w:left="403" w:hanging="317"/>
      </w:pPr>
      <w:r>
        <w:rPr>
          <w:rFonts w:ascii="DejaVu Sans" w:hAnsi="DejaVu Sans" w:eastAsia="DejaVu Sans"/>
          <w:b/>
        </w:rPr>
        <w:t xml:space="preserve">6. </w:t>
      </w:r>
      <w:r>
        <w:rPr>
          <w:rFonts w:ascii="DejaVu Sans" w:hAnsi="DejaVu Sans" w:eastAsia="DejaVu Sans"/>
        </w:rPr>
        <w:t>Investigate the rogue host for poisoning tools, captured challenge-response material, and other credentials.</w:t>
      </w:r>
    </w:p>
    <w:p>
      <w:pPr>
        <w:spacing w:after="60" w:line="252" w:lineRule="auto"/>
        <w:ind w:left="403" w:hanging="317"/>
      </w:pPr>
      <w:r>
        <w:rPr>
          <w:rFonts w:ascii="DejaVu Sans" w:hAnsi="DejaVu Sans" w:eastAsia="DejaVu Sans"/>
          <w:b/>
        </w:rPr>
        <w:t xml:space="preserve">7. </w:t>
      </w:r>
      <w:r>
        <w:rPr>
          <w:rFonts w:ascii="DejaVu Sans" w:hAnsi="DejaVu Sans" w:eastAsia="DejaVu Sans"/>
        </w:rPr>
        <w:t>Review AccountingPC for unauthorized share access, remote administration, or persistence.</w:t>
      </w:r>
    </w:p>
    <w:p>
      <w:pPr>
        <w:spacing w:after="60" w:line="252" w:lineRule="auto"/>
        <w:ind w:left="403" w:hanging="317"/>
      </w:pPr>
      <w:r>
        <w:rPr>
          <w:rFonts w:ascii="DejaVu Sans" w:hAnsi="DejaVu Sans" w:eastAsia="DejaVu Sans"/>
          <w:b/>
        </w:rPr>
        <w:t xml:space="preserve">8. </w:t>
      </w:r>
      <w:r>
        <w:rPr>
          <w:rFonts w:ascii="DejaVu Sans" w:hAnsi="DejaVu Sans" w:eastAsia="DejaVu Sans"/>
        </w:rPr>
        <w:t>Train users to verify unexpected credential prompts and carefully check typed network paths.</w:t>
      </w:r>
    </w:p>
    <w:p>
      <w:pPr>
        <w:pStyle w:val="Heading1"/>
      </w:pPr>
      <w:r>
        <w:t>Conclusion</w:t>
      </w:r>
    </w:p>
    <w:p>
      <w:pPr>
        <w:spacing w:after="100"/>
      </w:pPr>
      <w:r>
        <w:rPr>
          <w:rFonts w:ascii="DejaVu Sans" w:hAnsi="DejaVu Sans" w:eastAsia="DejaVu Sans"/>
          <w:i w:val="0"/>
        </w:rPr>
        <w:t>The packet capture confirms a local name-resolution poisoning incident led by 192.168.232.215. A misspelled file-share lookup triggered NBNS and LLMNR fallback queries, and the rogue host falsely resolved the requested name to itself. The same behavior affected multiple endpoints, expanding the incident beyond the initially reported workstation.</w:t>
      </w:r>
    </w:p>
    <w:p>
      <w:pPr>
        <w:spacing w:after="100"/>
      </w:pPr>
      <w:r>
        <w:rPr>
          <w:rFonts w:ascii="DejaVu Sans" w:hAnsi="DejaVu Sans" w:eastAsia="DejaVu Sans"/>
          <w:i w:val="0"/>
        </w:rPr>
        <w:t>The later SMB sequence connected the poisoning infrastructure to an authenticated session using cybercactus.local\janesmith against AccountingPC.cybercactus.local. Although the capture cannot prove how the credential was acquired, it clearly demonstrates why insecure fallback resolution, NTLM exposure, and unrestricted internal SMB create a viable path for credential abuse and lateral movement.</w:t>
      </w:r>
    </w:p>
    <w:p>
      <w:pPr>
        <w:pStyle w:val="Heading1"/>
      </w:pPr>
      <w:r>
        <w:t>References</w:t>
      </w:r>
    </w:p>
    <w:p>
      <w:pPr>
        <w:pStyle w:val="ListBullet"/>
      </w:pPr>
      <w:r>
        <w:t>CyberDefenders — https://cyberdefenders.org/</w:t>
      </w:r>
    </w:p>
    <w:p>
      <w:pPr>
        <w:pStyle w:val="ListBullet"/>
      </w:pPr>
      <w:r>
        <w:t>MITRE ATT&amp;CK T1557.001 — https://attack.mitre.org/techniques/T1557/001/</w:t>
      </w:r>
    </w:p>
    <w:p>
      <w:pPr>
        <w:pStyle w:val="ListBullet"/>
      </w:pPr>
      <w:r>
        <w:t>MITRE ATT&amp;CK T1078 — https://attack.mitre.org/techniques/T1078/</w:t>
      </w:r>
    </w:p>
    <w:p>
      <w:pPr>
        <w:pStyle w:val="ListBullet"/>
      </w:pPr>
      <w:r>
        <w:t>MITRE ATT&amp;CK T1021.002 — https://attack.mitre.org/techniques/T1021/002/</w:t>
      </w:r>
    </w:p>
    <w:p>
      <w:pPr>
        <w:pStyle w:val="ListBullet"/>
      </w:pPr>
      <w:r>
        <w:t>Wireshark Display Filter Reference — https://www.wireshark.org/docs/dfref/</w:t>
      </w:r>
    </w:p>
    <w:sectPr w:rsidR="00FC693F" w:rsidRPr="0006063C" w:rsidSect="00034616">
      <w:headerReference w:type="default" r:id="rId9"/>
      <w:footerReference w:type="default" r:id="rId10"/>
      <w:pgSz w:w="12240" w:h="15840"/>
      <w:pgMar w:top="979" w:right="1037" w:bottom="936"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olor w:val="4B556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eastAsia="DejaVu Sans"/>
        <w:color w:val="4B5563"/>
        <w:sz w:val="16"/>
      </w:rPr>
      <w:t>PoisonedCredentials Network Forensics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DejaVu Sans" w:hAnsi="DejaVu Sans" w:eastAsia="DejaVu San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DejaVu Sans" w:hAnsi="DejaVu Sans" w:eastAsia="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DejaVu Sans" w:hAnsi="DejaVu Sans" w:eastAsia="DejaVu Sans"/>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DejaVu Sans" w:hAnsi="DejaVu Sans" w:eastAsia="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DejaVu Sans" w:hAnsi="DejaVu Sans" w:eastAsia="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DejaVu Sans" w:hAnsi="DejaVu Sans" w:eastAsia="DejaVu Sans"/>
      <w:i/>
      <w:iCs/>
      <w:color w:val="4B55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DejaVu Sans" w:hAnsi="DejaVu Sans" w:eastAsia="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DejaVu Sans" w:hAnsi="DejaVu Sans" w:eastAsia="DejaVu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PoisonedCredentials Network Forensics Investigation</dc:title>
  <dc:subject>CyberDefenders NBNS, LLMNR, SMB, and NTLM investigation</dc:subject>
  <dc:creator>Alaa Zahra</dc:creator>
  <cp:keywords>CyberDefenders, Wireshark, NBNS, LLMNR, SMB, NTLM, network forensics</cp:keywords>
  <dc:description>generated by python-docx</dc:description>
  <cp:lastModifiedBy/>
  <cp:revision>1</cp:revision>
  <dcterms:created xsi:type="dcterms:W3CDTF">2013-12-23T23:15:00Z</dcterms:created>
  <dcterms:modified xsi:type="dcterms:W3CDTF">2013-12-23T23:15:00Z</dcterms:modified>
  <cp:category/>
</cp:coreProperties>
</file>