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8"/>
        </w:rPr>
        <w:t>ICEDID</w:t>
      </w:r>
    </w:p>
    <w:p>
      <w:pPr>
        <w:pStyle w:val="Title"/>
        <w:jc w:val="center"/>
      </w:pPr>
      <w:r>
        <w:t>Malware Intelligence Investigation Report</w:t>
      </w:r>
    </w:p>
    <w:p>
      <w:pPr>
        <w:pStyle w:val="Subtitle"/>
        <w:jc w:val="center"/>
      </w:pPr>
      <w:r>
        <w:t>CyberDefenders Training Lab</w:t>
      </w:r>
    </w:p>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4939"/>
        <w:gridCol w:w="4939"/>
      </w:tblGrid>
      <w:tr>
        <w:tc>
          <w:tcPr>
            <w:tcW w:type="dxa" w:w="2520"/>
            <w:shd w:fill="17365D"/>
            <w:vAlign w:val="center"/>
            <w:tcMar>
              <w:top w:w="100" w:type="dxa"/>
              <w:start w:w="120" w:type="dxa"/>
              <w:bottom w:w="100" w:type="dxa"/>
              <w:end w:w="120" w:type="dxa"/>
            </w:tcMar>
          </w:tcPr>
          <w:p>
            <w:r>
              <w:rPr>
                <w:b/>
                <w:color w:val="FFFFFF"/>
                <w:sz w:val="19"/>
              </w:rPr>
              <w:t>Report detail</w:t>
            </w:r>
          </w:p>
        </w:tc>
        <w:tc>
          <w:tcPr>
            <w:tcW w:type="dxa" w:w="6264"/>
            <w:shd w:fill="17365D"/>
            <w:vAlign w:val="center"/>
            <w:tcMar>
              <w:top w:w="100" w:type="dxa"/>
              <w:start w:w="120" w:type="dxa"/>
              <w:bottom w:w="100" w:type="dxa"/>
              <w:end w:w="120" w:type="dxa"/>
            </w:tcMar>
          </w:tcPr>
          <w:p>
            <w:r>
              <w:rPr>
                <w:b/>
                <w:color w:val="FFFFFF"/>
                <w:sz w:val="19"/>
              </w:rPr>
              <w:t>Value</w:t>
            </w:r>
          </w:p>
        </w:tc>
      </w:tr>
      <w:tr>
        <w:tc>
          <w:tcPr>
            <w:tcW w:type="dxa" w:w="2520"/>
            <w:vAlign w:val="center"/>
            <w:tcMar>
              <w:top w:w="100" w:type="dxa"/>
              <w:start w:w="120" w:type="dxa"/>
              <w:bottom w:w="100" w:type="dxa"/>
              <w:end w:w="120" w:type="dxa"/>
            </w:tcMar>
          </w:tcPr>
          <w:p>
            <w:pPr>
              <w:spacing w:after="0"/>
            </w:pPr>
            <w:r>
              <w:rPr>
                <w:sz w:val="18"/>
              </w:rPr>
              <w:t>Prepared by</w:t>
            </w:r>
          </w:p>
        </w:tc>
        <w:tc>
          <w:tcPr>
            <w:tcW w:type="dxa" w:w="6264"/>
            <w:vAlign w:val="center"/>
            <w:tcMar>
              <w:top w:w="100" w:type="dxa"/>
              <w:start w:w="120" w:type="dxa"/>
              <w:bottom w:w="100" w:type="dxa"/>
              <w:end w:w="120" w:type="dxa"/>
            </w:tcMar>
          </w:tcPr>
          <w:p>
            <w:pPr>
              <w:spacing w:after="0"/>
            </w:pPr>
            <w:r>
              <w:rPr>
                <w:sz w:val="18"/>
              </w:rPr>
              <w:t>Alaa Zahra</w:t>
            </w:r>
          </w:p>
        </w:tc>
      </w:tr>
      <w:tr>
        <w:tc>
          <w:tcPr>
            <w:tcW w:type="dxa" w:w="2520"/>
            <w:vAlign w:val="center"/>
            <w:shd w:fill="F5F8FB"/>
            <w:tcMar>
              <w:top w:w="100" w:type="dxa"/>
              <w:start w:w="120" w:type="dxa"/>
              <w:bottom w:w="100" w:type="dxa"/>
              <w:end w:w="120" w:type="dxa"/>
            </w:tcMar>
          </w:tcPr>
          <w:p>
            <w:pPr>
              <w:spacing w:after="0"/>
            </w:pPr>
            <w:r>
              <w:rPr>
                <w:sz w:val="18"/>
              </w:rPr>
              <w:t>Investigation focus</w:t>
            </w:r>
          </w:p>
        </w:tc>
        <w:tc>
          <w:tcPr>
            <w:tcW w:type="dxa" w:w="6264"/>
            <w:vAlign w:val="center"/>
            <w:shd w:fill="F5F8FB"/>
            <w:tcMar>
              <w:top w:w="100" w:type="dxa"/>
              <w:start w:w="120" w:type="dxa"/>
              <w:bottom w:w="100" w:type="dxa"/>
              <w:end w:w="120" w:type="dxa"/>
            </w:tcMar>
          </w:tcPr>
          <w:p>
            <w:pPr>
              <w:spacing w:after="0"/>
            </w:pPr>
            <w:r>
              <w:rPr>
                <w:sz w:val="18"/>
              </w:rPr>
              <w:t>Malware analysis and threat intelligence</w:t>
            </w:r>
          </w:p>
        </w:tc>
      </w:tr>
      <w:tr>
        <w:tc>
          <w:tcPr>
            <w:tcW w:type="dxa" w:w="2520"/>
            <w:vAlign w:val="center"/>
            <w:tcMar>
              <w:top w:w="100" w:type="dxa"/>
              <w:start w:w="120" w:type="dxa"/>
              <w:bottom w:w="100" w:type="dxa"/>
              <w:end w:w="120" w:type="dxa"/>
            </w:tcMar>
          </w:tcPr>
          <w:p>
            <w:pPr>
              <w:spacing w:after="0"/>
            </w:pPr>
            <w:r>
              <w:rPr>
                <w:sz w:val="18"/>
              </w:rPr>
              <w:t>Evidence sources</w:t>
            </w:r>
          </w:p>
        </w:tc>
        <w:tc>
          <w:tcPr>
            <w:tcW w:type="dxa" w:w="6264"/>
            <w:vAlign w:val="center"/>
            <w:tcMar>
              <w:top w:w="100" w:type="dxa"/>
              <w:start w:w="120" w:type="dxa"/>
              <w:bottom w:w="100" w:type="dxa"/>
              <w:end w:w="120" w:type="dxa"/>
            </w:tcMar>
          </w:tcPr>
          <w:p>
            <w:pPr>
              <w:spacing w:after="0"/>
            </w:pPr>
            <w:r>
              <w:rPr>
                <w:sz w:val="18"/>
              </w:rPr>
              <w:t>VirusTotal, Malpedia, WHOIS data, sandbox reports</w:t>
            </w:r>
          </w:p>
        </w:tc>
      </w:tr>
      <w:tr>
        <w:tc>
          <w:tcPr>
            <w:tcW w:type="dxa" w:w="2520"/>
            <w:vAlign w:val="center"/>
            <w:shd w:fill="F5F8FB"/>
            <w:tcMar>
              <w:top w:w="100" w:type="dxa"/>
              <w:start w:w="120" w:type="dxa"/>
              <w:bottom w:w="100" w:type="dxa"/>
              <w:end w:w="120" w:type="dxa"/>
            </w:tcMar>
          </w:tcPr>
          <w:p>
            <w:pPr>
              <w:spacing w:after="0"/>
            </w:pPr>
            <w:r>
              <w:rPr>
                <w:sz w:val="18"/>
              </w:rPr>
              <w:t>Classification</w:t>
            </w:r>
          </w:p>
        </w:tc>
        <w:tc>
          <w:tcPr>
            <w:tcW w:type="dxa" w:w="6264"/>
            <w:vAlign w:val="center"/>
            <w:shd w:fill="F5F8FB"/>
            <w:tcMar>
              <w:top w:w="100" w:type="dxa"/>
              <w:start w:w="120" w:type="dxa"/>
              <w:bottom w:w="100" w:type="dxa"/>
              <w:end w:w="120" w:type="dxa"/>
            </w:tcMar>
          </w:tcPr>
          <w:p>
            <w:pPr>
              <w:spacing w:after="0"/>
            </w:pPr>
            <w:r>
              <w:rPr>
                <w:sz w:val="18"/>
              </w:rPr>
              <w:t>Educational and authorized lab analysis</w:t>
            </w:r>
          </w:p>
        </w:tc>
      </w:tr>
    </w:tbl>
    <w:p>
      <w:pPr>
        <w:spacing w:after="0"/>
      </w:pPr>
    </w:p>
    <w:p>
      <w:pPr>
        <w:spacing w:before="560"/>
        <w:jc w:val="center"/>
      </w:pPr>
      <w:r>
        <w:rPr>
          <w:b/>
          <w:color w:val="17365D"/>
          <w:sz w:val="24"/>
        </w:rPr>
        <w:t>Purpose</w:t>
      </w:r>
    </w:p>
    <w:p>
      <w:pPr>
        <w:jc w:val="center"/>
      </w:pPr>
      <w:r>
        <w:t>Document the evidence-led investigation of a malicious Excel sample, its second-stage payload delivery, related infrastructure, threat-cluster association, and execution behavior.</w:t>
      </w:r>
    </w:p>
    <w:p>
      <w:r>
        <w:br w:type="page"/>
      </w:r>
    </w:p>
    <w:p>
      <w:pPr>
        <w:pStyle w:val="Heading1"/>
      </w:pPr>
      <w:r>
        <w:t>Executive Summary</w:t>
      </w:r>
    </w:p>
    <w:p>
      <w:r>
        <w:t>The investigation identified a malicious macro-enabled Excel workbook associated with IcedID. Threat-intelligence and sandbox evidence showed that the document attempted to retrieve an additional object named 3003.gif from five domains. Domain registration data linked the relevant .com infrastructure to NameCheap, while Malpedia associated the IcedID family with the GOLD CABIN threat cluster. Behavioral analysis showed that Excel invoked the URLDownloadToFile API family; the execution-specific function used to fetch the additional payload was URLDownloadToFileA.</w:t>
      </w:r>
    </w:p>
    <w:p>
      <w:r>
        <w:t>The evidence supports a downloader-style infection chain in which a user opens a weaponized Office document, embedded logic initiates outbound web activity, and a disguised second-stage payload is written to the endpoint. The report recommends hunting across email, endpoint, DNS, proxy, and file telemetry rather than relying on a single indicator.</w:t>
      </w:r>
    </w:p>
    <w:p>
      <w:pPr>
        <w:pStyle w:val="Heading1"/>
      </w:pPr>
      <w:r>
        <w:t>Scope and Objectives</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4939"/>
        <w:gridCol w:w="4939"/>
      </w:tblGrid>
      <w:tr>
        <w:tc>
          <w:tcPr>
            <w:tcW w:type="dxa" w:w="2520"/>
            <w:shd w:fill="17365D"/>
            <w:vAlign w:val="center"/>
            <w:tcMar>
              <w:top w:w="100" w:type="dxa"/>
              <w:start w:w="120" w:type="dxa"/>
              <w:bottom w:w="100" w:type="dxa"/>
              <w:end w:w="120" w:type="dxa"/>
            </w:tcMar>
          </w:tcPr>
          <w:p>
            <w:r>
              <w:rPr>
                <w:b/>
                <w:color w:val="FFFFFF"/>
                <w:sz w:val="19"/>
              </w:rPr>
              <w:t>Objective</w:t>
            </w:r>
          </w:p>
        </w:tc>
        <w:tc>
          <w:tcPr>
            <w:tcW w:type="dxa" w:w="6264"/>
            <w:shd w:fill="17365D"/>
            <w:vAlign w:val="center"/>
            <w:tcMar>
              <w:top w:w="100" w:type="dxa"/>
              <w:start w:w="120" w:type="dxa"/>
              <w:bottom w:w="100" w:type="dxa"/>
              <w:end w:w="120" w:type="dxa"/>
            </w:tcMar>
          </w:tcPr>
          <w:p>
            <w:r>
              <w:rPr>
                <w:b/>
                <w:color w:val="FFFFFF"/>
                <w:sz w:val="19"/>
              </w:rPr>
              <w:t>Investigation question</w:t>
            </w:r>
          </w:p>
        </w:tc>
      </w:tr>
      <w:tr>
        <w:tc>
          <w:tcPr>
            <w:tcW w:type="dxa" w:w="2520"/>
            <w:vAlign w:val="center"/>
            <w:tcMar>
              <w:top w:w="100" w:type="dxa"/>
              <w:start w:w="120" w:type="dxa"/>
              <w:bottom w:w="100" w:type="dxa"/>
              <w:end w:w="120" w:type="dxa"/>
            </w:tcMar>
          </w:tcPr>
          <w:p>
            <w:pPr>
              <w:spacing w:after="0"/>
            </w:pPr>
            <w:r>
              <w:rPr>
                <w:sz w:val="18"/>
              </w:rPr>
              <w:t>Validate the sample</w:t>
            </w:r>
          </w:p>
        </w:tc>
        <w:tc>
          <w:tcPr>
            <w:tcW w:type="dxa" w:w="6264"/>
            <w:vAlign w:val="center"/>
            <w:tcMar>
              <w:top w:w="100" w:type="dxa"/>
              <w:start w:w="120" w:type="dxa"/>
              <w:bottom w:w="100" w:type="dxa"/>
              <w:end w:w="120" w:type="dxa"/>
            </w:tcMar>
          </w:tcPr>
          <w:p>
            <w:pPr>
              <w:spacing w:after="0"/>
            </w:pPr>
            <w:r>
              <w:rPr>
                <w:sz w:val="18"/>
              </w:rPr>
              <w:t>Which file is associated with the supplied hash?</w:t>
            </w:r>
          </w:p>
        </w:tc>
      </w:tr>
      <w:tr>
        <w:tc>
          <w:tcPr>
            <w:tcW w:type="dxa" w:w="2520"/>
            <w:vAlign w:val="center"/>
            <w:shd w:fill="F5F8FB"/>
            <w:tcMar>
              <w:top w:w="100" w:type="dxa"/>
              <w:start w:w="120" w:type="dxa"/>
              <w:bottom w:w="100" w:type="dxa"/>
              <w:end w:w="120" w:type="dxa"/>
            </w:tcMar>
          </w:tcPr>
          <w:p>
            <w:pPr>
              <w:spacing w:after="0"/>
            </w:pPr>
            <w:r>
              <w:rPr>
                <w:sz w:val="18"/>
              </w:rPr>
              <w:t>Identify the payload</w:t>
            </w:r>
          </w:p>
        </w:tc>
        <w:tc>
          <w:tcPr>
            <w:tcW w:type="dxa" w:w="6264"/>
            <w:vAlign w:val="center"/>
            <w:shd w:fill="F5F8FB"/>
            <w:tcMar>
              <w:top w:w="100" w:type="dxa"/>
              <w:start w:w="120" w:type="dxa"/>
              <w:bottom w:w="100" w:type="dxa"/>
              <w:end w:w="120" w:type="dxa"/>
            </w:tcMar>
          </w:tcPr>
          <w:p>
            <w:pPr>
              <w:spacing w:after="0"/>
            </w:pPr>
            <w:r>
              <w:rPr>
                <w:sz w:val="18"/>
              </w:rPr>
              <w:t>Which additional file was deployed?</w:t>
            </w:r>
          </w:p>
        </w:tc>
      </w:tr>
      <w:tr>
        <w:tc>
          <w:tcPr>
            <w:tcW w:type="dxa" w:w="2520"/>
            <w:vAlign w:val="center"/>
            <w:tcMar>
              <w:top w:w="100" w:type="dxa"/>
              <w:start w:w="120" w:type="dxa"/>
              <w:bottom w:w="100" w:type="dxa"/>
              <w:end w:w="120" w:type="dxa"/>
            </w:tcMar>
          </w:tcPr>
          <w:p>
            <w:pPr>
              <w:spacing w:after="0"/>
            </w:pPr>
            <w:r>
              <w:rPr>
                <w:sz w:val="18"/>
              </w:rPr>
              <w:t>Map infrastructure</w:t>
            </w:r>
          </w:p>
        </w:tc>
        <w:tc>
          <w:tcPr>
            <w:tcW w:type="dxa" w:w="6264"/>
            <w:vAlign w:val="center"/>
            <w:tcMar>
              <w:top w:w="100" w:type="dxa"/>
              <w:start w:w="120" w:type="dxa"/>
              <w:bottom w:w="100" w:type="dxa"/>
              <w:end w:w="120" w:type="dxa"/>
            </w:tcMar>
          </w:tcPr>
          <w:p>
            <w:pPr>
              <w:spacing w:after="0"/>
            </w:pPr>
            <w:r>
              <w:rPr>
                <w:sz w:val="18"/>
              </w:rPr>
              <w:t>How many domains hosted the payload and which registrar was used?</w:t>
            </w:r>
          </w:p>
        </w:tc>
      </w:tr>
      <w:tr>
        <w:tc>
          <w:tcPr>
            <w:tcW w:type="dxa" w:w="2520"/>
            <w:vAlign w:val="center"/>
            <w:shd w:fill="F5F8FB"/>
            <w:tcMar>
              <w:top w:w="100" w:type="dxa"/>
              <w:start w:w="120" w:type="dxa"/>
              <w:bottom w:w="100" w:type="dxa"/>
              <w:end w:w="120" w:type="dxa"/>
            </w:tcMar>
          </w:tcPr>
          <w:p>
            <w:pPr>
              <w:spacing w:after="0"/>
            </w:pPr>
            <w:r>
              <w:rPr>
                <w:sz w:val="18"/>
              </w:rPr>
              <w:t>Assess attribution</w:t>
            </w:r>
          </w:p>
        </w:tc>
        <w:tc>
          <w:tcPr>
            <w:tcW w:type="dxa" w:w="6264"/>
            <w:vAlign w:val="center"/>
            <w:shd w:fill="F5F8FB"/>
            <w:tcMar>
              <w:top w:w="100" w:type="dxa"/>
              <w:start w:w="120" w:type="dxa"/>
              <w:bottom w:w="100" w:type="dxa"/>
              <w:end w:w="120" w:type="dxa"/>
            </w:tcMar>
          </w:tcPr>
          <w:p>
            <w:pPr>
              <w:spacing w:after="0"/>
            </w:pPr>
            <w:r>
              <w:rPr>
                <w:sz w:val="18"/>
              </w:rPr>
              <w:t>Which threat cluster is associated with the malware family?</w:t>
            </w:r>
          </w:p>
        </w:tc>
      </w:tr>
      <w:tr>
        <w:tc>
          <w:tcPr>
            <w:tcW w:type="dxa" w:w="2520"/>
            <w:vAlign w:val="center"/>
            <w:tcMar>
              <w:top w:w="100" w:type="dxa"/>
              <w:start w:w="120" w:type="dxa"/>
              <w:bottom w:w="100" w:type="dxa"/>
              <w:end w:w="120" w:type="dxa"/>
            </w:tcMar>
          </w:tcPr>
          <w:p>
            <w:pPr>
              <w:spacing w:after="0"/>
            </w:pPr>
            <w:r>
              <w:rPr>
                <w:sz w:val="18"/>
              </w:rPr>
              <w:t>Confirm behavior</w:t>
            </w:r>
          </w:p>
        </w:tc>
        <w:tc>
          <w:tcPr>
            <w:tcW w:type="dxa" w:w="6264"/>
            <w:vAlign w:val="center"/>
            <w:tcMar>
              <w:top w:w="100" w:type="dxa"/>
              <w:start w:w="120" w:type="dxa"/>
              <w:bottom w:w="100" w:type="dxa"/>
              <w:end w:w="120" w:type="dxa"/>
            </w:tcMar>
          </w:tcPr>
          <w:p>
            <w:pPr>
              <w:spacing w:after="0"/>
            </w:pPr>
            <w:r>
              <w:rPr>
                <w:sz w:val="18"/>
              </w:rPr>
              <w:t>Which Windows function fetched the additional payload?</w:t>
            </w:r>
          </w:p>
        </w:tc>
      </w:tr>
    </w:tbl>
    <w:p>
      <w:pPr>
        <w:spacing w:after="0"/>
      </w:pPr>
    </w:p>
    <w:p>
      <w:pPr>
        <w:pStyle w:val="Heading1"/>
      </w:pPr>
      <w:r>
        <w:t>Evidence Handling and Safety</w:t>
      </w:r>
    </w:p>
    <w:p>
      <w:r>
        <w:t>The investigation used the supplied hash as the initial pivot and reviewed public intelligence and historical sandbox results. The malware was not executed on the analyst's host. Historical domains and IP addresses were treated as time-sensitive indicators because infrastructure ownership and reputation can change.</w:t>
      </w:r>
    </w:p>
    <w:p>
      <w:pPr>
        <w:pStyle w:val="Heading1"/>
      </w:pPr>
      <w:r>
        <w:t>Methodology</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293"/>
        <w:gridCol w:w="3293"/>
        <w:gridCol w:w="3293"/>
      </w:tblGrid>
      <w:tr>
        <w:tc>
          <w:tcPr>
            <w:tcW w:type="dxa" w:w="792"/>
            <w:shd w:fill="17365D"/>
            <w:vAlign w:val="center"/>
            <w:tcMar>
              <w:top w:w="100" w:type="dxa"/>
              <w:start w:w="120" w:type="dxa"/>
              <w:bottom w:w="100" w:type="dxa"/>
              <w:end w:w="120" w:type="dxa"/>
            </w:tcMar>
          </w:tcPr>
          <w:p>
            <w:r>
              <w:rPr>
                <w:b/>
                <w:color w:val="FFFFFF"/>
                <w:sz w:val="19"/>
              </w:rPr>
              <w:t>Stage</w:t>
            </w:r>
          </w:p>
        </w:tc>
        <w:tc>
          <w:tcPr>
            <w:tcW w:type="dxa" w:w="3744"/>
            <w:shd w:fill="17365D"/>
            <w:vAlign w:val="center"/>
            <w:tcMar>
              <w:top w:w="100" w:type="dxa"/>
              <w:start w:w="120" w:type="dxa"/>
              <w:bottom w:w="100" w:type="dxa"/>
              <w:end w:w="120" w:type="dxa"/>
            </w:tcMar>
          </w:tcPr>
          <w:p>
            <w:r>
              <w:rPr>
                <w:b/>
                <w:color w:val="FFFFFF"/>
                <w:sz w:val="19"/>
              </w:rPr>
              <w:t>Action</w:t>
            </w:r>
          </w:p>
        </w:tc>
        <w:tc>
          <w:tcPr>
            <w:tcW w:type="dxa" w:w="4248"/>
            <w:shd w:fill="17365D"/>
            <w:vAlign w:val="center"/>
            <w:tcMar>
              <w:top w:w="100" w:type="dxa"/>
              <w:start w:w="120" w:type="dxa"/>
              <w:bottom w:w="100" w:type="dxa"/>
              <w:end w:w="120" w:type="dxa"/>
            </w:tcMar>
          </w:tcPr>
          <w:p>
            <w:r>
              <w:rPr>
                <w:b/>
                <w:color w:val="FFFFFF"/>
                <w:sz w:val="19"/>
              </w:rPr>
              <w:t>Reason</w:t>
            </w:r>
          </w:p>
        </w:tc>
      </w:tr>
      <w:tr>
        <w:tc>
          <w:tcPr>
            <w:tcW w:type="dxa" w:w="792"/>
            <w:vAlign w:val="center"/>
            <w:tcMar>
              <w:top w:w="100" w:type="dxa"/>
              <w:start w:w="120" w:type="dxa"/>
              <w:bottom w:w="100" w:type="dxa"/>
              <w:end w:w="120" w:type="dxa"/>
            </w:tcMar>
          </w:tcPr>
          <w:p>
            <w:pPr>
              <w:spacing w:after="0"/>
            </w:pPr>
            <w:r>
              <w:rPr>
                <w:sz w:val="18"/>
              </w:rPr>
              <w:t>1</w:t>
            </w:r>
          </w:p>
        </w:tc>
        <w:tc>
          <w:tcPr>
            <w:tcW w:type="dxa" w:w="3744"/>
            <w:vAlign w:val="center"/>
            <w:tcMar>
              <w:top w:w="100" w:type="dxa"/>
              <w:start w:w="120" w:type="dxa"/>
              <w:bottom w:w="100" w:type="dxa"/>
              <w:end w:w="120" w:type="dxa"/>
            </w:tcMar>
          </w:tcPr>
          <w:p>
            <w:pPr>
              <w:spacing w:after="0"/>
            </w:pPr>
            <w:r>
              <w:rPr>
                <w:sz w:val="18"/>
              </w:rPr>
              <w:t>Search the supplied hash in VirusTotal</w:t>
            </w:r>
          </w:p>
        </w:tc>
        <w:tc>
          <w:tcPr>
            <w:tcW w:type="dxa" w:w="4248"/>
            <w:vAlign w:val="center"/>
            <w:tcMar>
              <w:top w:w="100" w:type="dxa"/>
              <w:start w:w="120" w:type="dxa"/>
              <w:bottom w:w="100" w:type="dxa"/>
              <w:end w:w="120" w:type="dxa"/>
            </w:tcMar>
          </w:tcPr>
          <w:p>
            <w:pPr>
              <w:spacing w:after="0"/>
            </w:pPr>
            <w:r>
              <w:rPr>
                <w:sz w:val="18"/>
              </w:rPr>
              <w:t>Resolve the sample and validate its metadata</w:t>
            </w:r>
          </w:p>
        </w:tc>
      </w:tr>
      <w:tr>
        <w:tc>
          <w:tcPr>
            <w:tcW w:type="dxa" w:w="792"/>
            <w:vAlign w:val="center"/>
            <w:shd w:fill="F5F8FB"/>
            <w:tcMar>
              <w:top w:w="100" w:type="dxa"/>
              <w:start w:w="120" w:type="dxa"/>
              <w:bottom w:w="100" w:type="dxa"/>
              <w:end w:w="120" w:type="dxa"/>
            </w:tcMar>
          </w:tcPr>
          <w:p>
            <w:pPr>
              <w:spacing w:after="0"/>
            </w:pPr>
            <w:r>
              <w:rPr>
                <w:sz w:val="18"/>
              </w:rPr>
              <w:t>2</w:t>
            </w:r>
          </w:p>
        </w:tc>
        <w:tc>
          <w:tcPr>
            <w:tcW w:type="dxa" w:w="3744"/>
            <w:vAlign w:val="center"/>
            <w:shd w:fill="F5F8FB"/>
            <w:tcMar>
              <w:top w:w="100" w:type="dxa"/>
              <w:start w:w="120" w:type="dxa"/>
              <w:bottom w:w="100" w:type="dxa"/>
              <w:end w:w="120" w:type="dxa"/>
            </w:tcMar>
          </w:tcPr>
          <w:p>
            <w:pPr>
              <w:spacing w:after="0"/>
            </w:pPr>
            <w:r>
              <w:rPr>
                <w:sz w:val="18"/>
              </w:rPr>
              <w:t>Inspect Details and Relations</w:t>
            </w:r>
          </w:p>
        </w:tc>
        <w:tc>
          <w:tcPr>
            <w:tcW w:type="dxa" w:w="4248"/>
            <w:vAlign w:val="center"/>
            <w:shd w:fill="F5F8FB"/>
            <w:tcMar>
              <w:top w:w="100" w:type="dxa"/>
              <w:start w:w="120" w:type="dxa"/>
              <w:bottom w:w="100" w:type="dxa"/>
              <w:end w:w="120" w:type="dxa"/>
            </w:tcMar>
          </w:tcPr>
          <w:p>
            <w:pPr>
              <w:spacing w:after="0"/>
            </w:pPr>
            <w:r>
              <w:rPr>
                <w:sz w:val="18"/>
              </w:rPr>
              <w:t>Identify filenames, URLs, payloads, and domains</w:t>
            </w:r>
          </w:p>
        </w:tc>
      </w:tr>
      <w:tr>
        <w:tc>
          <w:tcPr>
            <w:tcW w:type="dxa" w:w="792"/>
            <w:vAlign w:val="center"/>
            <w:tcMar>
              <w:top w:w="100" w:type="dxa"/>
              <w:start w:w="120" w:type="dxa"/>
              <w:bottom w:w="100" w:type="dxa"/>
              <w:end w:w="120" w:type="dxa"/>
            </w:tcMar>
          </w:tcPr>
          <w:p>
            <w:pPr>
              <w:spacing w:after="0"/>
            </w:pPr>
            <w:r>
              <w:rPr>
                <w:sz w:val="18"/>
              </w:rPr>
              <w:t>3</w:t>
            </w:r>
          </w:p>
        </w:tc>
        <w:tc>
          <w:tcPr>
            <w:tcW w:type="dxa" w:w="3744"/>
            <w:vAlign w:val="center"/>
            <w:tcMar>
              <w:top w:w="100" w:type="dxa"/>
              <w:start w:w="120" w:type="dxa"/>
              <w:bottom w:w="100" w:type="dxa"/>
              <w:end w:w="120" w:type="dxa"/>
            </w:tcMar>
          </w:tcPr>
          <w:p>
            <w:pPr>
              <w:spacing w:after="0"/>
            </w:pPr>
            <w:r>
              <w:rPr>
                <w:sz w:val="18"/>
              </w:rPr>
              <w:t>Review WHOIS information</w:t>
            </w:r>
          </w:p>
        </w:tc>
        <w:tc>
          <w:tcPr>
            <w:tcW w:type="dxa" w:w="4248"/>
            <w:vAlign w:val="center"/>
            <w:tcMar>
              <w:top w:w="100" w:type="dxa"/>
              <w:start w:w="120" w:type="dxa"/>
              <w:bottom w:w="100" w:type="dxa"/>
              <w:end w:w="120" w:type="dxa"/>
            </w:tcMar>
          </w:tcPr>
          <w:p>
            <w:pPr>
              <w:spacing w:after="0"/>
            </w:pPr>
            <w:r>
              <w:rPr>
                <w:sz w:val="18"/>
              </w:rPr>
              <w:t>Determine the domain registrar</w:t>
            </w:r>
          </w:p>
        </w:tc>
      </w:tr>
      <w:tr>
        <w:tc>
          <w:tcPr>
            <w:tcW w:type="dxa" w:w="792"/>
            <w:vAlign w:val="center"/>
            <w:shd w:fill="F5F8FB"/>
            <w:tcMar>
              <w:top w:w="100" w:type="dxa"/>
              <w:start w:w="120" w:type="dxa"/>
              <w:bottom w:w="100" w:type="dxa"/>
              <w:end w:w="120" w:type="dxa"/>
            </w:tcMar>
          </w:tcPr>
          <w:p>
            <w:pPr>
              <w:spacing w:after="0"/>
            </w:pPr>
            <w:r>
              <w:rPr>
                <w:sz w:val="18"/>
              </w:rPr>
              <w:t>4</w:t>
            </w:r>
          </w:p>
        </w:tc>
        <w:tc>
          <w:tcPr>
            <w:tcW w:type="dxa" w:w="3744"/>
            <w:vAlign w:val="center"/>
            <w:shd w:fill="F5F8FB"/>
            <w:tcMar>
              <w:top w:w="100" w:type="dxa"/>
              <w:start w:w="120" w:type="dxa"/>
              <w:bottom w:w="100" w:type="dxa"/>
              <w:end w:w="120" w:type="dxa"/>
            </w:tcMar>
          </w:tcPr>
          <w:p>
            <w:pPr>
              <w:spacing w:after="0"/>
            </w:pPr>
            <w:r>
              <w:rPr>
                <w:sz w:val="18"/>
              </w:rPr>
              <w:t>Cross-reference Malpedia</w:t>
            </w:r>
          </w:p>
        </w:tc>
        <w:tc>
          <w:tcPr>
            <w:tcW w:type="dxa" w:w="4248"/>
            <w:vAlign w:val="center"/>
            <w:shd w:fill="F5F8FB"/>
            <w:tcMar>
              <w:top w:w="100" w:type="dxa"/>
              <w:start w:w="120" w:type="dxa"/>
              <w:bottom w:w="100" w:type="dxa"/>
              <w:end w:w="120" w:type="dxa"/>
            </w:tcMar>
          </w:tcPr>
          <w:p>
            <w:pPr>
              <w:spacing w:after="0"/>
            </w:pPr>
            <w:r>
              <w:rPr>
                <w:sz w:val="18"/>
              </w:rPr>
              <w:t>Assess malware-family and threat-actor associations</w:t>
            </w:r>
          </w:p>
        </w:tc>
      </w:tr>
      <w:tr>
        <w:tc>
          <w:tcPr>
            <w:tcW w:type="dxa" w:w="792"/>
            <w:vAlign w:val="center"/>
            <w:tcMar>
              <w:top w:w="100" w:type="dxa"/>
              <w:start w:w="120" w:type="dxa"/>
              <w:bottom w:w="100" w:type="dxa"/>
              <w:end w:w="120" w:type="dxa"/>
            </w:tcMar>
          </w:tcPr>
          <w:p>
            <w:pPr>
              <w:spacing w:after="0"/>
            </w:pPr>
            <w:r>
              <w:rPr>
                <w:sz w:val="18"/>
              </w:rPr>
              <w:t>5</w:t>
            </w:r>
          </w:p>
        </w:tc>
        <w:tc>
          <w:tcPr>
            <w:tcW w:type="dxa" w:w="3744"/>
            <w:vAlign w:val="center"/>
            <w:tcMar>
              <w:top w:w="100" w:type="dxa"/>
              <w:start w:w="120" w:type="dxa"/>
              <w:bottom w:w="100" w:type="dxa"/>
              <w:end w:w="120" w:type="dxa"/>
            </w:tcMar>
          </w:tcPr>
          <w:p>
            <w:pPr>
              <w:spacing w:after="0"/>
            </w:pPr>
            <w:r>
              <w:rPr>
                <w:sz w:val="18"/>
              </w:rPr>
              <w:t>Review multiple sandbox reports</w:t>
            </w:r>
          </w:p>
        </w:tc>
        <w:tc>
          <w:tcPr>
            <w:tcW w:type="dxa" w:w="4248"/>
            <w:vAlign w:val="center"/>
            <w:tcMar>
              <w:top w:w="100" w:type="dxa"/>
              <w:start w:w="120" w:type="dxa"/>
              <w:bottom w:w="100" w:type="dxa"/>
              <w:end w:w="120" w:type="dxa"/>
            </w:tcMar>
          </w:tcPr>
          <w:p>
            <w:pPr>
              <w:spacing w:after="0"/>
            </w:pPr>
            <w:r>
              <w:rPr>
                <w:sz w:val="18"/>
              </w:rPr>
              <w:t>Confirm execution behavior and download APIs</w:t>
            </w:r>
          </w:p>
        </w:tc>
      </w:tr>
    </w:tbl>
    <w:p>
      <w:pPr>
        <w:spacing w:after="0"/>
      </w:pPr>
    </w:p>
    <w:p>
      <w:pPr>
        <w:pStyle w:val="Heading1"/>
      </w:pPr>
      <w:r>
        <w:t>Detailed Findings</w:t>
      </w:r>
    </w:p>
    <w:p>
      <w:pPr>
        <w:pStyle w:val="Heading1"/>
      </w:pPr>
      <w:r>
        <w:t>1. Sample Validation and Original Filename</w:t>
      </w:r>
    </w:p>
    <w:p>
      <w:r>
        <w:t>VirusTotal metadata identified the submitted object as a malicious macro-enabled Microsoft Excel workbook and listed its original filename.</w:t>
      </w:r>
    </w:p>
    <w:p>
      <w:pPr>
        <w:keepNext/>
        <w:jc w:val="center"/>
      </w:pPr>
      <w:r>
        <w:drawing>
          <wp:inline xmlns:a="http://schemas.openxmlformats.org/drawingml/2006/main" xmlns:pic="http://schemas.openxmlformats.org/drawingml/2006/picture">
            <wp:extent cx="5897880" cy="3733085"/>
            <wp:docPr id="1" name="Picture 1"/>
            <wp:cNvGraphicFramePr>
              <a:graphicFrameLocks noChangeAspect="1"/>
            </wp:cNvGraphicFramePr>
            <a:graphic>
              <a:graphicData uri="http://schemas.openxmlformats.org/drawingml/2006/picture">
                <pic:pic>
                  <pic:nvPicPr>
                    <pic:cNvPr id="0" name="01-sample-metadata-original-filename.png"/>
                    <pic:cNvPicPr/>
                  </pic:nvPicPr>
                  <pic:blipFill>
                    <a:blip r:embed="rId10"/>
                    <a:stretch>
                      <a:fillRect/>
                    </a:stretch>
                  </pic:blipFill>
                  <pic:spPr>
                    <a:xfrm>
                      <a:off x="0" y="0"/>
                      <a:ext cx="5897880" cy="3733085"/>
                    </a:xfrm>
                    <a:prstGeom prst="rect"/>
                  </pic:spPr>
                </pic:pic>
              </a:graphicData>
            </a:graphic>
          </wp:inline>
        </w:drawing>
      </w:r>
    </w:p>
    <w:p>
      <w:pPr>
        <w:spacing w:after="200"/>
        <w:jc w:val="center"/>
      </w:pPr>
      <w:r>
        <w:rPr>
          <w:i/>
          <w:color w:val="5B6573"/>
          <w:sz w:val="18"/>
        </w:rPr>
        <w:t>Figure 1. VirusTotal metadata showing the sample type and original filename.</w:t>
      </w:r>
    </w:p>
    <w:p>
      <w:r>
        <w:rPr>
          <w:b/>
        </w:rPr>
        <w:t xml:space="preserve">Finding: </w:t>
      </w:r>
      <w:r>
        <w:t>The file associated with the supplied hash was document-1982481273.xlsm.</w:t>
      </w:r>
    </w:p>
    <w:p>
      <w:r>
        <w:t>The .xlsm extension means that the workbook can contain VBA macros. This capability is relevant to the infection chain, but the extension alone is not evidence that every .xlsm file is malicious.</w:t>
      </w:r>
    </w:p>
    <w:p>
      <w:pPr>
        <w:pStyle w:val="Heading1"/>
      </w:pPr>
      <w:r>
        <w:t>2. Additional Payload Identification</w:t>
      </w:r>
    </w:p>
    <w:p>
      <w:r>
        <w:t>The Relations view exposed several URLs connected to the document. The same filename appeared at the end of multiple download paths.</w:t>
      </w:r>
    </w:p>
    <w:p>
      <w:pPr>
        <w:keepNext/>
        <w:jc w:val="center"/>
      </w:pPr>
      <w:r>
        <w:drawing>
          <wp:inline xmlns:a="http://schemas.openxmlformats.org/drawingml/2006/main" xmlns:pic="http://schemas.openxmlformats.org/drawingml/2006/picture">
            <wp:extent cx="5897880" cy="3103966"/>
            <wp:docPr id="2" name="Picture 2"/>
            <wp:cNvGraphicFramePr>
              <a:graphicFrameLocks noChangeAspect="1"/>
            </wp:cNvGraphicFramePr>
            <a:graphic>
              <a:graphicData uri="http://schemas.openxmlformats.org/drawingml/2006/picture">
                <pic:pic>
                  <pic:nvPicPr>
                    <pic:cNvPr id="0" name="02-connected-urls-gif-payload.png"/>
                    <pic:cNvPicPr/>
                  </pic:nvPicPr>
                  <pic:blipFill>
                    <a:blip r:embed="rId11"/>
                    <a:stretch>
                      <a:fillRect/>
                    </a:stretch>
                  </pic:blipFill>
                  <pic:spPr>
                    <a:xfrm>
                      <a:off x="0" y="0"/>
                      <a:ext cx="5897880" cy="3103966"/>
                    </a:xfrm>
                    <a:prstGeom prst="rect"/>
                  </pic:spPr>
                </pic:pic>
              </a:graphicData>
            </a:graphic>
          </wp:inline>
        </w:drawing>
      </w:r>
    </w:p>
    <w:p>
      <w:pPr>
        <w:spacing w:after="200"/>
        <w:jc w:val="center"/>
      </w:pPr>
      <w:r>
        <w:rPr>
          <w:i/>
          <w:color w:val="5B6573"/>
          <w:sz w:val="18"/>
        </w:rPr>
        <w:t>Figure 2. Connected URLs showing repeated delivery of 3003.gif.</w:t>
      </w:r>
    </w:p>
    <w:p>
      <w:r>
        <w:rPr>
          <w:b/>
        </w:rPr>
        <w:t xml:space="preserve">Finding: </w:t>
      </w:r>
      <w:r>
        <w:t>The deployed payload filename was 3003.gif.</w:t>
      </w:r>
    </w:p>
    <w:p>
      <w:r>
        <w:t>The apparent image extension should not be trusted as a content guarantee. Malware frequently uses benign-looking extensions to disguise executable or library content.</w:t>
      </w:r>
    </w:p>
    <w:p>
      <w:pPr>
        <w:pStyle w:val="Heading1"/>
      </w:pPr>
      <w:r>
        <w:t>3. Payload Hosting Infrastructure</w:t>
      </w:r>
    </w:p>
    <w:p>
      <w:r>
        <w:t>The URL and domain relations showed multiple delivery locations for the same payload. Counting unique domains, rather than URL rows, avoided double-counting repeated paths.</w:t>
      </w:r>
    </w:p>
    <w:p>
      <w:pPr>
        <w:keepNext/>
        <w:jc w:val="center"/>
      </w:pPr>
      <w:r>
        <w:drawing>
          <wp:inline xmlns:a="http://schemas.openxmlformats.org/drawingml/2006/main" xmlns:pic="http://schemas.openxmlformats.org/drawingml/2006/picture">
            <wp:extent cx="5897880" cy="3103966"/>
            <wp:docPr id="3" name="Picture 3"/>
            <wp:cNvGraphicFramePr>
              <a:graphicFrameLocks noChangeAspect="1"/>
            </wp:cNvGraphicFramePr>
            <a:graphic>
              <a:graphicData uri="http://schemas.openxmlformats.org/drawingml/2006/picture">
                <pic:pic>
                  <pic:nvPicPr>
                    <pic:cNvPr id="0" name="02-connected-urls-gif-payload.png"/>
                    <pic:cNvPicPr/>
                  </pic:nvPicPr>
                  <pic:blipFill>
                    <a:blip r:embed="rId11"/>
                    <a:stretch>
                      <a:fillRect/>
                    </a:stretch>
                  </pic:blipFill>
                  <pic:spPr>
                    <a:xfrm>
                      <a:off x="0" y="0"/>
                      <a:ext cx="5897880" cy="3103966"/>
                    </a:xfrm>
                    <a:prstGeom prst="rect"/>
                  </pic:spPr>
                </pic:pic>
              </a:graphicData>
            </a:graphic>
          </wp:inline>
        </w:drawing>
      </w:r>
    </w:p>
    <w:p>
      <w:pPr>
        <w:spacing w:after="200"/>
        <w:jc w:val="center"/>
      </w:pPr>
      <w:r>
        <w:rPr>
          <w:i/>
          <w:color w:val="5B6573"/>
          <w:sz w:val="18"/>
        </w:rPr>
        <w:t>Figure 3. VirusTotal domain relations used to count the payload-hosting infrastructure.</w:t>
      </w:r>
    </w:p>
    <w:p>
      <w:r>
        <w:rPr>
          <w:b/>
        </w:rPr>
        <w:t xml:space="preserve">Finding: </w:t>
      </w:r>
      <w:r>
        <w:t>Five distinct domains were used as candidate download locations.</w:t>
      </w:r>
    </w:p>
    <w:p>
      <w:r>
        <w:t>Multiple hosts add resilience to a malware campaign because the payload can remain reachable when individual domains are blocked or taken offline.</w:t>
      </w:r>
    </w:p>
    <w:p>
      <w:pPr>
        <w:pStyle w:val="Heading1"/>
      </w:pPr>
      <w:r>
        <w:t>4. Registrar Identification</w:t>
      </w:r>
    </w:p>
    <w:p>
      <w:r>
        <w:t>Registration information for the relevant .com domain was reviewed to identify the registrar named in the lab question.</w:t>
      </w:r>
    </w:p>
    <w:p>
      <w:pPr>
        <w:keepNext/>
        <w:jc w:val="center"/>
      </w:pPr>
      <w:r>
        <w:drawing>
          <wp:inline xmlns:a="http://schemas.openxmlformats.org/drawingml/2006/main" xmlns:pic="http://schemas.openxmlformats.org/drawingml/2006/picture">
            <wp:extent cx="5897880" cy="3280086"/>
            <wp:docPr id="4" name="Picture 4"/>
            <wp:cNvGraphicFramePr>
              <a:graphicFrameLocks noChangeAspect="1"/>
            </wp:cNvGraphicFramePr>
            <a:graphic>
              <a:graphicData uri="http://schemas.openxmlformats.org/drawingml/2006/picture">
                <pic:pic>
                  <pic:nvPicPr>
                    <pic:cNvPr id="0" name="04-domain-registrar-namecheap.png"/>
                    <pic:cNvPicPr/>
                  </pic:nvPicPr>
                  <pic:blipFill>
                    <a:blip r:embed="rId12"/>
                    <a:stretch>
                      <a:fillRect/>
                    </a:stretch>
                  </pic:blipFill>
                  <pic:spPr>
                    <a:xfrm>
                      <a:off x="0" y="0"/>
                      <a:ext cx="5897880" cy="3280086"/>
                    </a:xfrm>
                    <a:prstGeom prst="rect"/>
                  </pic:spPr>
                </pic:pic>
              </a:graphicData>
            </a:graphic>
          </wp:inline>
        </w:drawing>
      </w:r>
    </w:p>
    <w:p>
      <w:pPr>
        <w:spacing w:after="200"/>
        <w:jc w:val="center"/>
      </w:pPr>
      <w:r>
        <w:rPr>
          <w:i/>
          <w:color w:val="5B6573"/>
          <w:sz w:val="18"/>
        </w:rPr>
        <w:t>Figure 4. Registration evidence identifying NameCheap, Inc.</w:t>
      </w:r>
    </w:p>
    <w:p>
      <w:r>
        <w:rPr>
          <w:b/>
        </w:rPr>
        <w:t xml:space="preserve">Finding: </w:t>
      </w:r>
      <w:r>
        <w:t>The registrar was NameCheap.</w:t>
      </w:r>
    </w:p>
    <w:p>
      <w:r>
        <w:t>A registrar provides domain-registration services. Its appearance in WHOIS data does not establish that it participated in or knew about the malicious activity.</w:t>
      </w:r>
    </w:p>
    <w:p>
      <w:pPr>
        <w:pStyle w:val="Heading1"/>
      </w:pPr>
      <w:r>
        <w:t>5. Threat Cluster Attribution</w:t>
      </w:r>
    </w:p>
    <w:p>
      <w:r>
        <w:t>The IcedID malware-family entry in Malpedia was reviewed to identify threat actors associated with the family. The source listed GOLD CABIN among the associated actors.</w:t>
      </w:r>
    </w:p>
    <w:p>
      <w:pPr>
        <w:keepNext/>
        <w:jc w:val="center"/>
      </w:pPr>
      <w:r>
        <w:drawing>
          <wp:inline xmlns:a="http://schemas.openxmlformats.org/drawingml/2006/main" xmlns:pic="http://schemas.openxmlformats.org/drawingml/2006/picture">
            <wp:extent cx="5897880" cy="3710902"/>
            <wp:docPr id="5" name="Picture 5"/>
            <wp:cNvGraphicFramePr>
              <a:graphicFrameLocks noChangeAspect="1"/>
            </wp:cNvGraphicFramePr>
            <a:graphic>
              <a:graphicData uri="http://schemas.openxmlformats.org/drawingml/2006/picture">
                <pic:pic>
                  <pic:nvPicPr>
                    <pic:cNvPr id="0" name="05-malware-threat-actor-attribution.png"/>
                    <pic:cNvPicPr/>
                  </pic:nvPicPr>
                  <pic:blipFill>
                    <a:blip r:embed="rId13"/>
                    <a:stretch>
                      <a:fillRect/>
                    </a:stretch>
                  </pic:blipFill>
                  <pic:spPr>
                    <a:xfrm>
                      <a:off x="0" y="0"/>
                      <a:ext cx="5897880" cy="3710902"/>
                    </a:xfrm>
                    <a:prstGeom prst="rect"/>
                  </pic:spPr>
                </pic:pic>
              </a:graphicData>
            </a:graphic>
          </wp:inline>
        </w:drawing>
      </w:r>
    </w:p>
    <w:p>
      <w:pPr>
        <w:spacing w:after="200"/>
        <w:jc w:val="center"/>
      </w:pPr>
      <w:r>
        <w:rPr>
          <w:i/>
          <w:color w:val="5B6573"/>
          <w:sz w:val="18"/>
        </w:rPr>
        <w:t>Figure 5. Malpedia IcedID entry showing associated threat actors.</w:t>
      </w:r>
    </w:p>
    <w:p>
      <w:r>
        <w:rPr>
          <w:b/>
        </w:rPr>
        <w:t xml:space="preserve">Finding: </w:t>
      </w:r>
      <w:r>
        <w:t>The threat cluster requested by the investigation was GOLD CABIN.</w:t>
      </w:r>
    </w:p>
    <w:p>
      <w:r>
        <w:t>This is an intelligence association, not proof of an individual's identity. Malware families may be shared, rented, or deployed by multiple groups.</w:t>
      </w:r>
    </w:p>
    <w:p>
      <w:pPr>
        <w:pStyle w:val="Heading1"/>
      </w:pPr>
      <w:r>
        <w:t>6. Payload Retrieval Function</w:t>
      </w:r>
    </w:p>
    <w:p>
      <w:r>
        <w:t>A sandbox report linked the suspicious behavior to EXCEL.EXE and detected the UrlDownloadToFile function family. The execution-specific Windows API variant was then identified.</w:t>
      </w:r>
    </w:p>
    <w:p>
      <w:pPr>
        <w:keepNext/>
        <w:jc w:val="center"/>
      </w:pPr>
      <w:r>
        <w:drawing>
          <wp:inline xmlns:a="http://schemas.openxmlformats.org/drawingml/2006/main" xmlns:pic="http://schemas.openxmlformats.org/drawingml/2006/picture">
            <wp:extent cx="5897880" cy="2978259"/>
            <wp:docPr id="6" name="Picture 6"/>
            <wp:cNvGraphicFramePr>
              <a:graphicFrameLocks noChangeAspect="1"/>
            </wp:cNvGraphicFramePr>
            <a:graphic>
              <a:graphicData uri="http://schemas.openxmlformats.org/drawingml/2006/picture">
                <pic:pic>
                  <pic:nvPicPr>
                    <pic:cNvPr id="0" name="06-payload-download-api.png"/>
                    <pic:cNvPicPr/>
                  </pic:nvPicPr>
                  <pic:blipFill>
                    <a:blip r:embed="rId14"/>
                    <a:stretch>
                      <a:fillRect/>
                    </a:stretch>
                  </pic:blipFill>
                  <pic:spPr>
                    <a:xfrm>
                      <a:off x="0" y="0"/>
                      <a:ext cx="5897880" cy="2978259"/>
                    </a:xfrm>
                    <a:prstGeom prst="rect"/>
                  </pic:spPr>
                </pic:pic>
              </a:graphicData>
            </a:graphic>
          </wp:inline>
        </w:drawing>
      </w:r>
    </w:p>
    <w:p>
      <w:pPr>
        <w:spacing w:after="200"/>
        <w:jc w:val="center"/>
      </w:pPr>
      <w:r>
        <w:rPr>
          <w:i/>
          <w:color w:val="5B6573"/>
          <w:sz w:val="18"/>
        </w:rPr>
        <w:t>Figure 6. Sandbox behavior identifying the payload-download API family under EXCEL.EXE.</w:t>
      </w:r>
    </w:p>
    <w:p>
      <w:r>
        <w:rPr>
          <w:b/>
        </w:rPr>
        <w:t xml:space="preserve">Finding: </w:t>
      </w:r>
      <w:r>
        <w:t>The malware used URLDownloadToFileA to fetch additional payloads.</w:t>
      </w:r>
    </w:p>
    <w:p>
      <w:r>
        <w:t>URLDownloadToFileA retrieves data from a URL and writes it to a local file. The A suffix designates the ANSI-string variant; the corresponding Unicode variant ends in W.</w:t>
      </w:r>
    </w:p>
    <w:p>
      <w:r>
        <w:br w:type="page"/>
      </w:r>
    </w:p>
    <w:p>
      <w:pPr>
        <w:pStyle w:val="Heading1"/>
      </w:pPr>
      <w:r>
        <w:t>Reconstructed Attack Chain</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293"/>
        <w:gridCol w:w="3293"/>
        <w:gridCol w:w="3293"/>
      </w:tblGrid>
      <w:tr>
        <w:tc>
          <w:tcPr>
            <w:tcW w:type="dxa" w:w="1008"/>
            <w:shd w:fill="17365D"/>
            <w:vAlign w:val="center"/>
            <w:tcMar>
              <w:top w:w="100" w:type="dxa"/>
              <w:start w:w="120" w:type="dxa"/>
              <w:bottom w:w="100" w:type="dxa"/>
              <w:end w:w="120" w:type="dxa"/>
            </w:tcMar>
          </w:tcPr>
          <w:p>
            <w:r>
              <w:rPr>
                <w:b/>
                <w:color w:val="FFFFFF"/>
                <w:sz w:val="19"/>
              </w:rPr>
              <w:t>Sequence</w:t>
            </w:r>
          </w:p>
        </w:tc>
        <w:tc>
          <w:tcPr>
            <w:tcW w:type="dxa" w:w="3888"/>
            <w:shd w:fill="17365D"/>
            <w:vAlign w:val="center"/>
            <w:tcMar>
              <w:top w:w="100" w:type="dxa"/>
              <w:start w:w="120" w:type="dxa"/>
              <w:bottom w:w="100" w:type="dxa"/>
              <w:end w:w="120" w:type="dxa"/>
            </w:tcMar>
          </w:tcPr>
          <w:p>
            <w:r>
              <w:rPr>
                <w:b/>
                <w:color w:val="FFFFFF"/>
                <w:sz w:val="19"/>
              </w:rPr>
              <w:t>Observed activity</w:t>
            </w:r>
          </w:p>
        </w:tc>
        <w:tc>
          <w:tcPr>
            <w:tcW w:type="dxa" w:w="3888"/>
            <w:shd w:fill="17365D"/>
            <w:vAlign w:val="center"/>
            <w:tcMar>
              <w:top w:w="100" w:type="dxa"/>
              <w:start w:w="120" w:type="dxa"/>
              <w:bottom w:w="100" w:type="dxa"/>
              <w:end w:w="120" w:type="dxa"/>
            </w:tcMar>
          </w:tcPr>
          <w:p>
            <w:r>
              <w:rPr>
                <w:b/>
                <w:color w:val="FFFFFF"/>
                <w:sz w:val="19"/>
              </w:rPr>
              <w:t>Evidence</w:t>
            </w:r>
          </w:p>
        </w:tc>
      </w:tr>
      <w:tr>
        <w:tc>
          <w:tcPr>
            <w:tcW w:type="dxa" w:w="1008"/>
            <w:vAlign w:val="center"/>
            <w:tcMar>
              <w:top w:w="100" w:type="dxa"/>
              <w:start w:w="120" w:type="dxa"/>
              <w:bottom w:w="100" w:type="dxa"/>
              <w:end w:w="120" w:type="dxa"/>
            </w:tcMar>
          </w:tcPr>
          <w:p>
            <w:pPr>
              <w:spacing w:after="0"/>
            </w:pPr>
            <w:r>
              <w:rPr>
                <w:sz w:val="18"/>
              </w:rPr>
              <w:t>1</w:t>
            </w:r>
          </w:p>
        </w:tc>
        <w:tc>
          <w:tcPr>
            <w:tcW w:type="dxa" w:w="3888"/>
            <w:vAlign w:val="center"/>
            <w:tcMar>
              <w:top w:w="100" w:type="dxa"/>
              <w:start w:w="120" w:type="dxa"/>
              <w:bottom w:w="100" w:type="dxa"/>
              <w:end w:w="120" w:type="dxa"/>
            </w:tcMar>
          </w:tcPr>
          <w:p>
            <w:pPr>
              <w:spacing w:after="0"/>
            </w:pPr>
            <w:r>
              <w:rPr>
                <w:sz w:val="18"/>
              </w:rPr>
              <w:t>A malicious macro-enabled workbook reaches the user</w:t>
            </w:r>
          </w:p>
        </w:tc>
        <w:tc>
          <w:tcPr>
            <w:tcW w:type="dxa" w:w="3888"/>
            <w:vAlign w:val="center"/>
            <w:tcMar>
              <w:top w:w="100" w:type="dxa"/>
              <w:start w:w="120" w:type="dxa"/>
              <w:bottom w:w="100" w:type="dxa"/>
              <w:end w:w="120" w:type="dxa"/>
            </w:tcMar>
          </w:tcPr>
          <w:p>
            <w:pPr>
              <w:spacing w:after="0"/>
            </w:pPr>
            <w:r>
              <w:rPr>
                <w:sz w:val="18"/>
              </w:rPr>
              <w:t>Original filename and Office document metadata</w:t>
            </w:r>
          </w:p>
        </w:tc>
      </w:tr>
      <w:tr>
        <w:tc>
          <w:tcPr>
            <w:tcW w:type="dxa" w:w="1008"/>
            <w:vAlign w:val="center"/>
            <w:shd w:fill="F5F8FB"/>
            <w:tcMar>
              <w:top w:w="100" w:type="dxa"/>
              <w:start w:w="120" w:type="dxa"/>
              <w:bottom w:w="100" w:type="dxa"/>
              <w:end w:w="120" w:type="dxa"/>
            </w:tcMar>
          </w:tcPr>
          <w:p>
            <w:pPr>
              <w:spacing w:after="0"/>
            </w:pPr>
            <w:r>
              <w:rPr>
                <w:sz w:val="18"/>
              </w:rPr>
              <w:t>2</w:t>
            </w:r>
          </w:p>
        </w:tc>
        <w:tc>
          <w:tcPr>
            <w:tcW w:type="dxa" w:w="3888"/>
            <w:vAlign w:val="center"/>
            <w:shd w:fill="F5F8FB"/>
            <w:tcMar>
              <w:top w:w="100" w:type="dxa"/>
              <w:start w:w="120" w:type="dxa"/>
              <w:bottom w:w="100" w:type="dxa"/>
              <w:end w:w="120" w:type="dxa"/>
            </w:tcMar>
          </w:tcPr>
          <w:p>
            <w:pPr>
              <w:spacing w:after="0"/>
            </w:pPr>
            <w:r>
              <w:rPr>
                <w:sz w:val="18"/>
              </w:rPr>
              <w:t>The workbook is opened in Microsoft Excel</w:t>
            </w:r>
          </w:p>
        </w:tc>
        <w:tc>
          <w:tcPr>
            <w:tcW w:type="dxa" w:w="3888"/>
            <w:vAlign w:val="center"/>
            <w:shd w:fill="F5F8FB"/>
            <w:tcMar>
              <w:top w:w="100" w:type="dxa"/>
              <w:start w:w="120" w:type="dxa"/>
              <w:bottom w:w="100" w:type="dxa"/>
              <w:end w:w="120" w:type="dxa"/>
            </w:tcMar>
          </w:tcPr>
          <w:p>
            <w:pPr>
              <w:spacing w:after="0"/>
            </w:pPr>
            <w:r>
              <w:rPr>
                <w:sz w:val="18"/>
              </w:rPr>
              <w:t>Sandbox process context: EXCEL.EXE</w:t>
            </w:r>
          </w:p>
        </w:tc>
      </w:tr>
      <w:tr>
        <w:tc>
          <w:tcPr>
            <w:tcW w:type="dxa" w:w="1008"/>
            <w:vAlign w:val="center"/>
            <w:tcMar>
              <w:top w:w="100" w:type="dxa"/>
              <w:start w:w="120" w:type="dxa"/>
              <w:bottom w:w="100" w:type="dxa"/>
              <w:end w:w="120" w:type="dxa"/>
            </w:tcMar>
          </w:tcPr>
          <w:p>
            <w:pPr>
              <w:spacing w:after="0"/>
            </w:pPr>
            <w:r>
              <w:rPr>
                <w:sz w:val="18"/>
              </w:rPr>
              <w:t>3</w:t>
            </w:r>
          </w:p>
        </w:tc>
        <w:tc>
          <w:tcPr>
            <w:tcW w:type="dxa" w:w="3888"/>
            <w:vAlign w:val="center"/>
            <w:tcMar>
              <w:top w:w="100" w:type="dxa"/>
              <w:start w:w="120" w:type="dxa"/>
              <w:bottom w:w="100" w:type="dxa"/>
              <w:end w:w="120" w:type="dxa"/>
            </w:tcMar>
          </w:tcPr>
          <w:p>
            <w:pPr>
              <w:spacing w:after="0"/>
            </w:pPr>
            <w:r>
              <w:rPr>
                <w:sz w:val="18"/>
              </w:rPr>
              <w:t>Embedded logic initiates payload retrieval</w:t>
            </w:r>
          </w:p>
        </w:tc>
        <w:tc>
          <w:tcPr>
            <w:tcW w:type="dxa" w:w="3888"/>
            <w:vAlign w:val="center"/>
            <w:tcMar>
              <w:top w:w="100" w:type="dxa"/>
              <w:start w:w="120" w:type="dxa"/>
              <w:bottom w:w="100" w:type="dxa"/>
              <w:end w:w="120" w:type="dxa"/>
            </w:tcMar>
          </w:tcPr>
          <w:p>
            <w:pPr>
              <w:spacing w:after="0"/>
            </w:pPr>
            <w:r>
              <w:rPr>
                <w:sz w:val="18"/>
              </w:rPr>
              <w:t>UrlDownloadToFile behavioral signature</w:t>
            </w:r>
          </w:p>
        </w:tc>
      </w:tr>
      <w:tr>
        <w:tc>
          <w:tcPr>
            <w:tcW w:type="dxa" w:w="1008"/>
            <w:vAlign w:val="center"/>
            <w:shd w:fill="F5F8FB"/>
            <w:tcMar>
              <w:top w:w="100" w:type="dxa"/>
              <w:start w:w="120" w:type="dxa"/>
              <w:bottom w:w="100" w:type="dxa"/>
              <w:end w:w="120" w:type="dxa"/>
            </w:tcMar>
          </w:tcPr>
          <w:p>
            <w:pPr>
              <w:spacing w:after="0"/>
            </w:pPr>
            <w:r>
              <w:rPr>
                <w:sz w:val="18"/>
              </w:rPr>
              <w:t>4</w:t>
            </w:r>
          </w:p>
        </w:tc>
        <w:tc>
          <w:tcPr>
            <w:tcW w:type="dxa" w:w="3888"/>
            <w:vAlign w:val="center"/>
            <w:shd w:fill="F5F8FB"/>
            <w:tcMar>
              <w:top w:w="100" w:type="dxa"/>
              <w:start w:w="120" w:type="dxa"/>
              <w:bottom w:w="100" w:type="dxa"/>
              <w:end w:w="120" w:type="dxa"/>
            </w:tcMar>
          </w:tcPr>
          <w:p>
            <w:pPr>
              <w:spacing w:after="0"/>
            </w:pPr>
            <w:r>
              <w:rPr>
                <w:sz w:val="18"/>
              </w:rPr>
              <w:t>Several remote domains are contacted</w:t>
            </w:r>
          </w:p>
        </w:tc>
        <w:tc>
          <w:tcPr>
            <w:tcW w:type="dxa" w:w="3888"/>
            <w:vAlign w:val="center"/>
            <w:shd w:fill="F5F8FB"/>
            <w:tcMar>
              <w:top w:w="100" w:type="dxa"/>
              <w:start w:w="120" w:type="dxa"/>
              <w:bottom w:w="100" w:type="dxa"/>
              <w:end w:w="120" w:type="dxa"/>
            </w:tcMar>
          </w:tcPr>
          <w:p>
            <w:pPr>
              <w:spacing w:after="0"/>
            </w:pPr>
            <w:r>
              <w:rPr>
                <w:sz w:val="18"/>
              </w:rPr>
              <w:t>Connected URL and domain relations</w:t>
            </w:r>
          </w:p>
        </w:tc>
      </w:tr>
      <w:tr>
        <w:tc>
          <w:tcPr>
            <w:tcW w:type="dxa" w:w="1008"/>
            <w:vAlign w:val="center"/>
            <w:tcMar>
              <w:top w:w="100" w:type="dxa"/>
              <w:start w:w="120" w:type="dxa"/>
              <w:bottom w:w="100" w:type="dxa"/>
              <w:end w:w="120" w:type="dxa"/>
            </w:tcMar>
          </w:tcPr>
          <w:p>
            <w:pPr>
              <w:spacing w:after="0"/>
            </w:pPr>
            <w:r>
              <w:rPr>
                <w:sz w:val="18"/>
              </w:rPr>
              <w:t>5</w:t>
            </w:r>
          </w:p>
        </w:tc>
        <w:tc>
          <w:tcPr>
            <w:tcW w:type="dxa" w:w="3888"/>
            <w:vAlign w:val="center"/>
            <w:tcMar>
              <w:top w:w="100" w:type="dxa"/>
              <w:start w:w="120" w:type="dxa"/>
              <w:bottom w:w="100" w:type="dxa"/>
              <w:end w:w="120" w:type="dxa"/>
            </w:tcMar>
          </w:tcPr>
          <w:p>
            <w:pPr>
              <w:spacing w:after="0"/>
            </w:pPr>
            <w:r>
              <w:rPr>
                <w:sz w:val="18"/>
              </w:rPr>
              <w:t>The object 3003.gif is retrieved</w:t>
            </w:r>
          </w:p>
        </w:tc>
        <w:tc>
          <w:tcPr>
            <w:tcW w:type="dxa" w:w="3888"/>
            <w:vAlign w:val="center"/>
            <w:tcMar>
              <w:top w:w="100" w:type="dxa"/>
              <w:start w:w="120" w:type="dxa"/>
              <w:bottom w:w="100" w:type="dxa"/>
              <w:end w:w="120" w:type="dxa"/>
            </w:tcMar>
          </w:tcPr>
          <w:p>
            <w:pPr>
              <w:spacing w:after="0"/>
            </w:pPr>
            <w:r>
              <w:rPr>
                <w:sz w:val="18"/>
              </w:rPr>
              <w:t>Repeated payload filename in related URLs</w:t>
            </w:r>
          </w:p>
        </w:tc>
      </w:tr>
      <w:tr>
        <w:tc>
          <w:tcPr>
            <w:tcW w:type="dxa" w:w="1008"/>
            <w:vAlign w:val="center"/>
            <w:shd w:fill="F5F8FB"/>
            <w:tcMar>
              <w:top w:w="100" w:type="dxa"/>
              <w:start w:w="120" w:type="dxa"/>
              <w:bottom w:w="100" w:type="dxa"/>
              <w:end w:w="120" w:type="dxa"/>
            </w:tcMar>
          </w:tcPr>
          <w:p>
            <w:pPr>
              <w:spacing w:after="0"/>
            </w:pPr>
            <w:r>
              <w:rPr>
                <w:sz w:val="18"/>
              </w:rPr>
              <w:t>6</w:t>
            </w:r>
          </w:p>
        </w:tc>
        <w:tc>
          <w:tcPr>
            <w:tcW w:type="dxa" w:w="3888"/>
            <w:vAlign w:val="center"/>
            <w:shd w:fill="F5F8FB"/>
            <w:tcMar>
              <w:top w:w="100" w:type="dxa"/>
              <w:start w:w="120" w:type="dxa"/>
              <w:bottom w:w="100" w:type="dxa"/>
              <w:end w:w="120" w:type="dxa"/>
            </w:tcMar>
          </w:tcPr>
          <w:p>
            <w:pPr>
              <w:spacing w:after="0"/>
            </w:pPr>
            <w:r>
              <w:rPr>
                <w:sz w:val="18"/>
              </w:rPr>
              <w:t>A second-stage malicious component is staged</w:t>
            </w:r>
          </w:p>
        </w:tc>
        <w:tc>
          <w:tcPr>
            <w:tcW w:type="dxa" w:w="3888"/>
            <w:vAlign w:val="center"/>
            <w:shd w:fill="F5F8FB"/>
            <w:tcMar>
              <w:top w:w="100" w:type="dxa"/>
              <w:start w:w="120" w:type="dxa"/>
              <w:bottom w:w="100" w:type="dxa"/>
              <w:end w:w="120" w:type="dxa"/>
            </w:tcMar>
          </w:tcPr>
          <w:p>
            <w:pPr>
              <w:spacing w:after="0"/>
            </w:pPr>
            <w:r>
              <w:rPr>
                <w:sz w:val="18"/>
              </w:rPr>
              <w:t>Malicious detections and sandbox relationships</w:t>
            </w:r>
          </w:p>
        </w:tc>
      </w:tr>
    </w:tbl>
    <w:p>
      <w:pPr>
        <w:spacing w:after="0"/>
      </w:pPr>
    </w:p>
    <w:p>
      <w:pPr>
        <w:pStyle w:val="Heading1"/>
      </w:pPr>
      <w:r>
        <w:t>Indicators of Compromise</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293"/>
        <w:gridCol w:w="3293"/>
        <w:gridCol w:w="3293"/>
      </w:tblGrid>
      <w:tr>
        <w:tc>
          <w:tcPr>
            <w:tcW w:type="dxa" w:w="1656"/>
            <w:shd w:fill="17365D"/>
            <w:vAlign w:val="center"/>
            <w:tcMar>
              <w:top w:w="100" w:type="dxa"/>
              <w:start w:w="120" w:type="dxa"/>
              <w:bottom w:w="100" w:type="dxa"/>
              <w:end w:w="120" w:type="dxa"/>
            </w:tcMar>
          </w:tcPr>
          <w:p>
            <w:r>
              <w:rPr>
                <w:b/>
                <w:color w:val="FFFFFF"/>
                <w:sz w:val="19"/>
              </w:rPr>
              <w:t>Type</w:t>
            </w:r>
          </w:p>
        </w:tc>
        <w:tc>
          <w:tcPr>
            <w:tcW w:type="dxa" w:w="3240"/>
            <w:shd w:fill="17365D"/>
            <w:vAlign w:val="center"/>
            <w:tcMar>
              <w:top w:w="100" w:type="dxa"/>
              <w:start w:w="120" w:type="dxa"/>
              <w:bottom w:w="100" w:type="dxa"/>
              <w:end w:w="120" w:type="dxa"/>
            </w:tcMar>
          </w:tcPr>
          <w:p>
            <w:r>
              <w:rPr>
                <w:b/>
                <w:color w:val="FFFFFF"/>
                <w:sz w:val="19"/>
              </w:rPr>
              <w:t>Indicator</w:t>
            </w:r>
          </w:p>
        </w:tc>
        <w:tc>
          <w:tcPr>
            <w:tcW w:type="dxa" w:w="3888"/>
            <w:shd w:fill="17365D"/>
            <w:vAlign w:val="center"/>
            <w:tcMar>
              <w:top w:w="100" w:type="dxa"/>
              <w:start w:w="120" w:type="dxa"/>
              <w:bottom w:w="100" w:type="dxa"/>
              <w:end w:w="120" w:type="dxa"/>
            </w:tcMar>
          </w:tcPr>
          <w:p>
            <w:r>
              <w:rPr>
                <w:b/>
                <w:color w:val="FFFFFF"/>
                <w:sz w:val="19"/>
              </w:rPr>
              <w:t>Context</w:t>
            </w:r>
          </w:p>
        </w:tc>
      </w:tr>
      <w:tr>
        <w:tc>
          <w:tcPr>
            <w:tcW w:type="dxa" w:w="1656"/>
            <w:vAlign w:val="center"/>
            <w:tcMar>
              <w:top w:w="100" w:type="dxa"/>
              <w:start w:w="120" w:type="dxa"/>
              <w:bottom w:w="100" w:type="dxa"/>
              <w:end w:w="120" w:type="dxa"/>
            </w:tcMar>
          </w:tcPr>
          <w:p>
            <w:pPr>
              <w:spacing w:after="0"/>
            </w:pPr>
            <w:r>
              <w:rPr>
                <w:sz w:val="18"/>
              </w:rPr>
              <w:t>Filename</w:t>
            </w:r>
          </w:p>
        </w:tc>
        <w:tc>
          <w:tcPr>
            <w:tcW w:type="dxa" w:w="3240"/>
            <w:vAlign w:val="center"/>
            <w:tcMar>
              <w:top w:w="100" w:type="dxa"/>
              <w:start w:w="120" w:type="dxa"/>
              <w:bottom w:w="100" w:type="dxa"/>
              <w:end w:w="120" w:type="dxa"/>
            </w:tcMar>
          </w:tcPr>
          <w:p>
            <w:pPr>
              <w:spacing w:after="0"/>
            </w:pPr>
            <w:r>
              <w:rPr>
                <w:sz w:val="18"/>
              </w:rPr>
              <w:t>document-1982481273.xlsm</w:t>
            </w:r>
          </w:p>
        </w:tc>
        <w:tc>
          <w:tcPr>
            <w:tcW w:type="dxa" w:w="3888"/>
            <w:vAlign w:val="center"/>
            <w:tcMar>
              <w:top w:w="100" w:type="dxa"/>
              <w:start w:w="120" w:type="dxa"/>
              <w:bottom w:w="100" w:type="dxa"/>
              <w:end w:w="120" w:type="dxa"/>
            </w:tcMar>
          </w:tcPr>
          <w:p>
            <w:pPr>
              <w:spacing w:after="0"/>
            </w:pPr>
            <w:r>
              <w:rPr>
                <w:sz w:val="18"/>
              </w:rPr>
              <w:t>Initial malicious document</w:t>
            </w:r>
          </w:p>
        </w:tc>
      </w:tr>
      <w:tr>
        <w:tc>
          <w:tcPr>
            <w:tcW w:type="dxa" w:w="1656"/>
            <w:vAlign w:val="center"/>
            <w:shd w:fill="F5F8FB"/>
            <w:tcMar>
              <w:top w:w="100" w:type="dxa"/>
              <w:start w:w="120" w:type="dxa"/>
              <w:bottom w:w="100" w:type="dxa"/>
              <w:end w:w="120" w:type="dxa"/>
            </w:tcMar>
          </w:tcPr>
          <w:p>
            <w:pPr>
              <w:spacing w:after="0"/>
            </w:pPr>
            <w:r>
              <w:rPr>
                <w:sz w:val="18"/>
              </w:rPr>
              <w:t>Filename</w:t>
            </w:r>
          </w:p>
        </w:tc>
        <w:tc>
          <w:tcPr>
            <w:tcW w:type="dxa" w:w="3240"/>
            <w:vAlign w:val="center"/>
            <w:shd w:fill="F5F8FB"/>
            <w:tcMar>
              <w:top w:w="100" w:type="dxa"/>
              <w:start w:w="120" w:type="dxa"/>
              <w:bottom w:w="100" w:type="dxa"/>
              <w:end w:w="120" w:type="dxa"/>
            </w:tcMar>
          </w:tcPr>
          <w:p>
            <w:pPr>
              <w:spacing w:after="0"/>
            </w:pPr>
            <w:r>
              <w:rPr>
                <w:sz w:val="18"/>
              </w:rPr>
              <w:t>3003.gif</w:t>
            </w:r>
          </w:p>
        </w:tc>
        <w:tc>
          <w:tcPr>
            <w:tcW w:type="dxa" w:w="3888"/>
            <w:vAlign w:val="center"/>
            <w:shd w:fill="F5F8FB"/>
            <w:tcMar>
              <w:top w:w="100" w:type="dxa"/>
              <w:start w:w="120" w:type="dxa"/>
              <w:bottom w:w="100" w:type="dxa"/>
              <w:end w:w="120" w:type="dxa"/>
            </w:tcMar>
          </w:tcPr>
          <w:p>
            <w:pPr>
              <w:spacing w:after="0"/>
            </w:pPr>
            <w:r>
              <w:rPr>
                <w:sz w:val="18"/>
              </w:rPr>
              <w:t>Disguised additional payload</w:t>
            </w:r>
          </w:p>
        </w:tc>
      </w:tr>
      <w:tr>
        <w:tc>
          <w:tcPr>
            <w:tcW w:type="dxa" w:w="1656"/>
            <w:vAlign w:val="center"/>
            <w:tcMar>
              <w:top w:w="100" w:type="dxa"/>
              <w:start w:w="120" w:type="dxa"/>
              <w:bottom w:w="100" w:type="dxa"/>
              <w:end w:w="120" w:type="dxa"/>
            </w:tcMar>
          </w:tcPr>
          <w:p>
            <w:pPr>
              <w:spacing w:after="0"/>
            </w:pPr>
            <w:r>
              <w:rPr>
                <w:sz w:val="18"/>
              </w:rPr>
              <w:t>Malware</w:t>
            </w:r>
          </w:p>
        </w:tc>
        <w:tc>
          <w:tcPr>
            <w:tcW w:type="dxa" w:w="3240"/>
            <w:vAlign w:val="center"/>
            <w:tcMar>
              <w:top w:w="100" w:type="dxa"/>
              <w:start w:w="120" w:type="dxa"/>
              <w:bottom w:w="100" w:type="dxa"/>
              <w:end w:w="120" w:type="dxa"/>
            </w:tcMar>
          </w:tcPr>
          <w:p>
            <w:pPr>
              <w:spacing w:after="0"/>
            </w:pPr>
            <w:r>
              <w:rPr>
                <w:sz w:val="18"/>
              </w:rPr>
              <w:t>IcedID</w:t>
            </w:r>
          </w:p>
        </w:tc>
        <w:tc>
          <w:tcPr>
            <w:tcW w:type="dxa" w:w="3888"/>
            <w:vAlign w:val="center"/>
            <w:tcMar>
              <w:top w:w="100" w:type="dxa"/>
              <w:start w:w="120" w:type="dxa"/>
              <w:bottom w:w="100" w:type="dxa"/>
              <w:end w:w="120" w:type="dxa"/>
            </w:tcMar>
          </w:tcPr>
          <w:p>
            <w:pPr>
              <w:spacing w:after="0"/>
            </w:pPr>
            <w:r>
              <w:rPr>
                <w:sz w:val="18"/>
              </w:rPr>
              <w:t>Malware-family classification</w:t>
            </w:r>
          </w:p>
        </w:tc>
      </w:tr>
      <w:tr>
        <w:tc>
          <w:tcPr>
            <w:tcW w:type="dxa" w:w="1656"/>
            <w:vAlign w:val="center"/>
            <w:shd w:fill="F5F8FB"/>
            <w:tcMar>
              <w:top w:w="100" w:type="dxa"/>
              <w:start w:w="120" w:type="dxa"/>
              <w:bottom w:w="100" w:type="dxa"/>
              <w:end w:w="120" w:type="dxa"/>
            </w:tcMar>
          </w:tcPr>
          <w:p>
            <w:pPr>
              <w:spacing w:after="0"/>
            </w:pPr>
            <w:r>
              <w:rPr>
                <w:sz w:val="18"/>
              </w:rPr>
              <w:t>Threat cluster</w:t>
            </w:r>
          </w:p>
        </w:tc>
        <w:tc>
          <w:tcPr>
            <w:tcW w:type="dxa" w:w="3240"/>
            <w:vAlign w:val="center"/>
            <w:shd w:fill="F5F8FB"/>
            <w:tcMar>
              <w:top w:w="100" w:type="dxa"/>
              <w:start w:w="120" w:type="dxa"/>
              <w:bottom w:w="100" w:type="dxa"/>
              <w:end w:w="120" w:type="dxa"/>
            </w:tcMar>
          </w:tcPr>
          <w:p>
            <w:pPr>
              <w:spacing w:after="0"/>
            </w:pPr>
            <w:r>
              <w:rPr>
                <w:sz w:val="18"/>
              </w:rPr>
              <w:t>GOLD CABIN</w:t>
            </w:r>
          </w:p>
        </w:tc>
        <w:tc>
          <w:tcPr>
            <w:tcW w:type="dxa" w:w="3888"/>
            <w:vAlign w:val="center"/>
            <w:shd w:fill="F5F8FB"/>
            <w:tcMar>
              <w:top w:w="100" w:type="dxa"/>
              <w:start w:w="120" w:type="dxa"/>
              <w:bottom w:w="100" w:type="dxa"/>
              <w:end w:w="120" w:type="dxa"/>
            </w:tcMar>
          </w:tcPr>
          <w:p>
            <w:pPr>
              <w:spacing w:after="0"/>
            </w:pPr>
            <w:r>
              <w:rPr>
                <w:sz w:val="18"/>
              </w:rPr>
              <w:t>Threat-intelligence association</w:t>
            </w:r>
          </w:p>
        </w:tc>
      </w:tr>
      <w:tr>
        <w:tc>
          <w:tcPr>
            <w:tcW w:type="dxa" w:w="1656"/>
            <w:vAlign w:val="center"/>
            <w:tcMar>
              <w:top w:w="100" w:type="dxa"/>
              <w:start w:w="120" w:type="dxa"/>
              <w:bottom w:w="100" w:type="dxa"/>
              <w:end w:w="120" w:type="dxa"/>
            </w:tcMar>
          </w:tcPr>
          <w:p>
            <w:pPr>
              <w:spacing w:after="0"/>
            </w:pPr>
            <w:r>
              <w:rPr>
                <w:sz w:val="18"/>
              </w:rPr>
              <w:t>API</w:t>
            </w:r>
          </w:p>
        </w:tc>
        <w:tc>
          <w:tcPr>
            <w:tcW w:type="dxa" w:w="3240"/>
            <w:vAlign w:val="center"/>
            <w:tcMar>
              <w:top w:w="100" w:type="dxa"/>
              <w:start w:w="120" w:type="dxa"/>
              <w:bottom w:w="100" w:type="dxa"/>
              <w:end w:w="120" w:type="dxa"/>
            </w:tcMar>
          </w:tcPr>
          <w:p>
            <w:pPr>
              <w:spacing w:after="0"/>
            </w:pPr>
            <w:r>
              <w:rPr>
                <w:sz w:val="18"/>
              </w:rPr>
              <w:t>URLDownloadToFileA</w:t>
            </w:r>
          </w:p>
        </w:tc>
        <w:tc>
          <w:tcPr>
            <w:tcW w:type="dxa" w:w="3888"/>
            <w:vAlign w:val="center"/>
            <w:tcMar>
              <w:top w:w="100" w:type="dxa"/>
              <w:start w:w="120" w:type="dxa"/>
              <w:bottom w:w="100" w:type="dxa"/>
              <w:end w:w="120" w:type="dxa"/>
            </w:tcMar>
          </w:tcPr>
          <w:p>
            <w:pPr>
              <w:spacing w:after="0"/>
            </w:pPr>
            <w:r>
              <w:rPr>
                <w:sz w:val="18"/>
              </w:rPr>
              <w:t>Payload retrieval</w:t>
            </w:r>
          </w:p>
        </w:tc>
      </w:tr>
    </w:tbl>
    <w:p>
      <w:pPr>
        <w:spacing w:after="0"/>
      </w:pPr>
    </w:p>
    <w:p>
      <w:r>
        <w:t>Operational note: historical domains and IP addresses visible in sandbox reports should be revalidated before blocking. Expired infrastructure may later be registered or used by unrelated parties.</w:t>
      </w:r>
    </w:p>
    <w:p>
      <w:pPr>
        <w:pStyle w:val="Heading1"/>
      </w:pPr>
      <w:r>
        <w:t>MITRE ATT&amp;CK Mapping</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293"/>
        <w:gridCol w:w="3293"/>
        <w:gridCol w:w="3293"/>
      </w:tblGrid>
      <w:tr>
        <w:tc>
          <w:tcPr>
            <w:tcW w:type="dxa" w:w="2952"/>
            <w:shd w:fill="17365D"/>
            <w:vAlign w:val="center"/>
            <w:tcMar>
              <w:top w:w="100" w:type="dxa"/>
              <w:start w:w="120" w:type="dxa"/>
              <w:bottom w:w="100" w:type="dxa"/>
              <w:end w:w="120" w:type="dxa"/>
            </w:tcMar>
          </w:tcPr>
          <w:p>
            <w:r>
              <w:rPr>
                <w:b/>
                <w:color w:val="FFFFFF"/>
                <w:sz w:val="19"/>
              </w:rPr>
              <w:t>Technique</w:t>
            </w:r>
          </w:p>
        </w:tc>
        <w:tc>
          <w:tcPr>
            <w:tcW w:type="dxa" w:w="1512"/>
            <w:shd w:fill="17365D"/>
            <w:vAlign w:val="center"/>
            <w:tcMar>
              <w:top w:w="100" w:type="dxa"/>
              <w:start w:w="120" w:type="dxa"/>
              <w:bottom w:w="100" w:type="dxa"/>
              <w:end w:w="120" w:type="dxa"/>
            </w:tcMar>
          </w:tcPr>
          <w:p>
            <w:r>
              <w:rPr>
                <w:b/>
                <w:color w:val="FFFFFF"/>
                <w:sz w:val="19"/>
              </w:rPr>
              <w:t>ID</w:t>
            </w:r>
          </w:p>
        </w:tc>
        <w:tc>
          <w:tcPr>
            <w:tcW w:type="dxa" w:w="4320"/>
            <w:shd w:fill="17365D"/>
            <w:vAlign w:val="center"/>
            <w:tcMar>
              <w:top w:w="100" w:type="dxa"/>
              <w:start w:w="120" w:type="dxa"/>
              <w:bottom w:w="100" w:type="dxa"/>
              <w:end w:w="120" w:type="dxa"/>
            </w:tcMar>
          </w:tcPr>
          <w:p>
            <w:r>
              <w:rPr>
                <w:b/>
                <w:color w:val="FFFFFF"/>
                <w:sz w:val="19"/>
              </w:rPr>
              <w:t>Evidence basis</w:t>
            </w:r>
          </w:p>
        </w:tc>
      </w:tr>
      <w:tr>
        <w:tc>
          <w:tcPr>
            <w:tcW w:type="dxa" w:w="2952"/>
            <w:vAlign w:val="center"/>
            <w:tcMar>
              <w:top w:w="100" w:type="dxa"/>
              <w:start w:w="120" w:type="dxa"/>
              <w:bottom w:w="100" w:type="dxa"/>
              <w:end w:w="120" w:type="dxa"/>
            </w:tcMar>
          </w:tcPr>
          <w:p>
            <w:pPr>
              <w:spacing w:after="0"/>
            </w:pPr>
            <w:r>
              <w:rPr>
                <w:sz w:val="18"/>
              </w:rPr>
              <w:t>Phishing Attachment</w:t>
            </w:r>
          </w:p>
        </w:tc>
        <w:tc>
          <w:tcPr>
            <w:tcW w:type="dxa" w:w="1512"/>
            <w:vAlign w:val="center"/>
            <w:tcMar>
              <w:top w:w="100" w:type="dxa"/>
              <w:start w:w="120" w:type="dxa"/>
              <w:bottom w:w="100" w:type="dxa"/>
              <w:end w:w="120" w:type="dxa"/>
            </w:tcMar>
          </w:tcPr>
          <w:p>
            <w:pPr>
              <w:spacing w:after="0"/>
            </w:pPr>
            <w:r>
              <w:rPr>
                <w:sz w:val="18"/>
              </w:rPr>
              <w:t>T1566.001</w:t>
            </w:r>
          </w:p>
        </w:tc>
        <w:tc>
          <w:tcPr>
            <w:tcW w:type="dxa" w:w="4320"/>
            <w:vAlign w:val="center"/>
            <w:tcMar>
              <w:top w:w="100" w:type="dxa"/>
              <w:start w:w="120" w:type="dxa"/>
              <w:bottom w:w="100" w:type="dxa"/>
              <w:end w:w="120" w:type="dxa"/>
            </w:tcMar>
          </w:tcPr>
          <w:p>
            <w:pPr>
              <w:spacing w:after="0"/>
            </w:pPr>
            <w:r>
              <w:rPr>
                <w:sz w:val="18"/>
              </w:rPr>
              <w:t>Weaponized Excel workbook used as the initial file</w:t>
            </w:r>
          </w:p>
        </w:tc>
      </w:tr>
      <w:tr>
        <w:tc>
          <w:tcPr>
            <w:tcW w:type="dxa" w:w="2952"/>
            <w:vAlign w:val="center"/>
            <w:shd w:fill="F5F8FB"/>
            <w:tcMar>
              <w:top w:w="100" w:type="dxa"/>
              <w:start w:w="120" w:type="dxa"/>
              <w:bottom w:w="100" w:type="dxa"/>
              <w:end w:w="120" w:type="dxa"/>
            </w:tcMar>
          </w:tcPr>
          <w:p>
            <w:pPr>
              <w:spacing w:after="0"/>
            </w:pPr>
            <w:r>
              <w:rPr>
                <w:sz w:val="18"/>
              </w:rPr>
              <w:t>User Execution Malicious File</w:t>
            </w:r>
          </w:p>
        </w:tc>
        <w:tc>
          <w:tcPr>
            <w:tcW w:type="dxa" w:w="1512"/>
            <w:vAlign w:val="center"/>
            <w:shd w:fill="F5F8FB"/>
            <w:tcMar>
              <w:top w:w="100" w:type="dxa"/>
              <w:start w:w="120" w:type="dxa"/>
              <w:bottom w:w="100" w:type="dxa"/>
              <w:end w:w="120" w:type="dxa"/>
            </w:tcMar>
          </w:tcPr>
          <w:p>
            <w:pPr>
              <w:spacing w:after="0"/>
            </w:pPr>
            <w:r>
              <w:rPr>
                <w:sz w:val="18"/>
              </w:rPr>
              <w:t>T1204.002</w:t>
            </w:r>
          </w:p>
        </w:tc>
        <w:tc>
          <w:tcPr>
            <w:tcW w:type="dxa" w:w="4320"/>
            <w:vAlign w:val="center"/>
            <w:shd w:fill="F5F8FB"/>
            <w:tcMar>
              <w:top w:w="100" w:type="dxa"/>
              <w:start w:w="120" w:type="dxa"/>
              <w:bottom w:w="100" w:type="dxa"/>
              <w:end w:w="120" w:type="dxa"/>
            </w:tcMar>
          </w:tcPr>
          <w:p>
            <w:pPr>
              <w:spacing w:after="0"/>
            </w:pPr>
            <w:r>
              <w:rPr>
                <w:sz w:val="18"/>
              </w:rPr>
              <w:t>Document execution through Microsoft Excel</w:t>
            </w:r>
          </w:p>
        </w:tc>
      </w:tr>
      <w:tr>
        <w:tc>
          <w:tcPr>
            <w:tcW w:type="dxa" w:w="2952"/>
            <w:vAlign w:val="center"/>
            <w:tcMar>
              <w:top w:w="100" w:type="dxa"/>
              <w:start w:w="120" w:type="dxa"/>
              <w:bottom w:w="100" w:type="dxa"/>
              <w:end w:w="120" w:type="dxa"/>
            </w:tcMar>
          </w:tcPr>
          <w:p>
            <w:pPr>
              <w:spacing w:after="0"/>
            </w:pPr>
            <w:r>
              <w:rPr>
                <w:sz w:val="18"/>
              </w:rPr>
              <w:t>Ingress Tool Transfer</w:t>
            </w:r>
          </w:p>
        </w:tc>
        <w:tc>
          <w:tcPr>
            <w:tcW w:type="dxa" w:w="1512"/>
            <w:vAlign w:val="center"/>
            <w:tcMar>
              <w:top w:w="100" w:type="dxa"/>
              <w:start w:w="120" w:type="dxa"/>
              <w:bottom w:w="100" w:type="dxa"/>
              <w:end w:w="120" w:type="dxa"/>
            </w:tcMar>
          </w:tcPr>
          <w:p>
            <w:pPr>
              <w:spacing w:after="0"/>
            </w:pPr>
            <w:r>
              <w:rPr>
                <w:sz w:val="18"/>
              </w:rPr>
              <w:t>T1105</w:t>
            </w:r>
          </w:p>
        </w:tc>
        <w:tc>
          <w:tcPr>
            <w:tcW w:type="dxa" w:w="4320"/>
            <w:vAlign w:val="center"/>
            <w:tcMar>
              <w:top w:w="100" w:type="dxa"/>
              <w:start w:w="120" w:type="dxa"/>
              <w:bottom w:w="100" w:type="dxa"/>
              <w:end w:w="120" w:type="dxa"/>
            </w:tcMar>
          </w:tcPr>
          <w:p>
            <w:pPr>
              <w:spacing w:after="0"/>
            </w:pPr>
            <w:r>
              <w:rPr>
                <w:sz w:val="18"/>
              </w:rPr>
              <w:t>Remote retrieval of an additional payload</w:t>
            </w:r>
          </w:p>
        </w:tc>
      </w:tr>
      <w:tr>
        <w:tc>
          <w:tcPr>
            <w:tcW w:type="dxa" w:w="2952"/>
            <w:vAlign w:val="center"/>
            <w:shd w:fill="F5F8FB"/>
            <w:tcMar>
              <w:top w:w="100" w:type="dxa"/>
              <w:start w:w="120" w:type="dxa"/>
              <w:bottom w:w="100" w:type="dxa"/>
              <w:end w:w="120" w:type="dxa"/>
            </w:tcMar>
          </w:tcPr>
          <w:p>
            <w:pPr>
              <w:spacing w:after="0"/>
            </w:pPr>
            <w:r>
              <w:rPr>
                <w:sz w:val="18"/>
              </w:rPr>
              <w:t>Masquerading</w:t>
            </w:r>
          </w:p>
        </w:tc>
        <w:tc>
          <w:tcPr>
            <w:tcW w:type="dxa" w:w="1512"/>
            <w:vAlign w:val="center"/>
            <w:shd w:fill="F5F8FB"/>
            <w:tcMar>
              <w:top w:w="100" w:type="dxa"/>
              <w:start w:w="120" w:type="dxa"/>
              <w:bottom w:w="100" w:type="dxa"/>
              <w:end w:w="120" w:type="dxa"/>
            </w:tcMar>
          </w:tcPr>
          <w:p>
            <w:pPr>
              <w:spacing w:after="0"/>
            </w:pPr>
            <w:r>
              <w:rPr>
                <w:sz w:val="18"/>
              </w:rPr>
              <w:t>T1036</w:t>
            </w:r>
          </w:p>
        </w:tc>
        <w:tc>
          <w:tcPr>
            <w:tcW w:type="dxa" w:w="4320"/>
            <w:vAlign w:val="center"/>
            <w:shd w:fill="F5F8FB"/>
            <w:tcMar>
              <w:top w:w="100" w:type="dxa"/>
              <w:start w:w="120" w:type="dxa"/>
              <w:bottom w:w="100" w:type="dxa"/>
              <w:end w:w="120" w:type="dxa"/>
            </w:tcMar>
          </w:tcPr>
          <w:p>
            <w:pPr>
              <w:spacing w:after="0"/>
            </w:pPr>
            <w:r>
              <w:rPr>
                <w:sz w:val="18"/>
              </w:rPr>
              <w:t>Payload presented with a misleading .gif filename</w:t>
            </w:r>
          </w:p>
        </w:tc>
      </w:tr>
      <w:tr>
        <w:tc>
          <w:tcPr>
            <w:tcW w:type="dxa" w:w="2952"/>
            <w:vAlign w:val="center"/>
            <w:tcMar>
              <w:top w:w="100" w:type="dxa"/>
              <w:start w:w="120" w:type="dxa"/>
              <w:bottom w:w="100" w:type="dxa"/>
              <w:end w:w="120" w:type="dxa"/>
            </w:tcMar>
          </w:tcPr>
          <w:p>
            <w:pPr>
              <w:spacing w:after="0"/>
            </w:pPr>
            <w:r>
              <w:rPr>
                <w:sz w:val="18"/>
              </w:rPr>
              <w:t>Web Protocols</w:t>
            </w:r>
          </w:p>
        </w:tc>
        <w:tc>
          <w:tcPr>
            <w:tcW w:type="dxa" w:w="1512"/>
            <w:vAlign w:val="center"/>
            <w:tcMar>
              <w:top w:w="100" w:type="dxa"/>
              <w:start w:w="120" w:type="dxa"/>
              <w:bottom w:w="100" w:type="dxa"/>
              <w:end w:w="120" w:type="dxa"/>
            </w:tcMar>
          </w:tcPr>
          <w:p>
            <w:pPr>
              <w:spacing w:after="0"/>
            </w:pPr>
            <w:r>
              <w:rPr>
                <w:sz w:val="18"/>
              </w:rPr>
              <w:t>T1071.001</w:t>
            </w:r>
          </w:p>
        </w:tc>
        <w:tc>
          <w:tcPr>
            <w:tcW w:type="dxa" w:w="4320"/>
            <w:vAlign w:val="center"/>
            <w:tcMar>
              <w:top w:w="100" w:type="dxa"/>
              <w:start w:w="120" w:type="dxa"/>
              <w:bottom w:w="100" w:type="dxa"/>
              <w:end w:w="120" w:type="dxa"/>
            </w:tcMar>
          </w:tcPr>
          <w:p>
            <w:pPr>
              <w:spacing w:after="0"/>
            </w:pPr>
            <w:r>
              <w:rPr>
                <w:sz w:val="18"/>
              </w:rPr>
              <w:t>Payload delivery through web URLs</w:t>
            </w:r>
          </w:p>
        </w:tc>
      </w:tr>
    </w:tbl>
    <w:p>
      <w:pPr>
        <w:spacing w:after="0"/>
      </w:pPr>
    </w:p>
    <w:p>
      <w:pPr>
        <w:pStyle w:val="Heading1"/>
      </w:pPr>
      <w:r>
        <w:t>Detection Opportunities</w:t>
      </w:r>
    </w:p>
    <w:p>
      <w:pPr>
        <w:pStyle w:val="ListBullet"/>
      </w:pPr>
      <w:r>
        <w:t>Alert on Office applications initiating outbound connections to newly observed or low-reputation domains.</w:t>
      </w:r>
    </w:p>
    <w:p>
      <w:pPr>
        <w:pStyle w:val="ListBullet"/>
      </w:pPr>
      <w:r>
        <w:t>Detect Office processes invoking download-related APIs or spawning script interpreters and living-off-the-land binaries.</w:t>
      </w:r>
    </w:p>
    <w:p>
      <w:pPr>
        <w:pStyle w:val="ListBullet"/>
      </w:pPr>
      <w:r>
        <w:t>Inspect files whose extensions do not match their content or portable executable headers.</w:t>
      </w:r>
    </w:p>
    <w:p>
      <w:pPr>
        <w:pStyle w:val="ListBullet"/>
      </w:pPr>
      <w:r>
        <w:t>Hunt for repeated requests for the same payload filename across several unrelated domains.</w:t>
      </w:r>
    </w:p>
    <w:p>
      <w:pPr>
        <w:pStyle w:val="ListBullet"/>
      </w:pPr>
      <w:r>
        <w:t>Correlate attachment delivery, Office execution, DNS queries, proxy requests, and newly written files in a single timeline.</w:t>
      </w:r>
    </w:p>
    <w:p>
      <w:pPr>
        <w:pStyle w:val="ListBullet"/>
      </w:pPr>
      <w:r>
        <w:t>Use macro restrictions and Microsoft Attack Surface Reduction rules to reduce document-based execution risk.</w:t>
      </w:r>
    </w:p>
    <w:p>
      <w:pPr>
        <w:pStyle w:val="Heading1"/>
      </w:pPr>
      <w:r>
        <w:t>Incident Response Recommendations</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4939"/>
        <w:gridCol w:w="4939"/>
      </w:tblGrid>
      <w:tr>
        <w:tc>
          <w:tcPr>
            <w:tcW w:type="dxa" w:w="1584"/>
            <w:shd w:fill="17365D"/>
            <w:vAlign w:val="center"/>
            <w:tcMar>
              <w:top w:w="100" w:type="dxa"/>
              <w:start w:w="120" w:type="dxa"/>
              <w:bottom w:w="100" w:type="dxa"/>
              <w:end w:w="120" w:type="dxa"/>
            </w:tcMar>
          </w:tcPr>
          <w:p>
            <w:r>
              <w:rPr>
                <w:b/>
                <w:color w:val="FFFFFF"/>
                <w:sz w:val="19"/>
              </w:rPr>
              <w:t>Priority</w:t>
            </w:r>
          </w:p>
        </w:tc>
        <w:tc>
          <w:tcPr>
            <w:tcW w:type="dxa" w:w="7200"/>
            <w:shd w:fill="17365D"/>
            <w:vAlign w:val="center"/>
            <w:tcMar>
              <w:top w:w="100" w:type="dxa"/>
              <w:start w:w="120" w:type="dxa"/>
              <w:bottom w:w="100" w:type="dxa"/>
              <w:end w:w="120" w:type="dxa"/>
            </w:tcMar>
          </w:tcPr>
          <w:p>
            <w:r>
              <w:rPr>
                <w:b/>
                <w:color w:val="FFFFFF"/>
                <w:sz w:val="19"/>
              </w:rPr>
              <w:t>Action</w:t>
            </w:r>
          </w:p>
        </w:tc>
      </w:tr>
      <w:tr>
        <w:tc>
          <w:tcPr>
            <w:tcW w:type="dxa" w:w="1584"/>
            <w:vAlign w:val="center"/>
            <w:tcMar>
              <w:top w:w="100" w:type="dxa"/>
              <w:start w:w="120" w:type="dxa"/>
              <w:bottom w:w="100" w:type="dxa"/>
              <w:end w:w="120" w:type="dxa"/>
            </w:tcMar>
          </w:tcPr>
          <w:p>
            <w:pPr>
              <w:spacing w:after="0"/>
            </w:pPr>
            <w:r>
              <w:rPr>
                <w:sz w:val="18"/>
              </w:rPr>
              <w:t>Immediate</w:t>
            </w:r>
          </w:p>
        </w:tc>
        <w:tc>
          <w:tcPr>
            <w:tcW w:type="dxa" w:w="7200"/>
            <w:vAlign w:val="center"/>
            <w:tcMar>
              <w:top w:w="100" w:type="dxa"/>
              <w:start w:w="120" w:type="dxa"/>
              <w:bottom w:w="100" w:type="dxa"/>
              <w:end w:w="120" w:type="dxa"/>
            </w:tcMar>
          </w:tcPr>
          <w:p>
            <w:pPr>
              <w:spacing w:after="0"/>
            </w:pPr>
            <w:r>
              <w:rPr>
                <w:sz w:val="18"/>
              </w:rPr>
              <w:t>Isolate endpoints that opened the workbook and preserve volatile evidence.</w:t>
            </w:r>
          </w:p>
        </w:tc>
      </w:tr>
      <w:tr>
        <w:tc>
          <w:tcPr>
            <w:tcW w:type="dxa" w:w="1584"/>
            <w:vAlign w:val="center"/>
            <w:shd w:fill="F5F8FB"/>
            <w:tcMar>
              <w:top w:w="100" w:type="dxa"/>
              <w:start w:w="120" w:type="dxa"/>
              <w:bottom w:w="100" w:type="dxa"/>
              <w:end w:w="120" w:type="dxa"/>
            </w:tcMar>
          </w:tcPr>
          <w:p>
            <w:pPr>
              <w:spacing w:after="0"/>
            </w:pPr>
            <w:r>
              <w:rPr>
                <w:sz w:val="18"/>
              </w:rPr>
              <w:t>Immediate</w:t>
            </w:r>
          </w:p>
        </w:tc>
        <w:tc>
          <w:tcPr>
            <w:tcW w:type="dxa" w:w="7200"/>
            <w:vAlign w:val="center"/>
            <w:shd w:fill="F5F8FB"/>
            <w:tcMar>
              <w:top w:w="100" w:type="dxa"/>
              <w:start w:w="120" w:type="dxa"/>
              <w:bottom w:w="100" w:type="dxa"/>
              <w:end w:w="120" w:type="dxa"/>
            </w:tcMar>
          </w:tcPr>
          <w:p>
            <w:pPr>
              <w:spacing w:after="0"/>
            </w:pPr>
            <w:r>
              <w:rPr>
                <w:sz w:val="18"/>
              </w:rPr>
              <w:t>Quarantine the initial document and every retrieved artifact.</w:t>
            </w:r>
          </w:p>
        </w:tc>
      </w:tr>
      <w:tr>
        <w:tc>
          <w:tcPr>
            <w:tcW w:type="dxa" w:w="1584"/>
            <w:vAlign w:val="center"/>
            <w:tcMar>
              <w:top w:w="100" w:type="dxa"/>
              <w:start w:w="120" w:type="dxa"/>
              <w:bottom w:w="100" w:type="dxa"/>
              <w:end w:w="120" w:type="dxa"/>
            </w:tcMar>
          </w:tcPr>
          <w:p>
            <w:pPr>
              <w:spacing w:after="0"/>
            </w:pPr>
            <w:r>
              <w:rPr>
                <w:sz w:val="18"/>
              </w:rPr>
              <w:t>High</w:t>
            </w:r>
          </w:p>
        </w:tc>
        <w:tc>
          <w:tcPr>
            <w:tcW w:type="dxa" w:w="7200"/>
            <w:vAlign w:val="center"/>
            <w:tcMar>
              <w:top w:w="100" w:type="dxa"/>
              <w:start w:w="120" w:type="dxa"/>
              <w:bottom w:w="100" w:type="dxa"/>
              <w:end w:w="120" w:type="dxa"/>
            </w:tcMar>
          </w:tcPr>
          <w:p>
            <w:pPr>
              <w:spacing w:after="0"/>
            </w:pPr>
            <w:r>
              <w:rPr>
                <w:sz w:val="18"/>
              </w:rPr>
              <w:t>Search email, endpoint, DNS, proxy, and firewall telemetry for related indicators and behavior.</w:t>
            </w:r>
          </w:p>
        </w:tc>
      </w:tr>
      <w:tr>
        <w:tc>
          <w:tcPr>
            <w:tcW w:type="dxa" w:w="1584"/>
            <w:vAlign w:val="center"/>
            <w:shd w:fill="F5F8FB"/>
            <w:tcMar>
              <w:top w:w="100" w:type="dxa"/>
              <w:start w:w="120" w:type="dxa"/>
              <w:bottom w:w="100" w:type="dxa"/>
              <w:end w:w="120" w:type="dxa"/>
            </w:tcMar>
          </w:tcPr>
          <w:p>
            <w:pPr>
              <w:spacing w:after="0"/>
            </w:pPr>
            <w:r>
              <w:rPr>
                <w:sz w:val="18"/>
              </w:rPr>
              <w:t>High</w:t>
            </w:r>
          </w:p>
        </w:tc>
        <w:tc>
          <w:tcPr>
            <w:tcW w:type="dxa" w:w="7200"/>
            <w:vAlign w:val="center"/>
            <w:shd w:fill="F5F8FB"/>
            <w:tcMar>
              <w:top w:w="100" w:type="dxa"/>
              <w:start w:w="120" w:type="dxa"/>
              <w:bottom w:w="100" w:type="dxa"/>
              <w:end w:w="120" w:type="dxa"/>
            </w:tcMar>
          </w:tcPr>
          <w:p>
            <w:pPr>
              <w:spacing w:after="0"/>
            </w:pPr>
            <w:r>
              <w:rPr>
                <w:sz w:val="18"/>
              </w:rPr>
              <w:t>Block infrastructure confirmed to remain malicious after current validation.</w:t>
            </w:r>
          </w:p>
        </w:tc>
      </w:tr>
      <w:tr>
        <w:tc>
          <w:tcPr>
            <w:tcW w:type="dxa" w:w="1584"/>
            <w:vAlign w:val="center"/>
            <w:tcMar>
              <w:top w:w="100" w:type="dxa"/>
              <w:start w:w="120" w:type="dxa"/>
              <w:bottom w:w="100" w:type="dxa"/>
              <w:end w:w="120" w:type="dxa"/>
            </w:tcMar>
          </w:tcPr>
          <w:p>
            <w:pPr>
              <w:spacing w:after="0"/>
            </w:pPr>
            <w:r>
              <w:rPr>
                <w:sz w:val="18"/>
              </w:rPr>
              <w:t>High</w:t>
            </w:r>
          </w:p>
        </w:tc>
        <w:tc>
          <w:tcPr>
            <w:tcW w:type="dxa" w:w="7200"/>
            <w:vAlign w:val="center"/>
            <w:tcMar>
              <w:top w:w="100" w:type="dxa"/>
              <w:start w:w="120" w:type="dxa"/>
              <w:bottom w:w="100" w:type="dxa"/>
              <w:end w:w="120" w:type="dxa"/>
            </w:tcMar>
          </w:tcPr>
          <w:p>
            <w:pPr>
              <w:spacing w:after="0"/>
            </w:pPr>
            <w:r>
              <w:rPr>
                <w:sz w:val="18"/>
              </w:rPr>
              <w:t>Investigate persistence, credential access, and lateral movement before restoring the host.</w:t>
            </w:r>
          </w:p>
        </w:tc>
      </w:tr>
      <w:tr>
        <w:tc>
          <w:tcPr>
            <w:tcW w:type="dxa" w:w="1584"/>
            <w:vAlign w:val="center"/>
            <w:shd w:fill="F5F8FB"/>
            <w:tcMar>
              <w:top w:w="100" w:type="dxa"/>
              <w:start w:w="120" w:type="dxa"/>
              <w:bottom w:w="100" w:type="dxa"/>
              <w:end w:w="120" w:type="dxa"/>
            </w:tcMar>
          </w:tcPr>
          <w:p>
            <w:pPr>
              <w:spacing w:after="0"/>
            </w:pPr>
            <w:r>
              <w:rPr>
                <w:sz w:val="18"/>
              </w:rPr>
              <w:t>Preventive</w:t>
            </w:r>
          </w:p>
        </w:tc>
        <w:tc>
          <w:tcPr>
            <w:tcW w:type="dxa" w:w="7200"/>
            <w:vAlign w:val="center"/>
            <w:shd w:fill="F5F8FB"/>
            <w:tcMar>
              <w:top w:w="100" w:type="dxa"/>
              <w:start w:w="120" w:type="dxa"/>
              <w:bottom w:w="100" w:type="dxa"/>
              <w:end w:w="120" w:type="dxa"/>
            </w:tcMar>
          </w:tcPr>
          <w:p>
            <w:pPr>
              <w:spacing w:after="0"/>
            </w:pPr>
            <w:r>
              <w:rPr>
                <w:sz w:val="18"/>
              </w:rPr>
              <w:t>Strengthen macro controls, attachment sandboxing, and endpoint behavioral detections.</w:t>
            </w:r>
          </w:p>
        </w:tc>
      </w:tr>
    </w:tbl>
    <w:p>
      <w:pPr>
        <w:spacing w:after="0"/>
      </w:pPr>
    </w:p>
    <w:p>
      <w:pPr>
        <w:pStyle w:val="Heading1"/>
      </w:pPr>
      <w:r>
        <w:t>Answers Summary</w:t>
      </w:r>
    </w:p>
    <w:tbl>
      <w:tblPr>
        <w:tblW w:type="auto" w:w="0"/>
        <w:jc w:val="center"/>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4939"/>
        <w:gridCol w:w="4939"/>
      </w:tblGrid>
      <w:tr>
        <w:tc>
          <w:tcPr>
            <w:tcW w:type="dxa" w:w="5328"/>
            <w:shd w:fill="17365D"/>
            <w:vAlign w:val="center"/>
            <w:tcMar>
              <w:top w:w="100" w:type="dxa"/>
              <w:start w:w="120" w:type="dxa"/>
              <w:bottom w:w="100" w:type="dxa"/>
              <w:end w:w="120" w:type="dxa"/>
            </w:tcMar>
          </w:tcPr>
          <w:p>
            <w:r>
              <w:rPr>
                <w:b/>
                <w:color w:val="FFFFFF"/>
                <w:sz w:val="19"/>
              </w:rPr>
              <w:t>Investigation item</w:t>
            </w:r>
          </w:p>
        </w:tc>
        <w:tc>
          <w:tcPr>
            <w:tcW w:type="dxa" w:w="3456"/>
            <w:shd w:fill="17365D"/>
            <w:vAlign w:val="center"/>
            <w:tcMar>
              <w:top w:w="100" w:type="dxa"/>
              <w:start w:w="120" w:type="dxa"/>
              <w:bottom w:w="100" w:type="dxa"/>
              <w:end w:w="120" w:type="dxa"/>
            </w:tcMar>
          </w:tcPr>
          <w:p>
            <w:r>
              <w:rPr>
                <w:b/>
                <w:color w:val="FFFFFF"/>
                <w:sz w:val="19"/>
              </w:rPr>
              <w:t>Verified finding</w:t>
            </w:r>
          </w:p>
        </w:tc>
      </w:tr>
      <w:tr>
        <w:tc>
          <w:tcPr>
            <w:tcW w:type="dxa" w:w="5328"/>
            <w:vAlign w:val="center"/>
            <w:tcMar>
              <w:top w:w="100" w:type="dxa"/>
              <w:start w:w="120" w:type="dxa"/>
              <w:bottom w:w="100" w:type="dxa"/>
              <w:end w:w="120" w:type="dxa"/>
            </w:tcMar>
          </w:tcPr>
          <w:p>
            <w:pPr>
              <w:spacing w:after="0"/>
            </w:pPr>
            <w:r>
              <w:rPr>
                <w:sz w:val="18"/>
              </w:rPr>
              <w:t>File associated with the supplied hash</w:t>
            </w:r>
          </w:p>
        </w:tc>
        <w:tc>
          <w:tcPr>
            <w:tcW w:type="dxa" w:w="3456"/>
            <w:vAlign w:val="center"/>
            <w:tcMar>
              <w:top w:w="100" w:type="dxa"/>
              <w:start w:w="120" w:type="dxa"/>
              <w:bottom w:w="100" w:type="dxa"/>
              <w:end w:w="120" w:type="dxa"/>
            </w:tcMar>
          </w:tcPr>
          <w:p>
            <w:pPr>
              <w:spacing w:after="0"/>
            </w:pPr>
            <w:r>
              <w:rPr>
                <w:sz w:val="18"/>
              </w:rPr>
              <w:t>document-1982481273.xlsm</w:t>
            </w:r>
          </w:p>
        </w:tc>
      </w:tr>
      <w:tr>
        <w:tc>
          <w:tcPr>
            <w:tcW w:type="dxa" w:w="5328"/>
            <w:vAlign w:val="center"/>
            <w:shd w:fill="F5F8FB"/>
            <w:tcMar>
              <w:top w:w="100" w:type="dxa"/>
              <w:start w:w="120" w:type="dxa"/>
              <w:bottom w:w="100" w:type="dxa"/>
              <w:end w:w="120" w:type="dxa"/>
            </w:tcMar>
          </w:tcPr>
          <w:p>
            <w:pPr>
              <w:spacing w:after="0"/>
            </w:pPr>
            <w:r>
              <w:rPr>
                <w:sz w:val="18"/>
              </w:rPr>
              <w:t>Deployed GIF filename</w:t>
            </w:r>
          </w:p>
        </w:tc>
        <w:tc>
          <w:tcPr>
            <w:tcW w:type="dxa" w:w="3456"/>
            <w:vAlign w:val="center"/>
            <w:shd w:fill="F5F8FB"/>
            <w:tcMar>
              <w:top w:w="100" w:type="dxa"/>
              <w:start w:w="120" w:type="dxa"/>
              <w:bottom w:w="100" w:type="dxa"/>
              <w:end w:w="120" w:type="dxa"/>
            </w:tcMar>
          </w:tcPr>
          <w:p>
            <w:pPr>
              <w:spacing w:after="0"/>
            </w:pPr>
            <w:r>
              <w:rPr>
                <w:sz w:val="18"/>
              </w:rPr>
              <w:t>3003.gif</w:t>
            </w:r>
          </w:p>
        </w:tc>
      </w:tr>
      <w:tr>
        <w:tc>
          <w:tcPr>
            <w:tcW w:type="dxa" w:w="5328"/>
            <w:vAlign w:val="center"/>
            <w:tcMar>
              <w:top w:w="100" w:type="dxa"/>
              <w:start w:w="120" w:type="dxa"/>
              <w:bottom w:w="100" w:type="dxa"/>
              <w:end w:w="120" w:type="dxa"/>
            </w:tcMar>
          </w:tcPr>
          <w:p>
            <w:pPr>
              <w:spacing w:after="0"/>
            </w:pPr>
            <w:r>
              <w:rPr>
                <w:sz w:val="18"/>
              </w:rPr>
              <w:t>Number of payload-hosting domains</w:t>
            </w:r>
          </w:p>
        </w:tc>
        <w:tc>
          <w:tcPr>
            <w:tcW w:type="dxa" w:w="3456"/>
            <w:vAlign w:val="center"/>
            <w:tcMar>
              <w:top w:w="100" w:type="dxa"/>
              <w:start w:w="120" w:type="dxa"/>
              <w:bottom w:w="100" w:type="dxa"/>
              <w:end w:w="120" w:type="dxa"/>
            </w:tcMar>
          </w:tcPr>
          <w:p>
            <w:pPr>
              <w:spacing w:after="0"/>
            </w:pPr>
            <w:r>
              <w:rPr>
                <w:sz w:val="18"/>
              </w:rPr>
              <w:t>5</w:t>
            </w:r>
          </w:p>
        </w:tc>
      </w:tr>
      <w:tr>
        <w:tc>
          <w:tcPr>
            <w:tcW w:type="dxa" w:w="5328"/>
            <w:vAlign w:val="center"/>
            <w:shd w:fill="F5F8FB"/>
            <w:tcMar>
              <w:top w:w="100" w:type="dxa"/>
              <w:start w:w="120" w:type="dxa"/>
              <w:bottom w:w="100" w:type="dxa"/>
              <w:end w:w="120" w:type="dxa"/>
            </w:tcMar>
          </w:tcPr>
          <w:p>
            <w:pPr>
              <w:spacing w:after="0"/>
            </w:pPr>
            <w:r>
              <w:rPr>
                <w:sz w:val="18"/>
              </w:rPr>
              <w:t>Registrar used for the .com domain</w:t>
            </w:r>
          </w:p>
        </w:tc>
        <w:tc>
          <w:tcPr>
            <w:tcW w:type="dxa" w:w="3456"/>
            <w:vAlign w:val="center"/>
            <w:shd w:fill="F5F8FB"/>
            <w:tcMar>
              <w:top w:w="100" w:type="dxa"/>
              <w:start w:w="120" w:type="dxa"/>
              <w:bottom w:w="100" w:type="dxa"/>
              <w:end w:w="120" w:type="dxa"/>
            </w:tcMar>
          </w:tcPr>
          <w:p>
            <w:pPr>
              <w:spacing w:after="0"/>
            </w:pPr>
            <w:r>
              <w:rPr>
                <w:sz w:val="18"/>
              </w:rPr>
              <w:t>NameCheap</w:t>
            </w:r>
          </w:p>
        </w:tc>
      </w:tr>
      <w:tr>
        <w:tc>
          <w:tcPr>
            <w:tcW w:type="dxa" w:w="5328"/>
            <w:vAlign w:val="center"/>
            <w:tcMar>
              <w:top w:w="100" w:type="dxa"/>
              <w:start w:w="120" w:type="dxa"/>
              <w:bottom w:w="100" w:type="dxa"/>
              <w:end w:w="120" w:type="dxa"/>
            </w:tcMar>
          </w:tcPr>
          <w:p>
            <w:pPr>
              <w:spacing w:after="0"/>
            </w:pPr>
            <w:r>
              <w:rPr>
                <w:sz w:val="18"/>
              </w:rPr>
              <w:t>Associated threat actor</w:t>
            </w:r>
          </w:p>
        </w:tc>
        <w:tc>
          <w:tcPr>
            <w:tcW w:type="dxa" w:w="3456"/>
            <w:vAlign w:val="center"/>
            <w:tcMar>
              <w:top w:w="100" w:type="dxa"/>
              <w:start w:w="120" w:type="dxa"/>
              <w:bottom w:w="100" w:type="dxa"/>
              <w:end w:w="120" w:type="dxa"/>
            </w:tcMar>
          </w:tcPr>
          <w:p>
            <w:pPr>
              <w:spacing w:after="0"/>
            </w:pPr>
            <w:r>
              <w:rPr>
                <w:sz w:val="18"/>
              </w:rPr>
              <w:t>GOLD CABIN</w:t>
            </w:r>
          </w:p>
        </w:tc>
      </w:tr>
      <w:tr>
        <w:tc>
          <w:tcPr>
            <w:tcW w:type="dxa" w:w="5328"/>
            <w:vAlign w:val="center"/>
            <w:shd w:fill="F5F8FB"/>
            <w:tcMar>
              <w:top w:w="100" w:type="dxa"/>
              <w:start w:w="120" w:type="dxa"/>
              <w:bottom w:w="100" w:type="dxa"/>
              <w:end w:w="120" w:type="dxa"/>
            </w:tcMar>
          </w:tcPr>
          <w:p>
            <w:pPr>
              <w:spacing w:after="0"/>
            </w:pPr>
            <w:r>
              <w:rPr>
                <w:sz w:val="18"/>
              </w:rPr>
              <w:t>Function used to fetch extra payloads</w:t>
            </w:r>
          </w:p>
        </w:tc>
        <w:tc>
          <w:tcPr>
            <w:tcW w:type="dxa" w:w="3456"/>
            <w:vAlign w:val="center"/>
            <w:shd w:fill="F5F8FB"/>
            <w:tcMar>
              <w:top w:w="100" w:type="dxa"/>
              <w:start w:w="120" w:type="dxa"/>
              <w:bottom w:w="100" w:type="dxa"/>
              <w:end w:w="120" w:type="dxa"/>
            </w:tcMar>
          </w:tcPr>
          <w:p>
            <w:pPr>
              <w:spacing w:after="0"/>
            </w:pPr>
            <w:r>
              <w:rPr>
                <w:sz w:val="18"/>
              </w:rPr>
              <w:t>URLDownloadToFileA</w:t>
            </w:r>
          </w:p>
        </w:tc>
      </w:tr>
    </w:tbl>
    <w:p>
      <w:pPr>
        <w:spacing w:after="0"/>
      </w:pPr>
    </w:p>
    <w:p>
      <w:pPr>
        <w:pStyle w:val="Heading1"/>
      </w:pPr>
      <w:r>
        <w:t>Conclusion</w:t>
      </w:r>
    </w:p>
    <w:p>
      <w:r>
        <w:t>The investigation reconstructed a document-led IcedID delivery chain from a single hash. The malicious Excel workbook used multiple remote domains to retrieve a disguised object named 3003.gif, and sandbox behavior connected the retrieval to URLDownloadToFileA. Threat-intelligence enrichment associated the malware family with GOLD CABIN. The case demonstrates why analysts should pivot from a hash into metadata, relationships, infrastructure, attribution, and behavior, while keeping every conclusion tied to visible evidence and clearly stating uncertainty.</w:t>
      </w:r>
    </w:p>
    <w:sectPr w:rsidR="00FC693F" w:rsidRPr="0006063C" w:rsidSect="00034616">
      <w:footerReference w:type="default" r:id="rId9"/>
      <w:pgSz w:w="12240" w:h="15840"/>
      <w:pgMar w:top="1080"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IcedID Malware Intelligence Investigation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327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6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20"/>
    </w:pPr>
    <w:rPr>
      <w:rFonts w:asciiTheme="majorHAnsi" w:eastAsiaTheme="majorEastAsia" w:hAnsiTheme="majorHAnsi" w:cstheme="majorBidi" w:ascii="Aptos Display" w:hAnsi="Aptos Display"/>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IcedID Malware Intelligence Investigation Report</dc:title>
  <dc:subject>CyberDefenders malware analysis and threat intelligence lab</dc:subject>
  <dc:creator>Alaa Zahra</dc:creator>
  <cp:keywords>IcedID, malware analysis, VirusTotal, Malpedia, threat intelligence</cp:keywords>
  <dc:description>generated by python-docx</dc:description>
  <cp:lastModifiedBy/>
  <cp:revision>1</cp:revision>
  <dcterms:created xsi:type="dcterms:W3CDTF">2013-12-23T23:15:00Z</dcterms:created>
  <dcterms:modified xsi:type="dcterms:W3CDTF">2013-12-23T23:15:00Z</dcterms:modified>
  <cp:category/>
</cp:coreProperties>
</file>