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64"/>
          <w:szCs w:val="64"/>
        </w:rPr>
        <w:t xml:space="preserve">E-HEALTH</w:t>
      </w:r>
    </w:p>
    <w:p>
      <w:pPr>
        <w:spacing w:after="60" w:before="0"/>
      </w:pPr>
      <w:r>
        <w:rPr>
          <w:rFonts w:ascii="Arial" w:cs="Arial" w:eastAsia="Arial" w:hAnsi="Arial"/>
          <w:b/>
          <w:bCs/>
          <w:color w:val="2E75B6"/>
          <w:sz w:val="36"/>
          <w:szCs w:val="36"/>
        </w:rPr>
        <w:t xml:space="preserve">Rapport Explicatif du Projet</w:t>
      </w:r>
    </w:p>
    <w:p>
      <w:pPr>
        <w:pBdr>
          <w:bottom w:val="single" w:color="2E75B6" w:sz="8" w:space="4"/>
        </w:pBdr>
        <w:spacing w:after="200" w:before="0"/>
      </w:pPr>
      <w:r>
        <w:rPr>
          <w:rFonts w:ascii="Arial" w:cs="Arial" w:eastAsia="Arial" w:hAnsi="Arial"/>
          <w:color w:val="555555"/>
          <w:sz w:val="22"/>
          <w:szCs w:val="22"/>
        </w:rPr>
        <w:t xml:space="preserve">Architecture Microservices — Spring Boot 3 / Spring Cloud / Angular</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1. Architecture générale</w:t>
      </w:r>
    </w:p>
    <w:p>
      <w:pPr>
        <w:spacing w:after="80" w:before="80"/>
      </w:pPr>
      <w:r>
        <w:rPr>
          <w:rFonts w:ascii="Arial" w:cs="Arial" w:eastAsia="Arial" w:hAnsi="Arial"/>
          <w:color w:val="2C2C2C"/>
          <w:sz w:val="22"/>
          <w:szCs w:val="22"/>
        </w:rPr>
        <w:t xml:space="preserve">Le projet E-Health repose sur une architecture microservices indépendants, chacun disposant de sa propre base de données H2 en mémoire. Les liens métier entre services s'établissent par identifiants et appels réseau (OpenFeign) ou messages asynchrones (RabbitMQ), sans clé étrangère SQL inter-bases.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eureka-server</w:t>
            </w:r>
          </w:p>
        </w:tc>
        <w:tc>
          <w:tcPr>
            <w:tcW w:type="dxa" w:w="1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8761</w:t>
            </w:r>
          </w:p>
        </w:tc>
        <w:tc>
          <w:tcPr>
            <w:tcW w:type="dxa" w:w="5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Registre des services : enregistrement et découverte des instances pour le load balancing (lb://nom-service).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config-server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8888</w:t>
            </w:r>
          </w:p>
        </w:tc>
        <w:tc>
          <w:tcPr>
            <w:tcW w:type="dxa" w:w="5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Configuration centralisée (optionnelle selon spring.config.import dans chaque service).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api-gateway</w:t>
            </w:r>
          </w:p>
        </w:tc>
        <w:tc>
          <w:tcPr>
            <w:tcW w:type="dxa" w:w="1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8090</w:t>
            </w:r>
          </w:p>
        </w:tc>
        <w:tc>
          <w:tcPr>
            <w:tcW w:type="dxa" w:w="5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Point d'entrée unique HTTP : routage /api/patients/**, /api/doctors/**, etc. vers les microservices ; CORS pour le front Angular.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patient-service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8081</w:t>
            </w:r>
          </w:p>
        </w:tc>
        <w:tc>
          <w:tcPr>
            <w:tcW w:type="dxa" w:w="5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Gestion des patients (données H2 en mémoire).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doctor-service</w:t>
            </w:r>
          </w:p>
        </w:tc>
        <w:tc>
          <w:tcPr>
            <w:tcW w:type="dxa" w:w="1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8082</w:t>
            </w:r>
          </w:p>
        </w:tc>
        <w:tc>
          <w:tcPr>
            <w:tcW w:type="dxa" w:w="5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Gestion des médecins (données H2 en mémoire).</w:t>
            </w:r>
          </w:p>
        </w:tc>
      </w:tr>
    </w:tbl>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2. Microservice patient-service</w:t>
      </w:r>
    </w:p>
    <w:p>
      <w:pPr>
        <w:pStyle w:val="Heading2"/>
        <w:spacing w:after="100" w:before="240"/>
      </w:pPr>
      <w:r>
        <w:rPr>
          <w:rFonts w:ascii="Arial" w:cs="Arial" w:eastAsia="Arial" w:hAnsi="Arial"/>
          <w:b/>
          <w:bCs/>
          <w:color w:val="2E75B6"/>
          <w:sz w:val="24"/>
          <w:szCs w:val="24"/>
        </w:rPr>
        <w:t xml:space="preserve">2.1 Données métier</w:t>
      </w:r>
    </w:p>
    <w:p>
      <w:pPr>
        <w:spacing w:after="80" w:before="80"/>
      </w:pPr>
      <w:r>
        <w:rPr>
          <w:rFonts w:ascii="Arial" w:cs="Arial" w:eastAsia="Arial" w:hAnsi="Arial"/>
          <w:color w:val="2C2C2C"/>
          <w:sz w:val="22"/>
          <w:szCs w:val="22"/>
        </w:rPr>
        <w:t xml:space="preserve">L'entité Patient regroupe les informations suivantes :</w:t>
      </w:r>
    </w:p>
    <w:p>
      <w:pPr>
        <w:pStyle w:val="ListParagraph"/>
        <w:numPr>
          <w:ilvl w:val="0"/>
          <w:numId w:val="2"/>
        </w:numPr>
        <w:spacing w:after="40" w:before="40"/>
      </w:pPr>
      <w:r>
        <w:rPr>
          <w:rFonts w:ascii="Arial" w:cs="Arial" w:eastAsia="Arial" w:hAnsi="Arial"/>
          <w:b w:val="false"/>
          <w:bCs w:val="false"/>
          <w:color w:val="2C2C2C"/>
          <w:sz w:val="22"/>
          <w:szCs w:val="22"/>
        </w:rPr>
        <w:t xml:space="preserve">Identité et coordonnées : nom, prénom, email, téléphone.</w:t>
      </w:r>
    </w:p>
    <w:p>
      <w:pPr>
        <w:pStyle w:val="ListParagraph"/>
        <w:numPr>
          <w:ilvl w:val="0"/>
          <w:numId w:val="2"/>
        </w:numPr>
        <w:spacing w:after="40" w:before="40"/>
      </w:pPr>
      <w:r>
        <w:rPr>
          <w:rFonts w:ascii="Arial" w:cs="Arial" w:eastAsia="Arial" w:hAnsi="Arial"/>
          <w:b w:val="false"/>
          <w:bCs w:val="false"/>
          <w:color w:val="2C2C2C"/>
          <w:sz w:val="22"/>
          <w:szCs w:val="22"/>
        </w:rPr>
        <w:t xml:space="preserve">Adresse complète.</w:t>
      </w:r>
    </w:p>
    <w:p>
      <w:pPr>
        <w:pStyle w:val="ListParagraph"/>
        <w:numPr>
          <w:ilvl w:val="0"/>
          <w:numId w:val="2"/>
        </w:numPr>
        <w:spacing w:after="40" w:before="40"/>
      </w:pPr>
      <w:r>
        <w:rPr>
          <w:rFonts w:ascii="Arial" w:cs="Arial" w:eastAsia="Arial" w:hAnsi="Arial"/>
          <w:b w:val="false"/>
          <w:bCs w:val="false"/>
          <w:color w:val="2C2C2C"/>
          <w:sz w:val="22"/>
          <w:szCs w:val="22"/>
        </w:rPr>
        <w:t xml:space="preserve">Date de naissance et groupe sanguin.</w:t>
      </w:r>
    </w:p>
    <w:p>
      <w:pPr>
        <w:pStyle w:val="ListParagraph"/>
        <w:numPr>
          <w:ilvl w:val="0"/>
          <w:numId w:val="2"/>
        </w:numPr>
        <w:spacing w:after="40" w:before="40"/>
      </w:pPr>
      <w:r>
        <w:rPr>
          <w:rFonts w:ascii="Arial" w:cs="Arial" w:eastAsia="Arial" w:hAnsi="Arial"/>
          <w:b w:val="false"/>
          <w:bCs w:val="false"/>
          <w:color w:val="2C2C2C"/>
          <w:sz w:val="22"/>
          <w:szCs w:val="22"/>
        </w:rPr>
        <w:t xml:space="preserve">Horodatage de création (auto-généré).</w:t>
      </w:r>
    </w:p>
    <w:p>
      <w:pPr>
        <w:pStyle w:val="ListParagraph"/>
        <w:numPr>
          <w:ilvl w:val="0"/>
          <w:numId w:val="2"/>
        </w:numPr>
        <w:spacing w:after="40" w:before="40"/>
      </w:pPr>
      <w:r>
        <w:rPr>
          <w:rFonts w:ascii="Arial" w:cs="Arial" w:eastAsia="Arial" w:hAnsi="Arial"/>
          <w:b w:val="false"/>
          <w:bCs w:val="false"/>
          <w:color w:val="2C2C2C"/>
          <w:sz w:val="22"/>
          <w:szCs w:val="22"/>
        </w:rPr>
        <w:t xml:space="preserve">medecinTraitantId : référence logique (Long) vers un médecin dans doctor-service.</w:t>
      </w:r>
    </w:p>
    <w:p>
      <w:pPr>
        <w:spacing w:after="80" w:before="80"/>
      </w:pPr>
      <w:r>
        <w:rPr>
          <w:rFonts w:ascii="Arial" w:cs="Arial" w:eastAsia="Arial" w:hAnsi="Arial"/>
          <w:color w:val="2C2C2C"/>
          <w:sz w:val="22"/>
          <w:szCs w:val="22"/>
        </w:rPr>
        <w:t xml:space="preserve">Un jeu de données de démonstration peut être chargé via data.sql au démarrage.</w:t>
      </w:r>
    </w:p>
    <w:p>
      <w:pPr>
        <w:spacing w:after="120" w:before="120"/>
      </w:pPr>
      <w:r>
        <w:t xml:space="preserve"/>
      </w:r>
    </w:p>
    <w:p>
      <w:pPr>
        <w:pStyle w:val="Heading2"/>
        <w:spacing w:after="100" w:before="240"/>
      </w:pPr>
      <w:r>
        <w:rPr>
          <w:rFonts w:ascii="Arial" w:cs="Arial" w:eastAsia="Arial" w:hAnsi="Arial"/>
          <w:b/>
          <w:bCs/>
          <w:color w:val="2E75B6"/>
          <w:sz w:val="24"/>
          <w:szCs w:val="24"/>
        </w:rPr>
        <w:t xml:space="preserve">2.2 API REST — /api/patients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5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Liste de tous les patients.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/api/patients/search?nom=</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Recherche par nom ou prénom (contient, insensible à la casse).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/api/patients/statistiques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Statistiques agrégées (effectifs, âge moyen, sans téléphone, répartitions) ; paramètre optionnel ?par= pour une dimension.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/api/patients/{id}/medecin-traitant</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Patient + chargement du médecin traitant via OpenFeign ; fallback si service indisponible.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/api/patients/{id}</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Détail d'un patient.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980B9"/>
                <w:sz w:val="18"/>
                <w:szCs w:val="18"/>
              </w:rPr>
              <w:t xml:space="preserve">POST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Création (validation, email unique). Publie un événement RabbitMQ après sauvegarde.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E67E22"/>
                <w:sz w:val="18"/>
                <w:szCs w:val="18"/>
              </w:rPr>
              <w:t xml:space="preserve">PUT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/api/patients/{id}</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Mise à jour partielle.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DELETE</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/api/patients/{id}</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Suppression.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/api/patients/{id}/dossier</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Dossier : patient + rendez-vous via Feign vers appointment-service.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980B9"/>
                <w:sz w:val="18"/>
                <w:szCs w:val="18"/>
              </w:rPr>
              <w:t xml:space="preserve">POST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/api/patients/batch</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Corps = liste d'ids → liste des patients correspondants.</w:t>
            </w:r>
          </w:p>
        </w:tc>
      </w:tr>
    </w:tbl>
    <w:p>
      <w:pPr>
        <w:spacing w:after="120" w:before="120"/>
      </w:pPr>
      <w:r>
        <w:t xml:space="preserve"/>
      </w:r>
    </w:p>
    <w:p>
      <w:pPr>
        <w:pStyle w:val="Heading2"/>
        <w:spacing w:after="100" w:before="240"/>
      </w:pPr>
      <w:r>
        <w:rPr>
          <w:rFonts w:ascii="Arial" w:cs="Arial" w:eastAsia="Arial" w:hAnsi="Arial"/>
          <w:b/>
          <w:bCs/>
          <w:color w:val="2E75B6"/>
          <w:sz w:val="24"/>
          <w:szCs w:val="24"/>
        </w:rPr>
        <w:t xml:space="preserve">2.3 Détails techniques</w:t>
      </w:r>
    </w:p>
    <w:p>
      <w:pPr>
        <w:pStyle w:val="ListParagraph"/>
        <w:numPr>
          <w:ilvl w:val="0"/>
          <w:numId w:val="2"/>
        </w:numPr>
        <w:spacing w:after="40" w:before="40"/>
      </w:pPr>
      <w:r>
        <w:rPr>
          <w:rFonts w:ascii="Arial" w:cs="Arial" w:eastAsia="Arial" w:hAnsi="Arial"/>
          <w:b w:val="false"/>
          <w:bCs w:val="false"/>
          <w:color w:val="2C2C2C"/>
          <w:sz w:val="22"/>
          <w:szCs w:val="22"/>
        </w:rPr>
        <w:t xml:space="preserve">Toutes les réponses sont enveloppées dans ApiResponse&lt;T&gt; (champs : success, message, data, timestamp).</w:t>
      </w:r>
    </w:p>
    <w:p>
      <w:pPr>
        <w:pStyle w:val="ListParagraph"/>
        <w:numPr>
          <w:ilvl w:val="0"/>
          <w:numId w:val="2"/>
        </w:numPr>
        <w:spacing w:after="40" w:before="40"/>
      </w:pPr>
      <w:r>
        <w:rPr>
          <w:rFonts w:ascii="Arial" w:cs="Arial" w:eastAsia="Arial" w:hAnsi="Arial"/>
          <w:b w:val="false"/>
          <w:bCs w:val="false"/>
          <w:color w:val="2C2C2C"/>
          <w:sz w:val="22"/>
          <w:szCs w:val="22"/>
        </w:rPr>
        <w:t xml:space="preserve">Gestion d'erreurs centralisée : 404 ressource introuvable, 409 email dupliqué, 400 validation / JSON malformé.</w:t>
      </w:r>
    </w:p>
    <w:p>
      <w:pPr>
        <w:pStyle w:val="ListParagraph"/>
        <w:numPr>
          <w:ilvl w:val="0"/>
          <w:numId w:val="2"/>
        </w:numPr>
        <w:spacing w:after="40" w:before="40"/>
      </w:pPr>
      <w:r>
        <w:rPr>
          <w:rFonts w:ascii="Arial" w:cs="Arial" w:eastAsia="Arial" w:hAnsi="Arial"/>
          <w:b w:val="false"/>
          <w:bCs w:val="false"/>
          <w:color w:val="2C2C2C"/>
          <w:sz w:val="22"/>
          <w:szCs w:val="22"/>
        </w:rPr>
        <w:t xml:space="preserve">Documentation interactive disponible à /swagger-ui.html.</w:t>
      </w:r>
    </w:p>
    <w:p>
      <w:pPr>
        <w:pStyle w:val="ListParagraph"/>
        <w:numPr>
          <w:ilvl w:val="0"/>
          <w:numId w:val="2"/>
        </w:numPr>
        <w:spacing w:after="40" w:before="40"/>
      </w:pPr>
      <w:r>
        <w:rPr>
          <w:rFonts w:ascii="Arial" w:cs="Arial" w:eastAsia="Arial" w:hAnsi="Arial"/>
          <w:b w:val="false"/>
          <w:bCs w:val="false"/>
          <w:color w:val="2C2C2C"/>
          <w:sz w:val="22"/>
          <w:szCs w:val="22"/>
        </w:rPr>
        <w:t xml:space="preserve">Client Feign vers appointment-service (dossier rendez-vous) et doctor-service (médecin traitant), avec circuit breaker et fallback.</w:t>
      </w:r>
    </w:p>
    <w:p>
      <w:pPr>
        <w:pStyle w:val="ListParagraph"/>
        <w:numPr>
          <w:ilvl w:val="0"/>
          <w:numId w:val="2"/>
        </w:numPr>
        <w:spacing w:after="40" w:before="40"/>
      </w:pPr>
      <w:r>
        <w:rPr>
          <w:rFonts w:ascii="Arial" w:cs="Arial" w:eastAsia="Arial" w:hAnsi="Arial"/>
          <w:b w:val="false"/>
          <w:bCs w:val="false"/>
          <w:color w:val="2C2C2C"/>
          <w:sz w:val="22"/>
          <w:szCs w:val="22"/>
        </w:rPr>
        <w:t xml:space="preserve">Publication RabbitMQ sur l'exchange ehealth.exchange (clé patient.created) immédiatement après chaque création de patient.</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3. Microservice doctor-service</w:t>
      </w:r>
    </w:p>
    <w:p>
      <w:pPr>
        <w:pStyle w:val="Heading2"/>
        <w:spacing w:after="100" w:before="240"/>
      </w:pPr>
      <w:r>
        <w:rPr>
          <w:rFonts w:ascii="Arial" w:cs="Arial" w:eastAsia="Arial" w:hAnsi="Arial"/>
          <w:b/>
          <w:bCs/>
          <w:color w:val="2E75B6"/>
          <w:sz w:val="24"/>
          <w:szCs w:val="24"/>
        </w:rPr>
        <w:t xml:space="preserve">3.1 Données métier</w:t>
      </w:r>
    </w:p>
    <w:p>
      <w:pPr>
        <w:spacing w:after="80" w:before="80"/>
      </w:pPr>
      <w:r>
        <w:rPr>
          <w:rFonts w:ascii="Arial" w:cs="Arial" w:eastAsia="Arial" w:hAnsi="Arial"/>
          <w:color w:val="2C2C2C"/>
          <w:sz w:val="22"/>
          <w:szCs w:val="22"/>
        </w:rPr>
        <w:t xml:space="preserve">L'entité Doctor contient : nom, prénom, email (unique), téléphone, spécialité, disponibilité (booléen). Des données de démonstration sont injectables via data.sql.</w:t>
      </w:r>
    </w:p>
    <w:p>
      <w:pPr>
        <w:spacing w:after="120" w:before="120"/>
      </w:pPr>
      <w:r>
        <w:t xml:space="preserve"/>
      </w:r>
    </w:p>
    <w:p>
      <w:pPr>
        <w:pStyle w:val="Heading2"/>
        <w:spacing w:after="100" w:before="240"/>
      </w:pPr>
      <w:r>
        <w:rPr>
          <w:rFonts w:ascii="Arial" w:cs="Arial" w:eastAsia="Arial" w:hAnsi="Arial"/>
          <w:b/>
          <w:bCs/>
          <w:color w:val="2E75B6"/>
          <w:sz w:val="24"/>
          <w:szCs w:val="24"/>
        </w:rPr>
        <w:t xml:space="preserve">3.2 API REST — /api/doctors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5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Liste de tous les médecins.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/api/doctors/search?specialite=</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Recherche par spécialité (contient, insensible à la casse).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/api/doctors/disponibles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Médecins marqués disponibles.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7AE60"/>
                <w:sz w:val="18"/>
                <w:szCs w:val="18"/>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/api/doctors/{id}</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Détail par identifiant.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980B9"/>
                <w:sz w:val="18"/>
                <w:szCs w:val="18"/>
              </w:rPr>
              <w:t xml:space="preserve">POST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Création (email unique).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E67E22"/>
                <w:sz w:val="18"/>
                <w:szCs w:val="18"/>
              </w:rPr>
              <w:t xml:space="preserve">PUT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/api/doctors/{id}</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Mise à jour complète.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DELETE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/api/doctors/{id}</w:t>
            </w:r>
          </w:p>
        </w:tc>
        <w:tc>
          <w:tcPr>
            <w:tcW w:type="dxa" w:w="5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Suppression (réponse 204 sans corps).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E67E22"/>
                <w:sz w:val="18"/>
                <w:szCs w:val="18"/>
              </w:rPr>
              <w:t xml:space="preserve">PUT</w:t>
            </w:r>
          </w:p>
        </w:tc>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444444"/>
                <w:sz w:val="18"/>
                <w:szCs w:val="18"/>
              </w:rPr>
              <w:t xml:space="preserve">/api/doctors/{id}/disponibilite?disponible=</w:t>
            </w:r>
          </w:p>
        </w:tc>
        <w:tc>
          <w:tcPr>
            <w:tcW w:type="dxa" w:w="56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Mise à jour de la disponibilité (true / false).</w:t>
            </w:r>
          </w:p>
        </w:tc>
      </w:tr>
    </w:tbl>
    <w:p>
      <w:pPr>
        <w:spacing w:after="120" w:before="120"/>
      </w:pPr>
      <w:r>
        <w:t xml:space="preserve"/>
      </w:r>
    </w:p>
    <w:p>
      <w:pPr>
        <w:pStyle w:val="Heading2"/>
        <w:spacing w:after="100" w:before="240"/>
      </w:pPr>
      <w:r>
        <w:rPr>
          <w:rFonts w:ascii="Arial" w:cs="Arial" w:eastAsia="Arial" w:hAnsi="Arial"/>
          <w:b/>
          <w:bCs/>
          <w:color w:val="2E75B6"/>
          <w:sz w:val="24"/>
          <w:szCs w:val="24"/>
        </w:rPr>
        <w:t xml:space="preserve">3.3 Détails techniques</w:t>
      </w:r>
    </w:p>
    <w:p>
      <w:pPr>
        <w:pStyle w:val="ListParagraph"/>
        <w:numPr>
          <w:ilvl w:val="0"/>
          <w:numId w:val="2"/>
        </w:numPr>
        <w:spacing w:after="40" w:before="40"/>
      </w:pPr>
      <w:r>
        <w:rPr>
          <w:rFonts w:ascii="Arial" w:cs="Arial" w:eastAsia="Arial" w:hAnsi="Arial"/>
          <w:b w:val="false"/>
          <w:bCs w:val="false"/>
          <w:color w:val="2C2C2C"/>
          <w:sz w:val="22"/>
          <w:szCs w:val="22"/>
        </w:rPr>
        <w:t xml:space="preserve">Réponses enveloppées dans ApiResponse&lt;T&gt; (variante avec méthode statique success(data, message)).</w:t>
      </w:r>
    </w:p>
    <w:p>
      <w:pPr>
        <w:pStyle w:val="ListParagraph"/>
        <w:numPr>
          <w:ilvl w:val="0"/>
          <w:numId w:val="2"/>
        </w:numPr>
        <w:spacing w:after="40" w:before="40"/>
      </w:pPr>
      <w:r>
        <w:rPr>
          <w:rFonts w:ascii="Arial" w:cs="Arial" w:eastAsia="Arial" w:hAnsi="Arial"/>
          <w:b w:val="false"/>
          <w:bCs w:val="false"/>
          <w:color w:val="2C2C2C"/>
          <w:sz w:val="22"/>
          <w:szCs w:val="22"/>
        </w:rPr>
        <w:t xml:space="preserve">L'endpoint /api/doctors/statistiques globales a été supprimé de la version actuelle.</w:t>
      </w:r>
    </w:p>
    <w:p>
      <w:pPr>
        <w:pStyle w:val="ListParagraph"/>
        <w:numPr>
          <w:ilvl w:val="0"/>
          <w:numId w:val="2"/>
        </w:numPr>
        <w:spacing w:after="40" w:before="40"/>
      </w:pPr>
      <w:r>
        <w:rPr>
          <w:rFonts w:ascii="Arial" w:cs="Arial" w:eastAsia="Arial" w:hAnsi="Arial"/>
          <w:b w:val="false"/>
          <w:bCs w:val="false"/>
          <w:color w:val="2C2C2C"/>
          <w:sz w:val="22"/>
          <w:szCs w:val="22"/>
        </w:rPr>
        <w:t xml:space="preserve">Consommation RabbitMQ : écoute de la queue patient.created.queue pour journaliser chaque PatientCreatedEvent reçu.</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4. Communications inter-services</w:t>
      </w:r>
    </w:p>
    <w:p>
      <w:pPr>
        <w:spacing w:after="80" w:before="80"/>
      </w:pPr>
      <w:r>
        <w:rPr>
          <w:rFonts w:ascii="Arial" w:cs="Arial" w:eastAsia="Arial" w:hAnsi="Arial"/>
          <w:color w:val="2C2C2C"/>
          <w:sz w:val="22"/>
          <w:szCs w:val="22"/>
        </w:rPr>
        <w:t xml:space="preserve">Les deux microservices communiquent selon deux modalités complémentaires :</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Déclencheur / Détail</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2C2C2C"/>
                <w:sz w:val="20"/>
                <w:szCs w:val="20"/>
              </w:rPr>
              <w:t xml:space="preserve">OpenFeign</w:t>
            </w:r>
          </w:p>
        </w:tc>
        <w:tc>
          <w:tcPr>
            <w:tcW w:type="dxa" w:w="16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Synchrone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patient → doctor</w:t>
            </w:r>
          </w:p>
        </w:tc>
        <w:tc>
          <w:tcPr>
            <w:tcW w:type="dxa" w:w="39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GET /api/patients/{id}/medecin-traitant — récupère les infos du médecin traitant ; fallback gracieux si doctor-service est down.</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RabbitMQ</w:t>
            </w:r>
          </w:p>
        </w:tc>
        <w:tc>
          <w:tcPr>
            <w:tcW w:type="dxa" w:w="16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Asynchrone</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patient → doctor</w:t>
            </w:r>
          </w:p>
        </w:tc>
        <w:tc>
          <w:tcPr>
            <w:tcW w:type="dxa" w:w="39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POST /api/patients — publie PatientCreatedEvent sur l'exchange ehealth.exchange, clé patient.created. Le doctor-service consomme et journalise l'événement.</w:t>
            </w:r>
          </w:p>
        </w:tc>
      </w:tr>
    </w:tbl>
    <w:p>
      <w:pPr>
        <w:spacing w:after="120" w:before="120"/>
      </w:pPr>
      <w:r>
        <w:t xml:space="preserve"/>
      </w:r>
    </w:p>
    <w:p>
      <w:pPr>
        <w:pStyle w:val="Heading2"/>
        <w:spacing w:after="100" w:before="240"/>
      </w:pPr>
      <w:r>
        <w:rPr>
          <w:rFonts w:ascii="Arial" w:cs="Arial" w:eastAsia="Arial" w:hAnsi="Arial"/>
          <w:b/>
          <w:bCs/>
          <w:color w:val="2E75B6"/>
          <w:sz w:val="24"/>
          <w:szCs w:val="24"/>
        </w:rPr>
        <w:t xml:space="preserve">4.1 OpenFeign — appel synchrone</w:t>
      </w:r>
    </w:p>
    <w:p>
      <w:pPr>
        <w:spacing w:after="80" w:before="80"/>
      </w:pPr>
      <w:r>
        <w:rPr>
          <w:rFonts w:ascii="Arial" w:cs="Arial" w:eastAsia="Arial" w:hAnsi="Arial"/>
          <w:color w:val="2C2C2C"/>
          <w:sz w:val="22"/>
          <w:szCs w:val="22"/>
        </w:rPr>
        <w:t xml:space="preserve">Le champ medecinTraitantId dans l'entité Patient constitue le lien logique. Lorsque le endpoint GET /api/patients/{id}/medecin-traitant est appelé, patient-service interroge doctor-service via un client Feign déclaratif (lb://doctor-service). En cas d'indisponibilité de doctor-service, un fallback retourne le patient seul accompagné d'un message d'avertissement, sans lever d'exception.</w:t>
      </w:r>
    </w:p>
    <w:p>
      <w:pPr>
        <w:spacing w:after="120" w:before="120"/>
      </w:pPr>
      <w:r>
        <w:t xml:space="preserve"/>
      </w:r>
    </w:p>
    <w:p>
      <w:pPr>
        <w:pStyle w:val="Heading2"/>
        <w:spacing w:after="100" w:before="240"/>
      </w:pPr>
      <w:r>
        <w:rPr>
          <w:rFonts w:ascii="Arial" w:cs="Arial" w:eastAsia="Arial" w:hAnsi="Arial"/>
          <w:b/>
          <w:bCs/>
          <w:color w:val="2E75B6"/>
          <w:sz w:val="24"/>
          <w:szCs w:val="24"/>
        </w:rPr>
        <w:t xml:space="preserve">4.2 RabbitMQ — messagerie asynchrone</w:t>
      </w:r>
    </w:p>
    <w:p>
      <w:pPr>
        <w:spacing w:after="80" w:before="80"/>
      </w:pPr>
      <w:r>
        <w:rPr>
          <w:rFonts w:ascii="Arial" w:cs="Arial" w:eastAsia="Arial" w:hAnsi="Arial"/>
          <w:color w:val="2C2C2C"/>
          <w:sz w:val="22"/>
          <w:szCs w:val="22"/>
        </w:rPr>
        <w:t xml:space="preserve">À chaque création de patient (POST /api/patients), patient-service publie un PatientCreatedEvent sur l'exchange ehealth.exchange avec la routing key patient.created. Le doctor-service consomme ce message depuis la queue patient.created.queue et journalise l'événement :</w:t>
      </w:r>
    </w:p>
    <w:p>
      <w:pPr>
        <w:pStyle w:val="ListParagraph"/>
        <w:numPr>
          <w:ilvl w:val="0"/>
          <w:numId w:val="2"/>
        </w:numPr>
        <w:spacing w:after="40" w:before="40"/>
      </w:pPr>
      <w:r>
        <w:rPr>
          <w:rFonts w:ascii="Arial" w:cs="Arial" w:eastAsia="Arial" w:hAnsi="Arial"/>
          <w:b w:val="false"/>
          <w:bCs w:val="false"/>
          <w:color w:val="2C2C2C"/>
          <w:sz w:val="22"/>
          <w:szCs w:val="22"/>
        </w:rPr>
        <w:t xml:space="preserve">Si medecinTraitantId est renseigné : log d'assignation au médecin concerné.</w:t>
      </w:r>
    </w:p>
    <w:p>
      <w:pPr>
        <w:pStyle w:val="ListParagraph"/>
        <w:numPr>
          <w:ilvl w:val="0"/>
          <w:numId w:val="2"/>
        </w:numPr>
        <w:spacing w:after="40" w:before="40"/>
      </w:pPr>
      <w:r>
        <w:rPr>
          <w:rFonts w:ascii="Arial" w:cs="Arial" w:eastAsia="Arial" w:hAnsi="Arial"/>
          <w:b w:val="false"/>
          <w:bCs w:val="false"/>
          <w:color w:val="2C2C2C"/>
          <w:sz w:val="22"/>
          <w:szCs w:val="22"/>
        </w:rPr>
        <w:t xml:space="preserve">Si medecinTraitantId est null : log d'enregistrement sans médecin traitant.</w:t>
      </w:r>
    </w:p>
    <w:p>
      <w:pPr>
        <w:spacing w:after="80" w:before="80"/>
      </w:pPr>
      <w:r>
        <w:rPr>
          <w:rFonts w:ascii="Arial" w:cs="Arial" w:eastAsia="Arial" w:hAnsi="Arial"/>
          <w:color w:val="2C2C2C"/>
          <w:sz w:val="22"/>
          <w:szCs w:val="22"/>
        </w:rPr>
        <w:t xml:space="preserve">Cette architecture permet un couplage faible : patient-service ne dépend pas de la disponibilité de doctor-service pour finaliser la création.</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5. API Gateway</w:t>
      </w:r>
    </w:p>
    <w:p>
      <w:pPr>
        <w:spacing w:after="80" w:before="80"/>
      </w:pPr>
      <w:r>
        <w:rPr>
          <w:rFonts w:ascii="Arial" w:cs="Arial" w:eastAsia="Arial" w:hAnsi="Arial"/>
          <w:color w:val="2C2C2C"/>
          <w:sz w:val="22"/>
          <w:szCs w:val="22"/>
        </w:rPr>
        <w:t xml:space="preserve">La gateway (port 8090) est le point d'entrée unique pour tous les clients. Elle route les requêtes selon les préfixes de chemin et résout les instances via Eureka :</w:t>
      </w:r>
    </w:p>
    <w:p>
      <w:pPr>
        <w:pStyle w:val="ListParagraph"/>
        <w:numPr>
          <w:ilvl w:val="0"/>
          <w:numId w:val="2"/>
        </w:numPr>
        <w:spacing w:after="40" w:before="40"/>
      </w:pPr>
      <w:r>
        <w:rPr>
          <w:rFonts w:ascii="Arial" w:cs="Arial" w:eastAsia="Arial" w:hAnsi="Arial"/>
          <w:b w:val="false"/>
          <w:bCs w:val="false"/>
          <w:color w:val="2C2C2C"/>
          <w:sz w:val="22"/>
          <w:szCs w:val="22"/>
        </w:rPr>
        <w:t xml:space="preserve">/api/patients/** → patient-service (lb://patient-service)</w:t>
      </w:r>
    </w:p>
    <w:p>
      <w:pPr>
        <w:pStyle w:val="ListParagraph"/>
        <w:numPr>
          <w:ilvl w:val="0"/>
          <w:numId w:val="2"/>
        </w:numPr>
        <w:spacing w:after="40" w:before="40"/>
      </w:pPr>
      <w:r>
        <w:rPr>
          <w:rFonts w:ascii="Arial" w:cs="Arial" w:eastAsia="Arial" w:hAnsi="Arial"/>
          <w:b w:val="false"/>
          <w:bCs w:val="false"/>
          <w:color w:val="2C2C2C"/>
          <w:sz w:val="22"/>
          <w:szCs w:val="22"/>
        </w:rPr>
        <w:t xml:space="preserve">/api/doctors/** → doctor-service (lb://doctor-service)</w:t>
      </w:r>
    </w:p>
    <w:p>
      <w:pPr>
        <w:pStyle w:val="ListParagraph"/>
        <w:numPr>
          <w:ilvl w:val="0"/>
          <w:numId w:val="2"/>
        </w:numPr>
        <w:spacing w:after="40" w:before="40"/>
      </w:pPr>
      <w:r>
        <w:rPr>
          <w:rFonts w:ascii="Arial" w:cs="Arial" w:eastAsia="Arial" w:hAnsi="Arial"/>
          <w:b w:val="false"/>
          <w:bCs w:val="false"/>
          <w:color w:val="2C2C2C"/>
          <w:sz w:val="22"/>
          <w:szCs w:val="22"/>
        </w:rPr>
        <w:t xml:space="preserve">Routes supplémentaires prévues pour les services futurs (rendez-vous, prescriptions, auth).</w:t>
      </w:r>
    </w:p>
    <w:p>
      <w:pPr>
        <w:spacing w:after="80" w:before="80"/>
      </w:pPr>
      <w:r>
        <w:rPr>
          <w:rFonts w:ascii="Arial" w:cs="Arial" w:eastAsia="Arial" w:hAnsi="Arial"/>
          <w:color w:val="2C2C2C"/>
          <w:sz w:val="22"/>
          <w:szCs w:val="22"/>
        </w:rPr>
        <w:t xml:space="preserve">Elle gère également la configuration CORS pour le frontend Angular (port 4200 en développement).</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6. Frontend Angular (aperçu)</w:t>
      </w:r>
    </w:p>
    <w:p>
      <w:pPr>
        <w:spacing w:after="80" w:before="80"/>
      </w:pPr>
      <w:r>
        <w:rPr>
          <w:rFonts w:ascii="Arial" w:cs="Arial" w:eastAsia="Arial" w:hAnsi="Arial"/>
          <w:color w:val="2C2C2C"/>
          <w:sz w:val="22"/>
          <w:szCs w:val="22"/>
        </w:rPr>
        <w:t xml:space="preserve">Le frontend est une SPA Angular communiquant avec le backend via HttpClient et un proxy de développement (proxy.conf.json) :</w:t>
      </w:r>
    </w:p>
    <w:p>
      <w:pPr>
        <w:pStyle w:val="ListParagraph"/>
        <w:numPr>
          <w:ilvl w:val="0"/>
          <w:numId w:val="2"/>
        </w:numPr>
        <w:spacing w:after="40" w:before="40"/>
      </w:pPr>
      <w:r>
        <w:rPr>
          <w:rFonts w:ascii="Arial" w:cs="Arial" w:eastAsia="Arial" w:hAnsi="Arial"/>
          <w:b w:val="false"/>
          <w:bCs w:val="false"/>
          <w:color w:val="2C2C2C"/>
          <w:sz w:val="22"/>
          <w:szCs w:val="22"/>
        </w:rPr>
        <w:t xml:space="preserve">Dashboard : vue synthétique avec compteurs et statistiques patients.</w:t>
      </w:r>
    </w:p>
    <w:p>
      <w:pPr>
        <w:pStyle w:val="ListParagraph"/>
        <w:numPr>
          <w:ilvl w:val="0"/>
          <w:numId w:val="2"/>
        </w:numPr>
        <w:spacing w:after="40" w:before="40"/>
      </w:pPr>
      <w:r>
        <w:rPr>
          <w:rFonts w:ascii="Arial" w:cs="Arial" w:eastAsia="Arial" w:hAnsi="Arial"/>
          <w:b w:val="false"/>
          <w:bCs w:val="false"/>
          <w:color w:val="2C2C2C"/>
          <w:sz w:val="22"/>
          <w:szCs w:val="22"/>
        </w:rPr>
        <w:t xml:space="preserve">Module Patients (lazy-loaded) : liste avec filtre local, formulaire de création/édition, fiche détail, dossier médical.</w:t>
      </w:r>
    </w:p>
    <w:p>
      <w:pPr>
        <w:pStyle w:val="ListParagraph"/>
        <w:numPr>
          <w:ilvl w:val="0"/>
          <w:numId w:val="2"/>
        </w:numPr>
        <w:spacing w:after="40" w:before="40"/>
      </w:pPr>
      <w:r>
        <w:rPr>
          <w:rFonts w:ascii="Arial" w:cs="Arial" w:eastAsia="Arial" w:hAnsi="Arial"/>
          <w:b w:val="false"/>
          <w:bCs w:val="false"/>
          <w:color w:val="2C2C2C"/>
          <w:sz w:val="22"/>
          <w:szCs w:val="22"/>
        </w:rPr>
        <w:t xml:space="preserve">Placeholders : modules médecins et rendez-vous (non branchés sur les services actuels).</w:t>
      </w:r>
    </w:p>
    <w:p>
      <w:pPr>
        <w:pStyle w:val="ListParagraph"/>
        <w:numPr>
          <w:ilvl w:val="0"/>
          <w:numId w:val="2"/>
        </w:numPr>
        <w:spacing w:after="40" w:before="40"/>
      </w:pPr>
      <w:r>
        <w:rPr>
          <w:rFonts w:ascii="Arial" w:cs="Arial" w:eastAsia="Arial" w:hAnsi="Arial"/>
          <w:b w:val="false"/>
          <w:bCs w:val="false"/>
          <w:color w:val="2C2C2C"/>
          <w:sz w:val="22"/>
          <w:szCs w:val="22"/>
        </w:rPr>
        <w:t xml:space="preserve">environments/ : URLs configurables (patientServiceUrl, apiGatewayUrl).</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0"/>
          <w:szCs w:val="30"/>
        </w:rPr>
        <w:t xml:space="preserve">7. Synthèse</w:t>
      </w:r>
    </w:p>
    <w:p>
      <w:pPr>
        <w:spacing w:after="80" w:before="80"/>
      </w:pPr>
      <w:r>
        <w:rPr>
          <w:rFonts w:ascii="Arial" w:cs="Arial" w:eastAsia="Arial" w:hAnsi="Arial"/>
          <w:color w:val="2C2C2C"/>
          <w:sz w:val="22"/>
          <w:szCs w:val="22"/>
        </w:rPr>
        <w:t xml:space="preserve">Le tableau suivant récapitule les capacités fonctionnelles par service :</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7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2C2C2C"/>
                <w:sz w:val="20"/>
                <w:szCs w:val="20"/>
              </w:rPr>
              <w:t xml:space="preserve">patient-service</w:t>
            </w:r>
          </w:p>
        </w:tc>
        <w:tc>
          <w:tcPr>
            <w:tcW w:type="dxa" w:w="716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CRUD, recherche, statistiques, dossier (rendez-vous via Feign), médecin traitant (OpenFeign + fallback), publication RabbitMQ à la création.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doctor-service</w:t>
            </w:r>
          </w:p>
        </w:tc>
        <w:tc>
          <w:tcPr>
            <w:tcW w:type="dxa" w:w="7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CRUD, recherche par spécialité, filtre disponibles, gestion disponibilité, consommation RabbitMQ (logs événements patients).</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Infrastructure</w:t>
            </w:r>
          </w:p>
        </w:tc>
        <w:tc>
          <w:tcPr>
            <w:tcW w:type="dxa" w:w="7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Eureka (registre), API Gateway (routage + CORS), Config Server (optionnel), RabbitMQ (couplage asynchrone).</w:t>
            </w:r>
          </w:p>
        </w:tc>
      </w:tr>
    </w:tbl>
    <w:p>
      <w:pPr>
        <w:spacing w:after="120" w:before="120"/>
      </w:pPr>
      <w:r>
        <w:t xml:space="preserve"/>
      </w:r>
    </w:p>
    <w:p>
      <w:pPr>
        <w:spacing w:after="120" w:before="120"/>
      </w:pPr>
      <w:r>
        <w:t xml:space="preserve"/>
      </w:r>
    </w:p>
    <w:p>
      <w:pPr>
        <w:pBdr>
          <w:top w:val="single" w:color="CCCCCC" w:sz="4" w:space="4"/>
        </w:pBdr>
        <w:spacing w:before="200"/>
      </w:pPr>
      <w:r>
        <w:rPr>
          <w:rFonts w:ascii="Arial" w:cs="Arial" w:eastAsia="Arial" w:hAnsi="Arial"/>
          <w:i/>
          <w:iCs/>
          <w:color w:val="888888"/>
          <w:sz w:val="18"/>
          <w:szCs w:val="18"/>
        </w:rPr>
        <w:t xml:space="preserve">Ce rapport correspond à l'état actuel du code. Toute évolution ultérieure (nouveaux endpoints, autres microservices) devra être reflétée dans une nouvelle version du document.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506"/>
      </w:tabs>
      <w:spacing w:before="100"/>
    </w:pPr>
    <w:r>
      <w:rPr>
        <w:rFonts w:ascii="Arial" w:cs="Arial" w:eastAsia="Arial" w:hAnsi="Arial"/>
        <w:color w:val="888888"/>
        <w:sz w:val="18"/>
        <w:szCs w:val="18"/>
      </w:rPr>
      <w:t xml:space="preserve">E-Health Microservices</w:t>
    </w:r>
    <w:r>
      <w:rPr>
        <w:rFonts w:ascii="Arial" w:cs="Arial" w:eastAsia="Arial" w:hAnsi="Arial"/>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4E79"/>
        <w:sz w:val="20"/>
        <w:szCs w:val="20"/>
      </w:rPr>
      <w:t xml:space="preserve">E-Health — Rapport Explicatif du Projet</w:t>
    </w:r>
    <w:r>
      <w:rPr>
        <w:rFonts w:ascii="Arial" w:cs="Arial" w:eastAsia="Arial" w:hAnsi="Arial"/>
        <w:color w:val="888888"/>
        <w:sz w:val="18"/>
        <w:szCs w:val="18"/>
      </w:rPr>
      <w:t xml:space="preserve">     Architecture Microservices Spring Boot / Angular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2026-04-13T23:39:16.656Z</dcterms:created>
  <dcterms:modified xsi:type="dcterms:W3CDTF">2026-04-13T23:39:16.657Z</dcterms:modified>
</cp:coreProperties>
</file>

<file path=docProps/custom.xml><?xml version="1.0" encoding="utf-8"?>
<Properties xmlns="http://schemas.openxmlformats.org/officeDocument/2006/custom-properties" xmlns:vt="http://schemas.openxmlformats.org/officeDocument/2006/docPropsVTypes"/>
</file>