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МИНИСТЕРСТВО НАУКИ И ВЫСШЕГО ОБРАЗОВАНИЯ РОССИЙСКОЙ ФЕДЕРАЦИИ</w:t>
      </w:r>
      <w:r>
        <w:rPr>
          <w:rFonts w:ascii="Times New Roman" w:hAnsi="Times New Roman" w:eastAsia="Times New Roman"/>
          <w:b w:val="0"/>
          <w:sz w:val="24"/>
        </w:rPr>
        <w:br/>
        <w:t>Образовательная организация</w:t>
      </w:r>
      <w:r>
        <w:rPr>
          <w:rFonts w:ascii="Times New Roman" w:hAnsi="Times New Roman" w:eastAsia="Times New Roman"/>
          <w:b w:val="0"/>
          <w:sz w:val="24"/>
        </w:rPr>
        <w:br/>
        <w:t>Кафедра информационной безопасности</w:t>
      </w:r>
    </w:p>
    <w:p/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 2</w:t>
        <w:br/>
        <w:t>АНАЛИЗ СОВРЕМЕННЫХ УГРОЗ ИНФОРМАЦИОННОЙ БЕЗОПАСНОСТИ</w:t>
      </w:r>
    </w:p>
    <w:p/>
    <w:p/>
    <w:p/>
    <w:p/>
    <w:p/>
    <w:p>
      <w:pPr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Выполнил: студент ____________________</w:t>
        <w:br/>
        <w:t>Группа: ____________________</w:t>
        <w:br/>
        <w:t>Проверил: ____________________</w:t>
      </w:r>
    </w:p>
    <w:p/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Москва, 2026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/>
      <w:r>
        <w:t>1. Введение</w:t>
      </w:r>
    </w:p>
    <w:p>
      <w:pPr/>
      <w:r>
        <w:t>2. 1. Описание объекта защиты информации</w:t>
      </w:r>
    </w:p>
    <w:p>
      <w:pPr/>
      <w:r>
        <w:t>3. 2. Анализ защищенности объекта</w:t>
      </w:r>
    </w:p>
    <w:p>
      <w:pPr/>
      <w:r>
        <w:t>4. 3. Виды и модель нарушителя</w:t>
      </w:r>
    </w:p>
    <w:p>
      <w:pPr/>
      <w:r>
        <w:t>5. 4. Дополнение моделирования угроз матрицами MITRE ATT&amp;CK</w:t>
      </w:r>
    </w:p>
    <w:p>
      <w:pPr/>
      <w:r>
        <w:t>6. Заключение</w:t>
      </w:r>
    </w:p>
    <w:p>
      <w:pPr/>
      <w:r>
        <w:t>7. Список использованных источников</w:t>
      </w:r>
    </w:p>
    <w:p>
      <w:r>
        <w:br w:type="page"/>
      </w:r>
    </w:p>
    <w:p>
      <w:pPr>
        <w:pStyle w:val="Heading1"/>
        <w:jc w:val="center"/>
      </w:pPr>
      <w:r>
        <w:t>Введение</w:t>
      </w:r>
    </w:p>
    <w:p>
      <w:pPr/>
      <w:r>
        <w:t>Цель лабораторной работы - описать и оценить объект защищаемой информации, выделить актуальные угрозы безопасности информации, определить возможных нарушителей и показать, как методика ФСТЭК России может быть дополнена анализом по матрицам MITRE ATT&amp;CK.</w:t>
      </w:r>
    </w:p>
    <w:p>
      <w:pPr/>
      <w:r>
        <w:t>В качестве объекта защиты выбрана информационная система интернет-магазина. Выбор объекта обусловлен тем, что такая система имеет публичный веб-интерфейс, обрабатывает персональные данные и платежно-заказную информацию, зависит от внешних интеграций и поэтому подвержена как внешним сетевым атакам, так и внутренним нарушениям правил доступа.</w:t>
      </w:r>
    </w:p>
    <w:p>
      <w:pPr/>
      <w:r>
        <w:t>Основными источниками для выполнения работы являются задание лабораторной работы, Методика оценки угроз безопасности информации ФСТЭК России, утвержденная 5 февраля 2021 г., банк данных угроз безопасности информации ФСТЭК России и база знаний MITRE ATT&amp;CK Enterprise.</w:t>
      </w:r>
    </w:p>
    <w:p>
      <w:pPr>
        <w:pStyle w:val="Heading1"/>
        <w:jc w:val="center"/>
      </w:pPr>
      <w:r>
        <w:t>1. Описание объекта защиты информации</w:t>
      </w:r>
    </w:p>
    <w:p>
      <w:pPr>
        <w:pStyle w:val="Heading2"/>
        <w:jc w:val="left"/>
      </w:pPr>
      <w:r>
        <w:t>1.1. Сущность объекта</w:t>
      </w:r>
    </w:p>
    <w:p>
      <w:pPr/>
      <w:r>
        <w:t>Информационная система интернет-магазина представляет собой совокупность веб-приложения, серверов приложений, базы данных, административной панели, рабочих мест сотрудников, сетевой инфраструктуры, резервного копирования и интеграций с платежным шлюзом, службой доставки, почтовым сервисом и аналитическими системами.</w:t>
      </w:r>
    </w:p>
    <w:p>
      <w:pPr/>
      <w:r>
        <w:t>К защищаемой информации относятся персональные данные клиентов, учетные данные и сессионные токены, сведения о заказах и возвратах, платежные идентификаторы без хранения полных реквизитов банковских карт, коммерческая информация, конфигурации приложений, журналы событий и резервные копии.</w:t>
      </w:r>
    </w:p>
    <w:p>
      <w:pPr>
        <w:pStyle w:val="Heading2"/>
        <w:jc w:val="left"/>
      </w:pPr>
      <w:r>
        <w:t>1.2. Назначение объекта</w:t>
      </w:r>
    </w:p>
    <w:p>
      <w:pPr/>
      <w:r>
        <w:t>Назначение системы - обеспечить прием и обработку заказов через сеть Интернет, регистрацию и обслуживание клиентов, передачу платежных и логистических данных во внешние сервисы, ведение каталога товаров, управление остатками и формирование отчетности для сотрудников магазина.</w:t>
      </w:r>
    </w:p>
    <w:p>
      <w:pPr>
        <w:pStyle w:val="Heading2"/>
        <w:jc w:val="left"/>
      </w:pPr>
      <w:r>
        <w:t>1.3. Актуальность объекта</w:t>
      </w:r>
    </w:p>
    <w:p>
      <w:pPr/>
      <w:r>
        <w:t>Актуальность защиты объекта определяется публичной доступностью веб-приложения, массовой обработкой персональных данных, финансовой мотивацией злоумышленников, высокой зависимостью бизнеса от доступности сайта и репутационными последствиями утечки клиентской базы. Нарушение конфиденциальности, целостности или доступности такой системы может привести к прямым финансовым потерям, претензиям субъектов персональных данных, остановке продаж и снижению доверия клиентов.</w:t>
      </w:r>
    </w:p>
    <w:p>
      <w:pPr>
        <w:pStyle w:val="Heading1"/>
        <w:jc w:val="center"/>
      </w:pPr>
      <w:r>
        <w:t>2. Анализ защищенности объекта</w:t>
      </w:r>
    </w:p>
    <w:p>
      <w:pPr>
        <w:pStyle w:val="Heading2"/>
        <w:jc w:val="left"/>
      </w:pPr>
      <w:r>
        <w:t>2.1. Граница оценки и основные активы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Актив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Критичные свойства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Публичное веб-приложение и API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прием заказов, личный кабинет, интеграции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конфиденциальность, целостность, доступность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База данных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ПДн, заказы, учетные записи, статусы оплат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конфиденциальность, целостность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Административная панель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каталогом, заказами, пользователями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целостность, конфиденциальность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АРМ сотрудников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операторов, доступ к заказам и обращениям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конфиденциальность, целостность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Сетевая инфраструктура и каналы связи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передача данных между клиентами, сервером и внешними сервисами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доступность, конфиденциальность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Резервные копии и журналы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восстановление, расследование инцидентов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целостность, конфиденциальность, доступность</w:t>
            </w:r>
          </w:p>
        </w:tc>
      </w:tr>
    </w:tbl>
    <w:p>
      <w:pPr/>
      <w:r>
        <w:t>Граница оценки включает компоненты, через которые обрабатывается или передается защищаемая информация: клиентский веб-интерфейс, серверную часть, базу данных, административный контур, рабочие места сотрудников, сетевые сервисы, резервные копии и внешние интерфейсы интеграции.</w:t>
      </w:r>
    </w:p>
    <w:p>
      <w:pPr>
        <w:pStyle w:val="Heading2"/>
        <w:jc w:val="left"/>
      </w:pPr>
      <w:r>
        <w:t>2.2. Актуальные виды угроз из БДУ ФСТЭК</w:t>
      </w:r>
    </w:p>
    <w:p>
      <w:pPr/>
      <w:r>
        <w:t>Для объекта выделены угрозы, применимые к веб-приложению, серверной инфраструктуре, рабочим местам сотрудников, каналам связи и данным клиентов. Перечень сформирован по банку данных угроз безопасности информации ФСТЭК России; для лабораторной работы отобрано 23 угрозы, что превышает минимальное требование задания.</w:t>
      </w:r>
    </w:p>
    <w:p>
      <w:pPr>
        <w:sectPr>
          <w:footerReference w:type="default" r:id="rId9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pStyle w:val="Heading2"/>
        <w:jc w:val="left"/>
      </w:pPr>
      <w:r>
        <w:t>Таблица 1 - Актуальные угрозы безопасности информации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№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Наименование угрозы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Характер происхождения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Источник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Объект воздействия / последствие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УБИ.006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внедрения кода или данных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разработчик, пользователь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веб-приложение, API, БД; нарушение целостности и конфиденциальности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УБИ.007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воздействия на программы с высокими привилегиями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администратор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сервер приложений, ОС; повышение привилегий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УБИ.008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восстановления и/или повторного использования аутентификационной информации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бывший сотрудник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учетные записи клиентов и персонала; НСД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УБИ.012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деструктивного изменения конфигурации/среды окружения программ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администратор, вредоносное ПО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конфигурации веб-сервера, БД и СЗИ; отказ или обход защиты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УБИ.014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длительного удержания вычислительных ресурсов пользователями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бот-сеть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вычислительные ресурсы веб-сервера; снижение доступности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УБИ.015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доступа к защищаемым файлам с использованием обходного пути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файловая система веб-сервера; раскрытие конфигураций и данных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УБИ.016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доступа к локальным файлам сервера при помощи URL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локальные файлы сервера; раскрытие секретов и дампов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УБИ.017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доступа/перехвата/изменения HTTP cookies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вредоносное ПО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сессии пользователей; захват учетной записи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УБИ.019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заражения DNS-кеша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клиентские рабочие места и сетевые сервисы; перенаправление на фишинговый ресурс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УБИ.022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избыточного выделения оперативной памяти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сервер приложений; отказ в обслуживании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УБИ.023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изменения компонентов информационной (автоматизированной) системы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администратор, подрядчик, вредоносное ПО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 и аппаратные компоненты; внедрение закладок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Таблица 1 - Актуальные угрозы безопасности информации (продолжение)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№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Наименование угрозы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Характер происхождения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Источник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Объект воздействия / последствие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12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УБИ.028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использования альтернативных путей доступа к ресурсам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внутренний пользователь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административные интерфейсы и API; обход штатной авторизации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13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УБИ.030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использования информации идентификации/аутентификации, заданной по умолчанию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подрядчик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сетевое оборудование, CMS, БД; НСД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УБИ.031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использования механизмов авторизации для повышения привилегий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пользователь, оператор, 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личный кабинет и админ-панель; получение чужих прав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15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УБИ.033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использования слабостей кодирования входных данных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формы сайта, API, поиск; SQL/NoSQL-инъекции, XSS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УБИ.034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использования слабостей протоколов сетевого/локального обмена данными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поставщик связи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каналы связи; перехват, подмена, нарушение доступности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17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УБИ.036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исследования механизмов работы программы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конкурент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веб-приложение; подготовка целевой атаки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18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УБИ.037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исследования приложения через отчеты об ошибках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журналы и страницы ошибок; раскрытие путей, версий и стеков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УБИ.046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нарушения процедуры аутентификации субъектов виртуального информационного взаимодействия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вредоносное ПО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личный кабинет, API, интеграции; НСД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УБИ.067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неправомерного ознакомления с защищаемой информацией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пользователь, оператор, администратор, 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ПДн клиентов, заказы, коммерческая информация; утечка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УБИ.068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неправомерного/некорректного использования интерфейса взаимодействия с приложением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 или непреднамеренная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клиент, оператор, 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публичный интерфейс и админ-панель; нарушение логики операций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УБИ.069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неправомерных действий в каналах связи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внешний нарушитель, поставщик услуг связи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сетевой трафик; перехват, подмена, блокирование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23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УБИ.167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Угроза заражения компьютера при посещении неблагонадежных сайтов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антропогенная, преднамеренная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вредоносное ПО, внешний нарушитель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АРМ сотрудников; компрометация учетных данных и рабочих документов</w:t>
            </w:r>
          </w:p>
        </w:tc>
      </w:tr>
    </w:tbl>
    <w:p>
      <w:pPr>
        <w:sectPr>
          <w:pgSz w:w="16838" w:h="11906" w:orient="landscape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pStyle w:val="Heading2"/>
        <w:jc w:val="left"/>
      </w:pPr>
      <w:r>
        <w:t>2.3. Характер происхождения угроз</w:t>
      </w:r>
    </w:p>
    <w:p>
      <w:pPr/>
      <w:r>
        <w:t>Основной массив угроз для выбранного объекта имеет антропогенное происхождение, поскольку реализуется действиями нарушителей: внешних злоумышленников, внутренних пользователей, администраторов, подрядчиков, поставщиков услуг и бывших сотрудников. По намерению угрозы делятся на преднамеренные и непреднамеренные.</w:t>
      </w:r>
    </w:p>
    <w:p>
      <w:pPr>
        <w:pStyle w:val="ListBullet"/>
      </w:pPr>
      <w:r>
        <w:t>Преднамеренные угрозы: эксплуатация уязвимостей веб-приложения, подбор и повторное использование паролей, захват cookie, внедрение вредоносного кода, изменение конфигурации, DoS-воздействие, неправомерная выгрузка ПДн.</w:t>
      </w:r>
    </w:p>
    <w:p>
      <w:pPr>
        <w:pStyle w:val="ListBullet"/>
      </w:pPr>
      <w:r>
        <w:t>Непреднамеренные угрозы: ошибочная настройка прав, публикация отладочной информации, переход сотрудника на неблагонадежный сайт, некорректное использование административной панели, случайное раскрытие файла резервной копии.</w:t>
      </w:r>
    </w:p>
    <w:p>
      <w:pPr>
        <w:pStyle w:val="ListBullet"/>
      </w:pPr>
      <w:r>
        <w:t>Техногенные и инфраструктурные факторы: отказ оборудования, сбой хостинга, нарушение работы сети, ошибки обновления. Они учитываются как условия, усиливающие последствия антропогенных угроз.</w:t>
      </w:r>
    </w:p>
    <w:p>
      <w:pPr>
        <w:pStyle w:val="ListBullet"/>
      </w:pPr>
      <w:r>
        <w:t>Природные и внешние события: пожар, затопление, длительное отключение электропитания. Для веб-системы они менее характерны как УБИ из БДУ, но значимы для доступности серверной площадки и резервного восстановления.</w:t>
      </w:r>
    </w:p>
    <w:p>
      <w:pPr>
        <w:pStyle w:val="Heading2"/>
        <w:jc w:val="left"/>
      </w:pPr>
      <w:r>
        <w:t>2.4. Источники появления угроз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c>
          <w:tcPr>
            <w:tcW w:type="dxa" w:w="255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Источник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Типичные проявления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Затрагиваемые объекты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Внешние нарушители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сканирование сайта, эксплуатация уязвимостей, фишинг, DoS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веб-приложение, API, каналы связи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Внутренние пользователи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нарушение правил доступа, ошибки ввода, выгрузка данных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админ-панель, БД, документы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Привилегированные администраторы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изменение конфигураций, отключение журналирования, копирование данных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серверы, БД, резервные копии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Подрядчики и поставщики услуг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компрометация цепочки поставки, ошибки настройки, доступ к инфраструктуре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код, CI/CD, хостинг, связь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Вредоносное ПО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кража учетных данных, шифрование, скрытое управление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АРМ, серверы, файлы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Технические и природные факторы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сбой, отказ, повреждение инфраструктуры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доступность и восстановление</w:t>
            </w:r>
          </w:p>
        </w:tc>
      </w:tr>
    </w:tbl>
    <w:p>
      <w:pPr>
        <w:pStyle w:val="Heading1"/>
        <w:jc w:val="center"/>
      </w:pPr>
      <w:r>
        <w:t>3. Виды и модель нарушителя</w:t>
      </w:r>
    </w:p>
    <w:p>
      <w:pPr>
        <w:pStyle w:val="Heading2"/>
        <w:jc w:val="left"/>
      </w:pPr>
      <w:r>
        <w:t>3.1. Потенциально возможные злоумышленники</w:t>
      </w:r>
    </w:p>
    <w:p>
      <w:pPr/>
      <w:r>
        <w:t>При формировании перечня нарушителей использован подход Методики ФСТЭК России: нарушителями считаются лица или группы лиц, которые могут реализовывать угрозы путем несанкционированного доступа или воздействия на информационные ресурсы и компоненты системы. Для выбранной системы потенциально возможны следующие нарушители.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Нарушитель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Категория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Уровень возможностей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Условия доступа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Вероятные цели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 хакер или группа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Н2-Н3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нет штатного доступа; использует Интернет, сканирование, эксплуатацию веб-уязвимостей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кража ПДн, получение доступа к панели управления, подготовка мошенничества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Преступная группа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Н3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финансово мотивирована, может применять бот-сети, фишинг и вымогательское ПО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монетизация ПДн, шантаж, блокирование продаж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Конкурирующая организация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Н2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действует самостоятельно или через подрядчиков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клиентской базы, ценовой политики, внутренних документов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Авторизованный клиент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внутренний пользователь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Н1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имеет личный кабинет и доступ к публичному функционалу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чужих заказов, бонусов или персональных данных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Оператор/менеджер магазина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внутренний пользователь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Н1-Н2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имеет доступ к заказам и части ПДн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выгрузка клиентской базы, изменение заказов, ошибка обработки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Системный администратор или администратор безопасности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внутренний привилегированный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Н3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имеет расширенные права на серверы, БД, журналы и резервные копии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скрытое копирование данных, отключение контроля, изменение конфигурации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Разработчик или интегратор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поставщик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Н2-Н3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имеет доступ к исходному коду, тестовым средам, CI/CD или заявкам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внедрение уязвимости, закладки, утечка секретов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Провайдер хостинга, облака, связи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поставщик услуг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Н2-Н3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имеет административный или инфраструктурный доступ в пределах договора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нарушение доступности, доступ к резервным копиям или сетевому трафику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Бывший сотрудник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внешний/внутренний при неотозванных правах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Н1-Н2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может знать процессы, адреса систем, старые пароли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месть, продажа данных, обход процедур</w:t>
            </w:r>
          </w:p>
        </w:tc>
      </w:tr>
    </w:tbl>
    <w:p>
      <w:pPr>
        <w:pStyle w:val="Heading2"/>
        <w:jc w:val="left"/>
      </w:pPr>
      <w:r>
        <w:t>3.2. Модель нарушителя</w:t>
      </w:r>
    </w:p>
    <w:p>
      <w:pPr/>
      <w:r>
        <w:t>Модель нарушителя построена с учетом назначения системы, состава защищаемой информации, публичности веб-интерфейса, наличия административного контура, внешних интеграций и обработки персональных данных. Для обычного интернет-магазина не требуется считать актуальными специальные службы иностранных государств и террористические группировки как основной источник угроз, поскольку объект не относится к государственным, оборонным или критически значимым системам. Однако организованные преступные группы и квалифицированные внешние нарушители актуальны из-за финансовой ценности ПДн и заказной информации.</w:t>
      </w:r>
    </w:p>
    <w:p>
      <w:pPr/>
      <w:r>
        <w:t>Уровни возможностей нарушителя приняты в логике Методики ФСТЭК: Н1 - базовые возможности; Н2 - базовые повышенные возможности; Н3 - средние возможности; Н4 - высокие возможности. Для объекта актуальны Н1-Н3. Уровень Н4 фиксируется как потенциальный, но не принимается основным при оценке актуальности угроз.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Уровень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Актуальные субъекты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Возможности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Связанные угрозы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Н1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клиент, рядовой сотрудник, бывший сотрудник без действующих прав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использование штатного интерфейса, ошибки логики, слабые пароли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УБИ.008, УБИ.031, УБИ.067, УБИ.068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Н2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 хакер, конкурент, подрядчик, разработчик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сканирование, фишинг, эксплуатация типовых веб-уязвимостей, доступ к коду или настройкам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УБИ.006, УБИ.015, УБИ.016, УБИ.017, УБИ.033, УБИ.034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Н3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преступная группа, привилегированный администратор, провайдер инфраструктуры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комбинированная атака, обход контроля, изменение конфигурации, скрытое копирование БД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УБИ.007, УБИ.012, УБИ.023, УБИ.030, УБИ.069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Н4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спецслужбы или государственно поддерживаемые группы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высокоресурсные целевые атаки и цепочки поставки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для данного объекта не принимается как основной актуальный нарушитель</w:t>
            </w:r>
          </w:p>
        </w:tc>
      </w:tr>
    </w:tbl>
    <w:p>
      <w:pPr/>
      <w:r>
        <w:t>Итоговая модель нарушителя: наиболее вероятный сценарий связан с внешним нарушителем уровня Н2-Н3, который через разведку публичного сайта выявляет уязвимость веб-приложения, получает первичный доступ, повышает привилегии, извлекает данные клиентов и пытается скрыть следы. Второй значимый сценарий - внутренний или привилегированный нарушитель уровня Н1-Н3, который использует легитимный доступ для неправомерной выгрузки или изменения данных. Третий сценарий - компрометация АРМ сотрудника вредоносным ПО и последующее использование его учетных данных.</w:t>
      </w:r>
    </w:p>
    <w:p>
      <w:pPr>
        <w:pStyle w:val="Heading1"/>
        <w:jc w:val="center"/>
      </w:pPr>
      <w:r>
        <w:t>4. Дополнение моделирования угроз матрицами MITRE ATT&amp;CK</w:t>
      </w:r>
    </w:p>
    <w:p>
      <w:pPr/>
      <w:r>
        <w:t>Методика ФСТЭК позволяет определить актуальные угрозы, объекты воздействия, нарушителей и негативные последствия. MITRE ATT&amp;CK дополняет этот подход тем, что раскладывает сценарий атаки на тактики и техники поведения злоумышленника. За счет этого модель угроз становится пригодной не только для выбора защитных мер, но и для настройки мониторинга, журналирования, правил обнаружения и проверки защищенности.</w:t>
      </w:r>
    </w:p>
    <w:p>
      <w:pPr/>
      <w:r>
        <w:t>Для объекта интернет-магазина применима матрица MITRE ATT&amp;CK Enterprise, поскольку в ней представлены тактики от разведки и начального доступа до закрепления, сбора данных, эксфильтрации и воздействия на доступность. Ниже приведен пример соответствия между сценарием атаки, техниками MITRE и угрозами БДУ ФСТЭК.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Тактика MITRE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Техника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Проявление для объекта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Связь с УБИ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Reconnaissance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T1595 Active Scanning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 открытых портов, CMS, версий фреймворков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УБИ.036, УБИ.037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Initial Access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T1190 Exploit Public-Facing Application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эксплуатация уязвимости сайта или API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УБИ.006, УБИ.033, УБИ.068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Credential Access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T1555 Credentials from Password Stores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сохраненных паролей с АРМ сотрудника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УБИ.008, УБИ.167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Persistence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T1505.003 Web Shell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размещение веб-шелла после компрометации сервера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УБИ.023, УБИ.012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Privilege Escalation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T1068 Exploitation for Privilege Escalation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повышение прав в ОС или приложении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УБИ.007, УБИ.031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Discovery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T1083 File and Directory Discovery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 конфигураций, дампов, секретов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УБИ.015, УБИ.016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Collection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T1005 Data from Local System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сбор выгрузок клиентов и заказов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УБИ.067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Exfiltration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T1041 Exfiltration Over C2 Channel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вывод архива через канал управления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УБИ.069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Impact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T1499 Endpoint Denial of Service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отказа сервера приложений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УБИ.014, УБИ.022</w:t>
            </w:r>
          </w:p>
        </w:tc>
      </w:tr>
    </w:tbl>
    <w:p>
      <w:pPr/>
      <w:r>
        <w:t>Пример сценария: нарушитель выполняет активное сканирование публичного сайта, выявляет уязвимость обработки входных данных, получает выполнение кода на сервере, размещает веб-шелл, повышает привилегии, находит конфигурации и дампы, собирает клиентскую базу, выводит данные через сетевой канал и дополнительно создает отказ в обслуживании для сокрытия факта утечки. В модели ФСТЭК этот сценарий покрывается УБИ.033, УБИ.006, УБИ.023, УБИ.031, УБИ.015, УБИ.067, УБИ.069, УБИ.014 и УБИ.022.</w:t>
      </w:r>
    </w:p>
    <w:p>
      <w:pPr/>
      <w:r>
        <w:t>Практический результат дополнения: для каждой техники можно определить проверяемые события безопасности. Например, для T1190 контролируются ошибки веб-приложения и сигнатуры атак на входные параметры; для T1505.003 - появление новых исполняемых файлов в каталогах веб-сервера; для T1041 - нетипичные исходящие соединения и объемы передачи данных; для T1499 - всплески запросов и исчерпание памяти или CPU.</w:t>
      </w:r>
    </w:p>
    <w:p>
      <w:pPr>
        <w:pStyle w:val="Heading1"/>
        <w:jc w:val="center"/>
      </w:pPr>
      <w:r>
        <w:t>Заключение</w:t>
      </w:r>
    </w:p>
    <w:p>
      <w:pPr/>
      <w:r>
        <w:t>В ходе лабораторной работы описана информационная система интернет-магазина как объект защиты, определены защищаемые активы, выделены 23 актуальные угрозы из банка данных ФСТЭК России, классифицированы характер происхождения и источники угроз, сформирована модель нарушителя с учетом уровней возможностей Н1-Н4.</w:t>
      </w:r>
    </w:p>
    <w:p>
      <w:pPr/>
      <w:r>
        <w:t>Наиболее существенными для объекта являются угрозы эксплуатации веб-уязвимостей, компрометации учетных данных, неправомерного доступа к ПДн, изменения конфигурации, нарушения работы каналов связи и отказа в обслуживании. Наиболее актуальные нарушители - внешние квалифицированные злоумышленники, преступные группы, привилегированные администраторы, подрядчики и внутренние пользователи.</w:t>
      </w:r>
    </w:p>
    <w:p>
      <w:pPr/>
      <w:r>
        <w:t>Дополнение анализа матрицами MITRE ATT&amp;CK делает модель угроз более прикладной: выбранные УБИ связываются с конкретными тактиками и техниками атаки, что позволяет формировать требования к мониторингу, журналированию, обнаружению и тестированию защищенности.</w:t>
      </w:r>
    </w:p>
    <w:p>
      <w:pPr>
        <w:pStyle w:val="Heading1"/>
        <w:jc w:val="center"/>
      </w:pPr>
      <w:r>
        <w:t>Список использованных источников</w:t>
      </w:r>
    </w:p>
    <w:p>
      <w:pPr>
        <w:pStyle w:val="ListNumber"/>
      </w:pPr>
      <w:r>
        <w:t>Лабораторная работа № 2 «Анализ современных угроз ИБ». Исходный файл: Lab_2.pdf.</w:t>
      </w:r>
    </w:p>
    <w:p>
      <w:pPr>
        <w:pStyle w:val="ListNumber"/>
      </w:pPr>
      <w:r>
        <w:t>ФСТЭК России. Методический документ «Методика оценки угроз безопасности информации», утвержден 5 февраля 2021 г.</w:t>
      </w:r>
    </w:p>
    <w:p>
      <w:pPr>
        <w:pStyle w:val="ListNumber"/>
      </w:pPr>
      <w:r>
        <w:t>Банк данных угроз безопасности информации ФСТЭК России. URL: https://bdu.fstec.ru/threat.</w:t>
      </w:r>
    </w:p>
    <w:p>
      <w:pPr>
        <w:pStyle w:val="ListNumber"/>
      </w:pPr>
      <w:r>
        <w:t>MITRE ATT&amp;CK Enterprise Matrix. URL: https://attack.mitre.org/matrices/enterprise/.</w:t>
      </w:r>
    </w:p>
    <w:p>
      <w:pPr>
        <w:pStyle w:val="ListNumber"/>
      </w:pPr>
      <w:r>
        <w:t>MITRE ATT&amp;CK. URL: https://attack.mitre.org/.</w:t>
      </w:r>
    </w:p>
    <w:p>
      <w:pPr>
        <w:pStyle w:val="ListNumber"/>
      </w:pPr>
      <w:r>
        <w:t>ГОСТ 7.32-2017. Отчет о научно-исследовательской работе. Структура и правила оформления.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spacing w:after="120"/>
      <w:ind w:firstLine="0"/>
      <w:jc w:val="center"/>
    </w:pPr>
    <w:rPr>
      <w:rFonts w:ascii="Times New Roman" w:hAnsi="Times New Roman" w:eastAsia="Times New Roman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subject>Анализ современных угроз информационной безопасности</dc:subject>
  <dc:creator>Codex</dc:creator>
  <cp:keywords>ФСТЭК, БДУ, модель нарушителя, MITRE ATT&amp;CK, информационная безопасность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