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3275D" w14:textId="190155DA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7DDA0AE0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ФГБОУ ВО «Марийский государственный университет»</w:t>
      </w:r>
    </w:p>
    <w:p w14:paraId="30E02963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Институт цифровых технологий</w:t>
      </w:r>
    </w:p>
    <w:p w14:paraId="22A0981A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Физико-математический факультет</w:t>
      </w:r>
    </w:p>
    <w:p w14:paraId="05F7EED2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Кафедра прикладной математики и информатики</w:t>
      </w:r>
    </w:p>
    <w:p w14:paraId="1391ABCF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78DC8B" w14:textId="77777777" w:rsidR="00602783" w:rsidRPr="00C42DEC" w:rsidRDefault="00602783" w:rsidP="00A672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3C4A4E" w14:textId="77777777" w:rsidR="00602783" w:rsidRPr="00C42DEC" w:rsidRDefault="00602783" w:rsidP="00A672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FFF750" w14:textId="77777777" w:rsidR="00602783" w:rsidRPr="00C42DEC" w:rsidRDefault="00602783" w:rsidP="004223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BF6CAA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B87CDD" w14:textId="1094013F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Отчет по лабораторной работе № 1</w:t>
      </w:r>
    </w:p>
    <w:p w14:paraId="36D3A0DE" w14:textId="250A121E" w:rsidR="004223E7" w:rsidRPr="00C42DEC" w:rsidRDefault="00602783" w:rsidP="004223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C42DEC">
        <w:rPr>
          <w:rFonts w:ascii="Times New Roman" w:hAnsi="Times New Roman" w:cs="Times New Roman"/>
          <w:b/>
          <w:sz w:val="28"/>
          <w:szCs w:val="28"/>
        </w:rPr>
        <w:t>«</w:t>
      </w:r>
      <w:r w:rsidR="004223E7" w:rsidRPr="00C42DEC">
        <w:rPr>
          <w:rFonts w:ascii="Times New Roman" w:hAnsi="Times New Roman" w:cs="Times New Roman"/>
          <w:b/>
          <w:sz w:val="28"/>
          <w:szCs w:val="28"/>
        </w:rPr>
        <w:t xml:space="preserve">Сравнительный анализ понятийных аппаратов </w:t>
      </w:r>
    </w:p>
    <w:p w14:paraId="6FCF22E9" w14:textId="16CB33B0" w:rsidR="004223E7" w:rsidRPr="00C42DEC" w:rsidRDefault="004223E7" w:rsidP="004223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DEC">
        <w:rPr>
          <w:rFonts w:ascii="Times New Roman" w:hAnsi="Times New Roman" w:cs="Times New Roman"/>
          <w:b/>
          <w:sz w:val="28"/>
          <w:szCs w:val="28"/>
        </w:rPr>
        <w:t xml:space="preserve">различных источников в области информационной </w:t>
      </w:r>
    </w:p>
    <w:p w14:paraId="7C9B1295" w14:textId="505DD865" w:rsidR="00602783" w:rsidRPr="00C42DEC" w:rsidRDefault="004223E7" w:rsidP="004223E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42DEC">
        <w:rPr>
          <w:rFonts w:ascii="Times New Roman" w:hAnsi="Times New Roman" w:cs="Times New Roman"/>
          <w:b/>
          <w:sz w:val="28"/>
          <w:szCs w:val="28"/>
        </w:rPr>
        <w:t>безопасности</w:t>
      </w:r>
      <w:r w:rsidR="00602783" w:rsidRPr="00C42DEC">
        <w:rPr>
          <w:rFonts w:ascii="Times New Roman" w:hAnsi="Times New Roman" w:cs="Times New Roman"/>
          <w:b/>
          <w:sz w:val="28"/>
          <w:szCs w:val="28"/>
        </w:rPr>
        <w:t>»</w:t>
      </w:r>
    </w:p>
    <w:p w14:paraId="6424D856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145515" w14:textId="77777777" w:rsidR="00602783" w:rsidRPr="00C42DEC" w:rsidRDefault="00602783" w:rsidP="00A672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10C785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306400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78E76E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C2F855" w14:textId="3B4368D8" w:rsidR="00602783" w:rsidRPr="00C42DEC" w:rsidRDefault="00602783" w:rsidP="00602783">
      <w:pPr>
        <w:spacing w:line="36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Выполнил</w:t>
      </w:r>
      <w:r w:rsidR="004223E7" w:rsidRPr="00C42DEC">
        <w:rPr>
          <w:rFonts w:ascii="Times New Roman" w:hAnsi="Times New Roman" w:cs="Times New Roman"/>
          <w:sz w:val="28"/>
          <w:szCs w:val="28"/>
        </w:rPr>
        <w:t>и</w:t>
      </w:r>
      <w:r w:rsidRPr="00C42DEC">
        <w:rPr>
          <w:rFonts w:ascii="Times New Roman" w:hAnsi="Times New Roman" w:cs="Times New Roman"/>
          <w:sz w:val="28"/>
          <w:szCs w:val="28"/>
        </w:rPr>
        <w:t>: студент</w:t>
      </w:r>
      <w:r w:rsidR="00A672F6" w:rsidRPr="00C42DEC">
        <w:rPr>
          <w:rFonts w:ascii="Times New Roman" w:hAnsi="Times New Roman" w:cs="Times New Roman"/>
          <w:sz w:val="28"/>
          <w:szCs w:val="28"/>
        </w:rPr>
        <w:t>ы</w:t>
      </w:r>
      <w:r w:rsidRPr="00C42DEC">
        <w:rPr>
          <w:rFonts w:ascii="Times New Roman" w:hAnsi="Times New Roman" w:cs="Times New Roman"/>
          <w:sz w:val="28"/>
          <w:szCs w:val="28"/>
        </w:rPr>
        <w:t xml:space="preserve"> группы </w:t>
      </w:r>
      <w:r w:rsidRPr="00C42DE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42DEC">
        <w:rPr>
          <w:rFonts w:ascii="Times New Roman" w:hAnsi="Times New Roman" w:cs="Times New Roman"/>
          <w:sz w:val="28"/>
          <w:szCs w:val="28"/>
        </w:rPr>
        <w:t>И-35 Гаврилов Д.С.</w:t>
      </w:r>
      <w:r w:rsidR="00A672F6" w:rsidRPr="00C42DEC">
        <w:rPr>
          <w:rFonts w:ascii="Times New Roman" w:hAnsi="Times New Roman" w:cs="Times New Roman"/>
          <w:sz w:val="28"/>
          <w:szCs w:val="28"/>
        </w:rPr>
        <w:t xml:space="preserve"> и Филиппов Д.А.</w:t>
      </w:r>
    </w:p>
    <w:p w14:paraId="1E445BE8" w14:textId="4025C8C2" w:rsidR="00602783" w:rsidRPr="00C42DEC" w:rsidRDefault="00602783" w:rsidP="00602783">
      <w:pPr>
        <w:spacing w:after="0" w:line="36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Проверил: старший преподаватель</w:t>
      </w:r>
    </w:p>
    <w:p w14:paraId="7EBDA580" w14:textId="6922B804" w:rsidR="00602783" w:rsidRPr="00C42DEC" w:rsidRDefault="00A672F6" w:rsidP="00602783">
      <w:pPr>
        <w:spacing w:after="0" w:line="36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Смирнов В.И.</w:t>
      </w:r>
    </w:p>
    <w:p w14:paraId="4C830A6C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AEA6C" w14:textId="77777777" w:rsidR="00602783" w:rsidRPr="00C42DEC" w:rsidRDefault="00602783" w:rsidP="00A672F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5AF21" w14:textId="77777777" w:rsidR="00602783" w:rsidRPr="00C42DEC" w:rsidRDefault="00602783" w:rsidP="004223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F1C95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4877DD" w14:textId="77777777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Йошкар-Ола</w:t>
      </w:r>
    </w:p>
    <w:p w14:paraId="7B2B3D50" w14:textId="35CA6D76" w:rsidR="00602783" w:rsidRPr="00C42DEC" w:rsidRDefault="00602783" w:rsidP="0060278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2026</w:t>
      </w:r>
      <w:r w:rsidRPr="00C42DEC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</w:rPr>
        <w:id w:val="-38050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DC12B5" w14:textId="77777777" w:rsidR="00602783" w:rsidRPr="00C42DEC" w:rsidRDefault="00602783" w:rsidP="00602783">
          <w:pPr>
            <w:pStyle w:val="af1"/>
            <w:spacing w:before="0" w:line="600" w:lineRule="auto"/>
            <w:ind w:firstLine="709"/>
            <w:rPr>
              <w:rStyle w:val="10"/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</w:pPr>
          <w:r w:rsidRPr="00C42DEC">
            <w:rPr>
              <w:rStyle w:val="10"/>
              <w:rFonts w:ascii="Times New Roman" w:hAnsi="Times New Roman" w:cs="Times New Roman"/>
              <w:b/>
              <w:bCs/>
              <w:color w:val="000000" w:themeColor="text1"/>
              <w:sz w:val="32"/>
              <w:szCs w:val="32"/>
            </w:rPr>
            <w:t>Содержание</w:t>
          </w:r>
        </w:p>
        <w:p w14:paraId="47D3C2F7" w14:textId="2DD8E103" w:rsidR="001B6F06" w:rsidRPr="001B6F06" w:rsidRDefault="00602783" w:rsidP="001B6F06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r w:rsidRPr="001B6F0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B6F0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B6F0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344611" w:history="1">
            <w:r w:rsidR="001B6F06" w:rsidRPr="001B6F0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_Toc222344611 \h </w:instrTex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13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B4A76" w14:textId="594CDDE5" w:rsidR="001B6F06" w:rsidRPr="001B6F06" w:rsidRDefault="00000000" w:rsidP="001B6F06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344612" w:history="1">
            <w:r w:rsidR="001B6F06" w:rsidRPr="001B6F0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Презентация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_Toc222344612 \h </w:instrTex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13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944457" w14:textId="3F39D8DB" w:rsidR="001B6F06" w:rsidRPr="001B6F06" w:rsidRDefault="00000000" w:rsidP="001B6F06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344613" w:history="1">
            <w:r w:rsidR="001B6F06" w:rsidRPr="001B6F0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Инструмент для создания презентаций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_Toc222344613 \h </w:instrTex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13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EB5A5" w14:textId="44FD3A73" w:rsidR="001B6F06" w:rsidRPr="001B6F06" w:rsidRDefault="00000000" w:rsidP="001B6F06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344614" w:history="1">
            <w:r w:rsidR="001B6F06" w:rsidRPr="001B6F0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Краткие теоретические сведения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_Toc222344614 \h </w:instrTex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13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5B2DF8" w14:textId="4ED50117" w:rsidR="001B6F06" w:rsidRPr="001B6F06" w:rsidRDefault="00000000" w:rsidP="001B6F06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344615" w:history="1">
            <w:r w:rsidR="001B6F06" w:rsidRPr="001B6F0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Глоссарий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_Toc222344615 \h </w:instrTex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13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F5151" w14:textId="41E3AD98" w:rsidR="001B6F06" w:rsidRPr="001B6F06" w:rsidRDefault="00000000" w:rsidP="001B6F06">
          <w:pPr>
            <w:pStyle w:val="11"/>
            <w:tabs>
              <w:tab w:val="right" w:leader="dot" w:pos="9344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kern w:val="2"/>
              <w:sz w:val="28"/>
              <w:szCs w:val="28"/>
              <w14:ligatures w14:val="standardContextual"/>
            </w:rPr>
          </w:pPr>
          <w:hyperlink w:anchor="_Toc222344616" w:history="1">
            <w:r w:rsidR="001B6F06" w:rsidRPr="001B6F06">
              <w:rPr>
                <w:rStyle w:val="af2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использованной литературы и источников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_Toc222344616 \h </w:instrTex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3138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1B6F06" w:rsidRPr="001B6F0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FF603B" w14:textId="31DF828B" w:rsidR="00602783" w:rsidRPr="00C42DEC" w:rsidRDefault="00602783" w:rsidP="001B6F06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1B6F0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41BAFB2" w14:textId="77777777" w:rsidR="00602783" w:rsidRPr="00C42DEC" w:rsidRDefault="00602783" w:rsidP="0060278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42DEC">
        <w:rPr>
          <w:rFonts w:ascii="Times New Roman" w:hAnsi="Times New Roman" w:cs="Times New Roman"/>
          <w:sz w:val="28"/>
          <w:szCs w:val="28"/>
        </w:rPr>
        <w:br w:type="page"/>
      </w:r>
    </w:p>
    <w:p w14:paraId="3CD77396" w14:textId="6F62028D" w:rsidR="004E7FC8" w:rsidRPr="00C42DEC" w:rsidRDefault="004223E7" w:rsidP="00602783">
      <w:pPr>
        <w:pStyle w:val="1"/>
        <w:spacing w:before="0" w:after="0" w:line="60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Toc222344611"/>
      <w:r w:rsidRPr="00C42D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Введение</w:t>
      </w:r>
      <w:bookmarkEnd w:id="0"/>
    </w:p>
    <w:p w14:paraId="6D5E5DB0" w14:textId="6F1DE07D" w:rsidR="006A3027" w:rsidRPr="00C42DEC" w:rsidRDefault="006A3027" w:rsidP="004E7F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Цели лабораторной работы:</w:t>
      </w:r>
    </w:p>
    <w:p w14:paraId="1B872DFB" w14:textId="0096ACF9" w:rsidR="006A3027" w:rsidRPr="00C42DEC" w:rsidRDefault="006A3027" w:rsidP="006A302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Формирование начальных представлений о целях и задачах защиты информации</w:t>
      </w:r>
      <w:r w:rsidR="00D132F8" w:rsidRPr="00C42DEC">
        <w:rPr>
          <w:rFonts w:ascii="Times New Roman" w:hAnsi="Times New Roman" w:cs="Times New Roman"/>
          <w:sz w:val="28"/>
          <w:szCs w:val="28"/>
        </w:rPr>
        <w:t>;</w:t>
      </w:r>
    </w:p>
    <w:p w14:paraId="22EF9326" w14:textId="6D3406BB" w:rsidR="006A3027" w:rsidRPr="00C42DEC" w:rsidRDefault="006A3027" w:rsidP="006A302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Закрепление знаний основного понятийного аппарата, применяемого в области информационной безопасности</w:t>
      </w:r>
      <w:r w:rsidR="00D132F8" w:rsidRPr="00C42DEC">
        <w:rPr>
          <w:rFonts w:ascii="Times New Roman" w:hAnsi="Times New Roman" w:cs="Times New Roman"/>
          <w:sz w:val="28"/>
          <w:szCs w:val="28"/>
        </w:rPr>
        <w:t>;</w:t>
      </w:r>
    </w:p>
    <w:p w14:paraId="64263DDB" w14:textId="47159B31" w:rsidR="00947CA4" w:rsidRPr="00C42DEC" w:rsidRDefault="006A3027" w:rsidP="006A3027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Ознакомление с руководящими и нормативно-правовыми документами государственных органов, регулирующих вопросы информационной безопасности и защиты информации (ФСТЭК России, ФСБ России и др.).</w:t>
      </w:r>
    </w:p>
    <w:p w14:paraId="5C3CEC08" w14:textId="518A32F0" w:rsidR="006A3027" w:rsidRPr="00C42DEC" w:rsidRDefault="00930E58" w:rsidP="006A3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В рамках выполнения лабораторной работы в качестве основного нормативного правового акта для подготовки презентации выбран Федеральный закон № 63-ФЗ «Об электронной подписи». Данный закон регулирует отношения, возникающие при использовании электронной подписи в Российской Федерации, устанавливает виды электронной подписи, требования к удостоверяющим центрам, порядок выдачи и использования сертификатов ключей проверки электронной подписи, а также определяет юридическую значимость электронных документов. В презентации будут рассмотрены историко-правовые предпосылки принятия закона, основные понятия и положения, а также его роль в обеспечении безопасности электронного документооборота и цифрового взаимодействия граждан, организаций и государства.</w:t>
      </w:r>
    </w:p>
    <w:p w14:paraId="2D246BF7" w14:textId="4DF6CF92" w:rsidR="00602783" w:rsidRDefault="00602783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br w:type="page"/>
      </w:r>
    </w:p>
    <w:p w14:paraId="73982A24" w14:textId="2113EE10" w:rsidR="003D232E" w:rsidRPr="00C42DEC" w:rsidRDefault="003D232E" w:rsidP="003D232E">
      <w:pPr>
        <w:pStyle w:val="1"/>
        <w:spacing w:before="0" w:after="0" w:line="60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1" w:name="_Toc22234461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Презентация</w:t>
      </w:r>
      <w:bookmarkEnd w:id="1"/>
    </w:p>
    <w:p w14:paraId="12FA6206" w14:textId="25B537D3" w:rsidR="006D62AF" w:rsidRDefault="006D62AF" w:rsidP="006D62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В рамках работы подготовлена презентация, отражающая основные положения </w:t>
      </w:r>
      <w:r w:rsidRPr="00C42DEC">
        <w:rPr>
          <w:rFonts w:ascii="Times New Roman" w:hAnsi="Times New Roman" w:cs="Times New Roman"/>
          <w:sz w:val="28"/>
          <w:szCs w:val="28"/>
        </w:rPr>
        <w:t>Федеральн</w:t>
      </w:r>
      <w:r>
        <w:rPr>
          <w:rFonts w:ascii="Times New Roman" w:hAnsi="Times New Roman" w:cs="Times New Roman"/>
          <w:sz w:val="28"/>
          <w:szCs w:val="28"/>
        </w:rPr>
        <w:t xml:space="preserve">ого </w:t>
      </w:r>
      <w:r w:rsidRPr="00C42DEC">
        <w:rPr>
          <w:rFonts w:ascii="Times New Roman" w:hAnsi="Times New Roman" w:cs="Times New Roman"/>
          <w:sz w:val="28"/>
          <w:szCs w:val="28"/>
        </w:rPr>
        <w:t>закон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C42DEC">
        <w:rPr>
          <w:rFonts w:ascii="Times New Roman" w:hAnsi="Times New Roman" w:cs="Times New Roman"/>
          <w:sz w:val="28"/>
          <w:szCs w:val="28"/>
        </w:rPr>
        <w:t xml:space="preserve"> № 63-ФЗ «Об электронной подписи».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62AF">
        <w:rPr>
          <w:rFonts w:ascii="Times New Roman" w:hAnsi="Times New Roman" w:cs="Times New Roman"/>
          <w:sz w:val="28"/>
          <w:szCs w:val="28"/>
        </w:rPr>
        <w:t>Фрагменты разработанной презентации представлены на рисунках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D62AF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14</w:t>
      </w:r>
      <w:r w:rsidRPr="006D62AF">
        <w:rPr>
          <w:rFonts w:ascii="Times New Roman" w:hAnsi="Times New Roman" w:cs="Times New Roman"/>
          <w:sz w:val="28"/>
          <w:szCs w:val="28"/>
        </w:rPr>
        <w:t>.</w:t>
      </w:r>
    </w:p>
    <w:p w14:paraId="1A9A4C5E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F66A23" wp14:editId="2408967C">
            <wp:extent cx="5934075" cy="33432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87FF4" w14:textId="32D91C29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>Рисунок 1 – Слайд 1 презентации</w:t>
      </w:r>
    </w:p>
    <w:p w14:paraId="5ACF9806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4B7848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B3F3D" wp14:editId="696A09D8">
            <wp:extent cx="5934075" cy="33432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4A891" w14:textId="0F68DEBF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4011D1B2" w14:textId="06825B0C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6B494" wp14:editId="723EAC6F">
            <wp:extent cx="5934075" cy="33432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6858" w14:textId="5D055CFC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039AE430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DC700C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393E1" wp14:editId="38997588">
            <wp:extent cx="5934075" cy="334327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5624B" w14:textId="51880D01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1EE37C71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4D9EECB" wp14:editId="60D3CE2D">
            <wp:extent cx="5934075" cy="33432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E085A" w14:textId="7CC24D34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61138A6A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B72C90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D73523" wp14:editId="18D5E58B">
            <wp:extent cx="5934075" cy="334327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83FF" w14:textId="46AEB291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452AEFDE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FA03008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86BDB1A" wp14:editId="1A0DA73F">
            <wp:extent cx="5934075" cy="334327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1EC95" w14:textId="6D7E03D8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</w:t>
      </w:r>
      <w:r>
        <w:rPr>
          <w:rFonts w:ascii="Times New Roman" w:hAnsi="Times New Roman" w:cs="Times New Roman"/>
          <w:sz w:val="28"/>
          <w:szCs w:val="28"/>
        </w:rPr>
        <w:t xml:space="preserve"> 7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426321F5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103605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FB11F3" wp14:editId="4AF7A8A5">
            <wp:extent cx="5934075" cy="3343275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E110D" w14:textId="73799503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r w:rsidRPr="006D62AF">
        <w:rPr>
          <w:rFonts w:ascii="Times New Roman" w:hAnsi="Times New Roman" w:cs="Times New Roman"/>
          <w:sz w:val="28"/>
          <w:szCs w:val="28"/>
        </w:rPr>
        <w:t xml:space="preserve">– Слайд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710E1810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BEEF3F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83A898" wp14:editId="1A3A55BB">
            <wp:extent cx="5934075" cy="33432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78A5" w14:textId="17323D26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0EA994E4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80DDF0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65EC00" wp14:editId="07F9EE5F">
            <wp:extent cx="5934075" cy="33432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ABCC" w14:textId="45CCBCE1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1211D549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0FA846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01921E" wp14:editId="63928B61">
            <wp:extent cx="5934075" cy="33432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D436" w14:textId="77DBA8FF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Pr="006D62AF">
        <w:rPr>
          <w:rFonts w:ascii="Times New Roman" w:hAnsi="Times New Roman" w:cs="Times New Roman"/>
          <w:sz w:val="28"/>
          <w:szCs w:val="28"/>
        </w:rPr>
        <w:t xml:space="preserve">– Слайд </w:t>
      </w:r>
      <w:r>
        <w:rPr>
          <w:rFonts w:ascii="Times New Roman" w:hAnsi="Times New Roman" w:cs="Times New Roman"/>
          <w:sz w:val="28"/>
          <w:szCs w:val="28"/>
        </w:rPr>
        <w:t>11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1DE0F006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8CA1AB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3FAB63" wp14:editId="771108FB">
            <wp:extent cx="5934075" cy="33432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9ABE5" w14:textId="42D09DE6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7E683CEE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9A165A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AACC8F3" wp14:editId="6E05FEE8">
            <wp:extent cx="5934075" cy="334327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2FB40" w14:textId="46E7799E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18210DE4" w14:textId="77777777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B93978" w14:textId="7A22F190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8D7670" wp14:editId="7EADD65F">
            <wp:extent cx="5934075" cy="3343275"/>
            <wp:effectExtent l="0" t="0" r="952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17FD6" w14:textId="332366A1" w:rsidR="006D62AF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Слайд </w:t>
      </w:r>
      <w:r>
        <w:rPr>
          <w:rFonts w:ascii="Times New Roman" w:hAnsi="Times New Roman" w:cs="Times New Roman"/>
          <w:sz w:val="28"/>
          <w:szCs w:val="28"/>
        </w:rPr>
        <w:t>14</w:t>
      </w:r>
      <w:r w:rsidRPr="006D62AF">
        <w:rPr>
          <w:rFonts w:ascii="Times New Roman" w:hAnsi="Times New Roman" w:cs="Times New Roman"/>
          <w:sz w:val="28"/>
          <w:szCs w:val="28"/>
        </w:rPr>
        <w:t xml:space="preserve"> презентации</w:t>
      </w:r>
    </w:p>
    <w:p w14:paraId="311D6F8C" w14:textId="77777777" w:rsidR="006D62AF" w:rsidRPr="00C42DEC" w:rsidRDefault="006D62AF" w:rsidP="006D62A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78EFE7" w14:textId="77777777" w:rsidR="003D232E" w:rsidRDefault="003D232E" w:rsidP="006D62AF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1B18EA0" w14:textId="77777777" w:rsidR="00993141" w:rsidRPr="00C42DEC" w:rsidRDefault="00993141" w:rsidP="00993141">
      <w:pPr>
        <w:pStyle w:val="1"/>
        <w:spacing w:before="0" w:after="0" w:line="60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Toc222344613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Инструмент для создания презентаций</w:t>
      </w:r>
      <w:bookmarkEnd w:id="2"/>
    </w:p>
    <w:p w14:paraId="4BEEC625" w14:textId="17A3C532" w:rsidR="00C422D4" w:rsidRPr="00C422D4" w:rsidRDefault="00C422D4" w:rsidP="00C42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2D4">
        <w:rPr>
          <w:rFonts w:ascii="Times New Roman" w:hAnsi="Times New Roman" w:cs="Times New Roman"/>
          <w:sz w:val="28"/>
          <w:szCs w:val="28"/>
        </w:rPr>
        <w:t xml:space="preserve">Презентация выполнена с использованием инструмента </w:t>
      </w:r>
      <w:proofErr w:type="spellStart"/>
      <w:r w:rsidRPr="00C422D4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C422D4">
        <w:rPr>
          <w:rFonts w:ascii="Times New Roman" w:hAnsi="Times New Roman" w:cs="Times New Roman"/>
          <w:sz w:val="28"/>
          <w:szCs w:val="28"/>
        </w:rPr>
        <w:t xml:space="preserve"> AI </w:t>
      </w:r>
      <w:r w:rsidRPr="006D62AF">
        <w:rPr>
          <w:rFonts w:ascii="Times New Roman" w:hAnsi="Times New Roman" w:cs="Times New Roman"/>
          <w:sz w:val="28"/>
          <w:szCs w:val="28"/>
        </w:rPr>
        <w:t xml:space="preserve">– </w:t>
      </w:r>
      <w:r w:rsidRPr="00C422D4">
        <w:rPr>
          <w:rFonts w:ascii="Times New Roman" w:hAnsi="Times New Roman" w:cs="Times New Roman"/>
          <w:sz w:val="28"/>
          <w:szCs w:val="28"/>
        </w:rPr>
        <w:t>веб-платформы, предназначенной для автоматизированной разработки презентационных материалов.</w:t>
      </w:r>
    </w:p>
    <w:p w14:paraId="16D35F3C" w14:textId="77777777" w:rsidR="00C422D4" w:rsidRDefault="00C422D4" w:rsidP="00C42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2D4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C422D4">
        <w:rPr>
          <w:rFonts w:ascii="Times New Roman" w:hAnsi="Times New Roman" w:cs="Times New Roman"/>
          <w:sz w:val="28"/>
          <w:szCs w:val="28"/>
        </w:rPr>
        <w:t xml:space="preserve"> AI представляет собой систему на основе технологий искусственного интеллекта, предназначенную для создания презентаций, документов и веб-страниц. Для начала работы пользователю необходимо задать описание требуемого материала, после чего система формирует структуру проекта, распределяет содержание по слайдам и подбирает соответствующее визуальное оформление.</w:t>
      </w:r>
    </w:p>
    <w:p w14:paraId="19853219" w14:textId="79DDCB24" w:rsidR="00993141" w:rsidRDefault="00C422D4" w:rsidP="00C42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2D4">
        <w:rPr>
          <w:rFonts w:ascii="Times New Roman" w:hAnsi="Times New Roman" w:cs="Times New Roman"/>
          <w:sz w:val="28"/>
          <w:szCs w:val="28"/>
        </w:rPr>
        <w:t>Платформа функционирует в браузере и реализована на основе технологий искусственного интеллекта. Система анализирует содержание введённого текста, автоматически подбирает оформление, шрифтовые решения и выстраивает композицию слайдов, обеспечивая структурированную и визуально целостную подачу материала. Таким образом, инструмент объединяет в себе функции генерации идей, логической структуры и визуального оформления в единой цифровой среде.</w:t>
      </w:r>
    </w:p>
    <w:p w14:paraId="6C9ED43C" w14:textId="68076D5F" w:rsid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037F9C" wp14:editId="3813C3D5">
            <wp:extent cx="5939790" cy="3281045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E883" w14:textId="4CC71C0A" w:rsidR="00993141" w:rsidRDefault="00993141" w:rsidP="00C422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15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</w:t>
      </w:r>
      <w:r w:rsidRPr="00993141">
        <w:rPr>
          <w:rFonts w:ascii="Times New Roman" w:hAnsi="Times New Roman" w:cs="Times New Roman"/>
          <w:sz w:val="28"/>
          <w:szCs w:val="28"/>
        </w:rPr>
        <w:t>Интерфейс нейросети «Гамма» с функцией ИИ</w:t>
      </w:r>
    </w:p>
    <w:p w14:paraId="699C3694" w14:textId="793A75EF" w:rsidR="00C422D4" w:rsidRPr="00C422D4" w:rsidRDefault="00C422D4" w:rsidP="00C42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422D4">
        <w:rPr>
          <w:rFonts w:ascii="Times New Roman" w:hAnsi="Times New Roman" w:cs="Times New Roman"/>
          <w:sz w:val="28"/>
          <w:szCs w:val="28"/>
        </w:rPr>
        <w:lastRenderedPageBreak/>
        <w:t>Gamma</w:t>
      </w:r>
      <w:proofErr w:type="spellEnd"/>
      <w:r w:rsidRPr="00C422D4">
        <w:rPr>
          <w:rFonts w:ascii="Times New Roman" w:hAnsi="Times New Roman" w:cs="Times New Roman"/>
          <w:sz w:val="28"/>
          <w:szCs w:val="28"/>
        </w:rPr>
        <w:t xml:space="preserve"> AI не заменяет профессиональные навыки разработки презентаций, а выступает инструментом, ускоряющим процесс подготовки материалов. Эффективное использование нейросети требует понимания принципов визуальной структуры, композиции, типографики и </w:t>
      </w:r>
      <w:proofErr w:type="spellStart"/>
      <w:r w:rsidRPr="00C422D4">
        <w:rPr>
          <w:rFonts w:ascii="Times New Roman" w:hAnsi="Times New Roman" w:cs="Times New Roman"/>
          <w:sz w:val="28"/>
          <w:szCs w:val="28"/>
        </w:rPr>
        <w:t>сторителлинга</w:t>
      </w:r>
      <w:proofErr w:type="spellEnd"/>
      <w:r w:rsidRPr="00C422D4">
        <w:rPr>
          <w:rFonts w:ascii="Times New Roman" w:hAnsi="Times New Roman" w:cs="Times New Roman"/>
          <w:sz w:val="28"/>
          <w:szCs w:val="28"/>
        </w:rPr>
        <w:t>. При отсутствии логически выстроенной подачи даже корректно оформленный шаблон не обеспечит убедительного представления материала. Освоению данных принципов способствуют специализированные образовательные курсы по дизайну презентаций, в рамках которых изучаются вопросы структурирования содержания, подбора цветовых решений, визуальных акцентов и работы с текстом.</w:t>
      </w:r>
    </w:p>
    <w:p w14:paraId="603C9B82" w14:textId="194E38FA" w:rsidR="00C422D4" w:rsidRDefault="00C422D4" w:rsidP="00C42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2D4">
        <w:rPr>
          <w:rFonts w:ascii="Times New Roman" w:hAnsi="Times New Roman" w:cs="Times New Roman"/>
          <w:sz w:val="28"/>
          <w:szCs w:val="28"/>
        </w:rPr>
        <w:t xml:space="preserve">Популярность нейросети «Гамма» обусловлена её способностью не только автоматически формировать визуально оформленные слайды, но и содействовать структурированию идей. Инструмент ориентирован на преобразование содержания в логически выстроенное визуальное представление, однако, как и любые решения на </w:t>
      </w:r>
      <w:r>
        <w:rPr>
          <w:rFonts w:ascii="Times New Roman" w:hAnsi="Times New Roman" w:cs="Times New Roman"/>
          <w:sz w:val="28"/>
          <w:szCs w:val="28"/>
        </w:rPr>
        <w:t>базе ИИ</w:t>
      </w:r>
      <w:r w:rsidRPr="00C422D4">
        <w:rPr>
          <w:rFonts w:ascii="Times New Roman" w:hAnsi="Times New Roman" w:cs="Times New Roman"/>
          <w:sz w:val="28"/>
          <w:szCs w:val="28"/>
        </w:rPr>
        <w:t>, обладает как преимуществами, так и определёнными ограничениями.</w:t>
      </w:r>
    </w:p>
    <w:p w14:paraId="7763F6A4" w14:textId="1F9473B7" w:rsid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5BBBEE" wp14:editId="09EDC1D8">
            <wp:extent cx="5939790" cy="387477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062C9" w14:textId="574C0CE1" w:rsidR="00993141" w:rsidRDefault="00993141" w:rsidP="00C422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16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993141">
        <w:rPr>
          <w:rFonts w:ascii="Times New Roman" w:hAnsi="Times New Roman" w:cs="Times New Roman"/>
          <w:sz w:val="28"/>
          <w:szCs w:val="28"/>
        </w:rPr>
        <w:t xml:space="preserve">реимущества и ограничения </w:t>
      </w:r>
      <w:proofErr w:type="spellStart"/>
      <w:r w:rsidRPr="00993141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993141">
        <w:rPr>
          <w:rFonts w:ascii="Times New Roman" w:hAnsi="Times New Roman" w:cs="Times New Roman"/>
          <w:sz w:val="28"/>
          <w:szCs w:val="28"/>
        </w:rPr>
        <w:t xml:space="preserve"> AI</w:t>
      </w:r>
    </w:p>
    <w:p w14:paraId="0A867D06" w14:textId="51783D00" w:rsidR="00C422D4" w:rsidRDefault="00C422D4" w:rsidP="009931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2D4">
        <w:rPr>
          <w:rFonts w:ascii="Times New Roman" w:hAnsi="Times New Roman" w:cs="Times New Roman"/>
          <w:sz w:val="28"/>
          <w:szCs w:val="28"/>
        </w:rPr>
        <w:lastRenderedPageBreak/>
        <w:t xml:space="preserve">Для использования возможностей нейросети </w:t>
      </w:r>
      <w:proofErr w:type="spellStart"/>
      <w:r w:rsidRPr="00C422D4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C422D4">
        <w:rPr>
          <w:rFonts w:ascii="Times New Roman" w:hAnsi="Times New Roman" w:cs="Times New Roman"/>
          <w:sz w:val="28"/>
          <w:szCs w:val="28"/>
        </w:rPr>
        <w:t xml:space="preserve"> AI достаточно доступа к сети Интернет и веб-браузера. Платформа функционирует в онлайн-режиме и не требует установки дополнительного программного обеспечения, обеспечивая доступ через официальный сайт. Интерфейс системы поддерживает русскоязычную версию, что повышает удобство работы при создании презентационных материалов.</w:t>
      </w:r>
    </w:p>
    <w:p w14:paraId="501B5309" w14:textId="7F7341D0" w:rsid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DAE3A4" wp14:editId="000641FC">
            <wp:extent cx="5939790" cy="3267075"/>
            <wp:effectExtent l="0" t="0" r="381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4E74" w14:textId="6D88CA05" w:rsid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17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93141">
        <w:rPr>
          <w:rFonts w:ascii="Times New Roman" w:hAnsi="Times New Roman" w:cs="Times New Roman"/>
          <w:sz w:val="28"/>
          <w:szCs w:val="28"/>
        </w:rPr>
        <w:t>есколько вариантов начала работы</w:t>
      </w:r>
    </w:p>
    <w:p w14:paraId="299CB39A" w14:textId="77777777" w:rsidR="00993141" w:rsidRDefault="00993141" w:rsidP="00C422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957530" w14:textId="40010E74" w:rsidR="00C422D4" w:rsidRPr="00C422D4" w:rsidRDefault="00C422D4" w:rsidP="00C42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2D4">
        <w:rPr>
          <w:rFonts w:ascii="Times New Roman" w:hAnsi="Times New Roman" w:cs="Times New Roman"/>
          <w:sz w:val="28"/>
          <w:szCs w:val="28"/>
        </w:rPr>
        <w:t>При выборе режима создания презентации с использованием ИИ открывается меню настроек, в котором задаются параметры объёма, формата и языка документа. На данном этапе пользователю необходимо сформулировать текстовый запрос (</w:t>
      </w:r>
      <w:proofErr w:type="spellStart"/>
      <w:r w:rsidRPr="00C422D4">
        <w:rPr>
          <w:rFonts w:ascii="Times New Roman" w:hAnsi="Times New Roman" w:cs="Times New Roman"/>
          <w:sz w:val="28"/>
          <w:szCs w:val="28"/>
        </w:rPr>
        <w:t>промпт</w:t>
      </w:r>
      <w:proofErr w:type="spellEnd"/>
      <w:r w:rsidRPr="00C422D4">
        <w:rPr>
          <w:rFonts w:ascii="Times New Roman" w:hAnsi="Times New Roman" w:cs="Times New Roman"/>
          <w:sz w:val="28"/>
          <w:szCs w:val="28"/>
        </w:rPr>
        <w:t>) для последующей генерации материала.</w:t>
      </w:r>
    </w:p>
    <w:p w14:paraId="49B2C8BC" w14:textId="34BD7FB1" w:rsidR="00C422D4" w:rsidRDefault="00C422D4" w:rsidP="00C42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2D4">
        <w:rPr>
          <w:rFonts w:ascii="Times New Roman" w:hAnsi="Times New Roman" w:cs="Times New Roman"/>
          <w:sz w:val="28"/>
          <w:szCs w:val="28"/>
        </w:rPr>
        <w:t xml:space="preserve">В настройках </w:t>
      </w:r>
      <w:proofErr w:type="spellStart"/>
      <w:r w:rsidRPr="00C422D4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C422D4">
        <w:rPr>
          <w:rFonts w:ascii="Times New Roman" w:hAnsi="Times New Roman" w:cs="Times New Roman"/>
          <w:sz w:val="28"/>
          <w:szCs w:val="28"/>
        </w:rPr>
        <w:t xml:space="preserve"> AI предусмотрены различные варианты работы с текстом: автоматическая генерация нового содержания, сокращение введённого текста либо его сохранение без изменений. Пользователь также может определить объём текста на слайдах и язык ввода. Целевая аудитория и стиль подачи материала определяются системой автоматически на основе анализа содержания, однако при необходимости данные параметры могут </w:t>
      </w:r>
      <w:r w:rsidRPr="00C422D4">
        <w:rPr>
          <w:rFonts w:ascii="Times New Roman" w:hAnsi="Times New Roman" w:cs="Times New Roman"/>
          <w:sz w:val="28"/>
          <w:szCs w:val="28"/>
        </w:rPr>
        <w:lastRenderedPageBreak/>
        <w:t>быть скорректированы вручную. После завершения настройки следует запустить процесс генерации проекта.</w:t>
      </w:r>
    </w:p>
    <w:p w14:paraId="35441B6D" w14:textId="530E9933" w:rsid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E25061" wp14:editId="601A52BF">
            <wp:extent cx="5939790" cy="3289935"/>
            <wp:effectExtent l="0" t="0" r="381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48E0C" w14:textId="700B032F" w:rsid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18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993141">
        <w:rPr>
          <w:rFonts w:ascii="Times New Roman" w:hAnsi="Times New Roman" w:cs="Times New Roman"/>
          <w:sz w:val="28"/>
          <w:szCs w:val="28"/>
        </w:rPr>
        <w:t>астройки для генерации презентаций</w:t>
      </w:r>
    </w:p>
    <w:p w14:paraId="3EE131F1" w14:textId="77777777" w:rsid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4296BD" w14:textId="0A18715D" w:rsidR="00C422D4" w:rsidRPr="00C422D4" w:rsidRDefault="00C422D4" w:rsidP="00C42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2D4">
        <w:rPr>
          <w:rFonts w:ascii="Times New Roman" w:hAnsi="Times New Roman" w:cs="Times New Roman"/>
          <w:sz w:val="28"/>
          <w:szCs w:val="28"/>
        </w:rPr>
        <w:t xml:space="preserve">Сформированная в </w:t>
      </w:r>
      <w:proofErr w:type="spellStart"/>
      <w:r w:rsidRPr="00C422D4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C422D4">
        <w:rPr>
          <w:rFonts w:ascii="Times New Roman" w:hAnsi="Times New Roman" w:cs="Times New Roman"/>
          <w:sz w:val="28"/>
          <w:szCs w:val="28"/>
        </w:rPr>
        <w:t xml:space="preserve"> AI презентация подлежит последующему редактированию. При выделении текстового блока отображается панель инструментов, позволяющая изменить цвет и тип шрифта, добавить гиперссылку, встроить программный код, а также оставить комментарии для совместной работы.</w:t>
      </w:r>
    </w:p>
    <w:p w14:paraId="039D6BF6" w14:textId="319DB43E" w:rsidR="00C422D4" w:rsidRDefault="00C422D4" w:rsidP="00C422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2D4">
        <w:rPr>
          <w:rFonts w:ascii="Times New Roman" w:hAnsi="Times New Roman" w:cs="Times New Roman"/>
          <w:sz w:val="28"/>
          <w:szCs w:val="28"/>
        </w:rPr>
        <w:t>Аналогичные возможности предусмотрены для графических элементов: изображения можно редактировать, обрезать, удалять, заменять собственными файлами либо инициировать повторную генерацию с использованием инструментов искусственного интеллекта.</w:t>
      </w:r>
    </w:p>
    <w:p w14:paraId="1BF81F24" w14:textId="77777777" w:rsid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F49A58" wp14:editId="67D21C8D">
            <wp:extent cx="5939790" cy="3285490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F7628" w14:textId="4B6C537D" w:rsid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62AF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19</w:t>
      </w:r>
      <w:r w:rsidRPr="006D62AF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993141">
        <w:rPr>
          <w:rFonts w:ascii="Times New Roman" w:hAnsi="Times New Roman" w:cs="Times New Roman"/>
          <w:sz w:val="28"/>
          <w:szCs w:val="28"/>
        </w:rPr>
        <w:t>ункци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993141">
        <w:rPr>
          <w:rFonts w:ascii="Times New Roman" w:hAnsi="Times New Roman" w:cs="Times New Roman"/>
          <w:sz w:val="28"/>
          <w:szCs w:val="28"/>
        </w:rPr>
        <w:t xml:space="preserve"> «Редактировать с помощью AI»</w:t>
      </w:r>
    </w:p>
    <w:p w14:paraId="43CC9EE2" w14:textId="77777777" w:rsidR="00993141" w:rsidRPr="00993141" w:rsidRDefault="00993141" w:rsidP="0099314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535F2A" w14:textId="39910E55" w:rsidR="00C422D4" w:rsidRDefault="00C422D4" w:rsidP="009931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2D4">
        <w:rPr>
          <w:rFonts w:ascii="Times New Roman" w:hAnsi="Times New Roman" w:cs="Times New Roman"/>
          <w:sz w:val="28"/>
          <w:szCs w:val="28"/>
        </w:rPr>
        <w:t>Кроме того, платформа предоставляет возможность изменения общего оформления презентации путём выбора альтернативного шаблона либо замены фонового оформления. Для выполнения комплексных изменений предусмотрен инструмент «Agent», расположенный в верхнем меню интерфейса. Данная функция открывает поле для ввода дополнительных инструкций, на основании которых система может скорректировать содержание проекта, например упростить текст, расширить его или сократить объём.</w:t>
      </w:r>
    </w:p>
    <w:p w14:paraId="65B698DD" w14:textId="2C1087ED" w:rsidR="00993141" w:rsidRPr="00C42DEC" w:rsidRDefault="00C83474" w:rsidP="00C834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83474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C83474">
        <w:rPr>
          <w:rFonts w:ascii="Times New Roman" w:hAnsi="Times New Roman" w:cs="Times New Roman"/>
          <w:sz w:val="28"/>
          <w:szCs w:val="28"/>
        </w:rPr>
        <w:t>Gamma</w:t>
      </w:r>
      <w:proofErr w:type="spellEnd"/>
      <w:r w:rsidRPr="00C83474">
        <w:rPr>
          <w:rFonts w:ascii="Times New Roman" w:hAnsi="Times New Roman" w:cs="Times New Roman"/>
          <w:sz w:val="28"/>
          <w:szCs w:val="28"/>
        </w:rPr>
        <w:t xml:space="preserve"> AI представляет собой современный инструмент автоматизированной разработки презентационных материалов на основе технологий искусственного интеллекта. Платформа обеспечивает генерацию структуры, подбор визуального оформления и последующее редактирование содержимого в интерактивной среде. Использование данного инструмента позволяет ускорить процесс подготовки презентации и повысить структурированность материала, однако эффективность его применения во многом зависит от качества исходного запроса и уровня подготовки пользователя в области композиции и логики изложения.</w:t>
      </w:r>
      <w:r w:rsidR="00993141">
        <w:rPr>
          <w:rFonts w:ascii="Times New Roman" w:hAnsi="Times New Roman" w:cs="Times New Roman"/>
          <w:sz w:val="28"/>
          <w:szCs w:val="28"/>
        </w:rPr>
        <w:br w:type="page"/>
      </w:r>
    </w:p>
    <w:p w14:paraId="1FDC9C3C" w14:textId="6D975BF8" w:rsidR="00602783" w:rsidRPr="00C42DEC" w:rsidRDefault="004223E7" w:rsidP="00602783">
      <w:pPr>
        <w:pStyle w:val="1"/>
        <w:spacing w:before="0" w:after="0" w:line="60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Toc222344614"/>
      <w:r w:rsidRPr="00C42D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Краткие теоретические сведения</w:t>
      </w:r>
      <w:bookmarkEnd w:id="3"/>
    </w:p>
    <w:p w14:paraId="17045CB7" w14:textId="28F916BB" w:rsidR="001C2820" w:rsidRPr="00C42DEC" w:rsidRDefault="00005098" w:rsidP="006A3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Ниже приведён фрагмент из учебного пособия [1, с. 13–15].</w:t>
      </w:r>
    </w:p>
    <w:p w14:paraId="5534BED7" w14:textId="21796554" w:rsidR="00456ABD" w:rsidRPr="00C42DEC" w:rsidRDefault="00005098" w:rsidP="006A3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bCs/>
          <w:sz w:val="28"/>
          <w:szCs w:val="28"/>
        </w:rPr>
        <w:t>«</w:t>
      </w:r>
      <w:r w:rsidR="00456ABD" w:rsidRPr="00C42DEC">
        <w:rPr>
          <w:rFonts w:ascii="Times New Roman" w:hAnsi="Times New Roman" w:cs="Times New Roman"/>
          <w:sz w:val="28"/>
          <w:szCs w:val="28"/>
        </w:rPr>
        <w:t>В области кибербезопасности существует множество ключевых терминов и определений, которые играют фундаментальную роль в обеспечении безопасности информации и информационных систем. Понимание этих понятий является необходимым условием для эффективного управления и защиты информации в цифровом мире.</w:t>
      </w:r>
      <w:r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="00456ABD" w:rsidRPr="00C42DEC">
        <w:rPr>
          <w:rFonts w:ascii="Times New Roman" w:hAnsi="Times New Roman" w:cs="Times New Roman"/>
          <w:sz w:val="28"/>
          <w:szCs w:val="28"/>
        </w:rPr>
        <w:t>В данном параграфе мы приступим к рассмотрению основных терминов и определений, лежащих в основе кибербезопасности.</w:t>
      </w:r>
    </w:p>
    <w:p w14:paraId="713181E0" w14:textId="77777777" w:rsidR="00456ABD" w:rsidRPr="00C42DEC" w:rsidRDefault="00456ABD" w:rsidP="006A30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1. Информационная безопасность.</w:t>
      </w:r>
    </w:p>
    <w:p w14:paraId="67FAA35E" w14:textId="604CB78D" w:rsidR="00456ABD" w:rsidRPr="00C42DEC" w:rsidRDefault="00456ABD" w:rsidP="006A3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Информационная безопасность — это состояние, при котором информация и информационные системы защищены от различных угроз и рисков, таких как несанкционированный доступ, модификация, уничтожение или утечка информации. Она также включает в себя обеспечение доступности информации для тех, кто имеет на это право. Основные аспекты информационной безопасности включают конфиденциальность, целостность и доступность информации.</w:t>
      </w:r>
    </w:p>
    <w:p w14:paraId="3ED2E6DE" w14:textId="77777777" w:rsidR="00456ABD" w:rsidRPr="00C42DEC" w:rsidRDefault="00456ABD" w:rsidP="006A30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2. Кибератака.</w:t>
      </w:r>
    </w:p>
    <w:p w14:paraId="732F3ACC" w14:textId="2FB04958" w:rsidR="00456ABD" w:rsidRPr="00C42DEC" w:rsidRDefault="00456ABD" w:rsidP="006A3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Кибератака — это действие или попытка получения несанкционированного доступа к компьютерным системам, сетям или данным с целью причинения ущерба, кражи информации или нарушения нормального функционирования. Кибератаки могут иметь различные формы, включая хакерские атаки, вирусы, фишинг, денежные мошенничества и др.</w:t>
      </w:r>
    </w:p>
    <w:p w14:paraId="0B7D0556" w14:textId="77777777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3. Угроза.</w:t>
      </w:r>
    </w:p>
    <w:p w14:paraId="4D3B67E3" w14:textId="1EED4BCD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 xml:space="preserve">Угроза — это потенциальная возможность возникновения события или действия, которое может привести к ущербу, нарушению безопасности или потере данных, ресурсов или функциональности системы. Угрозы могут включать в себя технические (например, вирусы и </w:t>
      </w:r>
      <w:proofErr w:type="spellStart"/>
      <w:r w:rsidRPr="00C42DEC">
        <w:rPr>
          <w:rFonts w:ascii="Times New Roman" w:hAnsi="Times New Roman" w:cs="Times New Roman"/>
          <w:sz w:val="28"/>
          <w:szCs w:val="28"/>
        </w:rPr>
        <w:t>малициозное</w:t>
      </w:r>
      <w:proofErr w:type="spellEnd"/>
      <w:r w:rsidRPr="00C42DEC">
        <w:rPr>
          <w:rFonts w:ascii="Times New Roman" w:hAnsi="Times New Roman" w:cs="Times New Roman"/>
          <w:sz w:val="28"/>
          <w:szCs w:val="28"/>
        </w:rPr>
        <w:t xml:space="preserve"> программное </w:t>
      </w:r>
      <w:r w:rsidRPr="00C42DEC">
        <w:rPr>
          <w:rFonts w:ascii="Times New Roman" w:hAnsi="Times New Roman" w:cs="Times New Roman"/>
          <w:sz w:val="28"/>
          <w:szCs w:val="28"/>
        </w:rPr>
        <w:lastRenderedPageBreak/>
        <w:t>обеспечение) и человеческие аспекты (например, социальную инженерию и мошенничество).</w:t>
      </w:r>
    </w:p>
    <w:p w14:paraId="45BF7E28" w14:textId="77777777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4. Уязвимость.</w:t>
      </w:r>
    </w:p>
    <w:p w14:paraId="63A565B2" w14:textId="68446FCA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Уязвимость — это слабое место, недостаток или дефект в системе, программном обеспечении или политиках безопасности, которое может быть использовано злоумышленниками для атаки или нарушения безопасности. Уязвимости могут возникать из-за ошибок в разработке программного обеспечения, неправильной конфигурации системы или недостаточных мер безопасности.</w:t>
      </w:r>
    </w:p>
    <w:p w14:paraId="0F4DA22B" w14:textId="77777777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5. Защита информации.</w:t>
      </w:r>
    </w:p>
    <w:p w14:paraId="7D169C79" w14:textId="3B08B6D4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Определение.</w:t>
      </w:r>
      <w:r w:rsidRPr="00C42DEC">
        <w:rPr>
          <w:rFonts w:ascii="Times New Roman" w:hAnsi="Times New Roman" w:cs="Times New Roman"/>
          <w:sz w:val="28"/>
          <w:szCs w:val="28"/>
        </w:rPr>
        <w:t xml:space="preserve"> Защита информации представляет собой комплекс мер и технологий, разработанных с целью обеспечения безопасности информации и информационных систем от различных угроз и рисков. Эти меры могут включать в себя физические, технические и организационные средства и политики.</w:t>
      </w:r>
    </w:p>
    <w:p w14:paraId="5E5B23A9" w14:textId="27AD99D0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Физические меры.</w:t>
      </w:r>
      <w:r w:rsidRPr="00C42DEC">
        <w:rPr>
          <w:rFonts w:ascii="Times New Roman" w:hAnsi="Times New Roman" w:cs="Times New Roman"/>
          <w:sz w:val="28"/>
          <w:szCs w:val="28"/>
        </w:rPr>
        <w:t xml:space="preserve"> Включают в себя контроль доступа к физическим объектам, таким как серверные комнаты и центры обработки данных. Например, использование замков, биометрической аутентификации, видеонаблюдения и защиты от пожаров.</w:t>
      </w:r>
    </w:p>
    <w:p w14:paraId="1FB3F034" w14:textId="5D1C748F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Технические меры.</w:t>
      </w:r>
      <w:r w:rsidRPr="00C42DEC">
        <w:rPr>
          <w:rFonts w:ascii="Times New Roman" w:hAnsi="Times New Roman" w:cs="Times New Roman"/>
          <w:sz w:val="28"/>
          <w:szCs w:val="28"/>
        </w:rPr>
        <w:t xml:space="preserve"> Эти меры охватывают настройку сетей, систем и программного обеспечения для обеспечения безопасности.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Примерами могут быть использование брандмауэров, антивирусных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программ, шифрования данных и механизмов аутентификации.</w:t>
      </w:r>
    </w:p>
    <w:p w14:paraId="489E3EFC" w14:textId="3CE3FB08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 xml:space="preserve">Организационные меры. </w:t>
      </w:r>
      <w:r w:rsidRPr="00C42DEC">
        <w:rPr>
          <w:rFonts w:ascii="Times New Roman" w:hAnsi="Times New Roman" w:cs="Times New Roman"/>
          <w:sz w:val="28"/>
          <w:szCs w:val="28"/>
        </w:rPr>
        <w:t>Эти меры связаны с политиками и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процедурами, которые управляют доступом к информации и контролируют действия персонала. В частности, политики доступа, обучение сотрудников в области кибербезопасности и процедуры реагирования на инциденты.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Пример: предприятие может внедрить систему брандмауэра для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 xml:space="preserve">мониторинга и фильтрации сетевого трафика, а также установить политику доступа, </w:t>
      </w:r>
      <w:r w:rsidRPr="00C42DEC">
        <w:rPr>
          <w:rFonts w:ascii="Times New Roman" w:hAnsi="Times New Roman" w:cs="Times New Roman"/>
          <w:sz w:val="28"/>
          <w:szCs w:val="28"/>
        </w:rPr>
        <w:lastRenderedPageBreak/>
        <w:t>которая разграничивает права доступа сотрудников к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различным уровням информации.</w:t>
      </w:r>
    </w:p>
    <w:p w14:paraId="2E02EFBE" w14:textId="41B417ED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6. Конфиденциальность, целостность, доступность (CIA-треугольник).</w:t>
      </w:r>
    </w:p>
    <w:p w14:paraId="5DF480BA" w14:textId="7DED2373" w:rsidR="00456ABD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CIA-треугольник представляет собой трехмерную модель, предназначенную для оценки и обеспечения информационной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безопасности</w:t>
      </w:r>
      <w:r w:rsidR="00005098" w:rsidRPr="00C42DEC">
        <w:rPr>
          <w:rFonts w:ascii="Times New Roman" w:hAnsi="Times New Roman" w:cs="Times New Roman"/>
          <w:sz w:val="28"/>
          <w:szCs w:val="28"/>
        </w:rPr>
        <w:t>.</w:t>
      </w:r>
    </w:p>
    <w:p w14:paraId="55158A95" w14:textId="1379E5EB" w:rsidR="00005098" w:rsidRPr="00C42DEC" w:rsidRDefault="00456ABD" w:rsidP="00456AB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Конфиденциальность</w:t>
      </w:r>
      <w:r w:rsidR="00005098" w:rsidRPr="00C42DEC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C42DEC">
        <w:rPr>
          <w:rFonts w:ascii="Times New Roman" w:hAnsi="Times New Roman" w:cs="Times New Roman"/>
          <w:sz w:val="28"/>
          <w:szCs w:val="28"/>
        </w:rPr>
        <w:t>Этот аспект треугольника означает, что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информация должна быть доступна только тем лицам, которые имеют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на это право. Важно, чтобы конфиденциальная информация не попадала в руки несанкционированных лиц. Примером может служить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медицинская история пациента, которая должна оставаться конфиденциальной между врачом и пациентом.</w:t>
      </w:r>
    </w:p>
    <w:p w14:paraId="4FEBAE19" w14:textId="3EA8D7B9" w:rsidR="00456ABD" w:rsidRPr="00C42DEC" w:rsidRDefault="00456ABD" w:rsidP="0000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Целостность.</w:t>
      </w:r>
      <w:r w:rsidR="00005098" w:rsidRPr="00C42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Целостность гарантирует, что информация остается неизменной и недоступной для модификации без разрешения.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Это важно, чтобы предотвратить несанкционированные изменения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данных.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Пример: банковские транзакции должны оставаться целостными, чтобы избежать мошенничества.</w:t>
      </w:r>
    </w:p>
    <w:p w14:paraId="751EEF3A" w14:textId="6B47F739" w:rsidR="00456ABD" w:rsidRPr="00C42DEC" w:rsidRDefault="00456ABD" w:rsidP="0000509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Доступность.</w:t>
      </w:r>
      <w:r w:rsidR="00005098" w:rsidRPr="00C42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Доступность обеспечивает доступность информации для тех, кто имеет на это право, и тогда, когда это необходимо.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Это важно, чтобы информация и сервисы были доступны в нужное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время.</w:t>
      </w:r>
      <w:r w:rsidR="00005098" w:rsidRPr="00C42DEC">
        <w:rPr>
          <w:rFonts w:ascii="Times New Roman" w:hAnsi="Times New Roman" w:cs="Times New Roman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sz w:val="28"/>
          <w:szCs w:val="28"/>
        </w:rPr>
        <w:t>Пример: онлайн-сервисы, такие как банковские сайты или электронная почта, должны быть доступными для пользователей 2</w:t>
      </w:r>
      <w:r w:rsidR="00005098" w:rsidRPr="00C42DEC">
        <w:rPr>
          <w:rFonts w:ascii="Times New Roman" w:hAnsi="Times New Roman" w:cs="Times New Roman"/>
          <w:sz w:val="28"/>
          <w:szCs w:val="28"/>
        </w:rPr>
        <w:t>4/7.</w:t>
      </w:r>
      <w:r w:rsidR="00005098" w:rsidRPr="00C42DEC">
        <w:rPr>
          <w:rFonts w:ascii="Times New Roman" w:hAnsi="Times New Roman" w:cs="Times New Roman"/>
          <w:bCs/>
          <w:sz w:val="28"/>
          <w:szCs w:val="28"/>
        </w:rPr>
        <w:t>»</w:t>
      </w:r>
    </w:p>
    <w:p w14:paraId="2D303EE8" w14:textId="2E894DD4" w:rsidR="006A3027" w:rsidRPr="00C42DEC" w:rsidRDefault="00456ABD" w:rsidP="006A30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t>Выбранные</w:t>
      </w:r>
      <w:r w:rsidR="006A3027" w:rsidRPr="00C42D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b/>
          <w:bCs/>
          <w:sz w:val="28"/>
          <w:szCs w:val="28"/>
        </w:rPr>
        <w:t>термины</w:t>
      </w:r>
    </w:p>
    <w:p w14:paraId="70599FA7" w14:textId="36A12B58" w:rsidR="006A3027" w:rsidRPr="00C42DEC" w:rsidRDefault="006A3027" w:rsidP="006A302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В рамках глоссария будут проанализированы следующие термины в области информационной безопасности и защиты информации:</w:t>
      </w:r>
    </w:p>
    <w:p w14:paraId="1C058B5C" w14:textId="22551F5E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Конфиденциальность информации</w:t>
      </w:r>
    </w:p>
    <w:p w14:paraId="2F2118E0" w14:textId="32FCABBC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Контроль целостности</w:t>
      </w:r>
    </w:p>
    <w:p w14:paraId="33CD4614" w14:textId="0F39AF09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Угроза безопасности информации</w:t>
      </w:r>
    </w:p>
    <w:p w14:paraId="3D69C267" w14:textId="75EC8F12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Политика безопасности информации</w:t>
      </w:r>
    </w:p>
    <w:p w14:paraId="311D70A9" w14:textId="567587EE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Аттестация объектов информатизации</w:t>
      </w:r>
    </w:p>
    <w:p w14:paraId="7A83E59A" w14:textId="400D39F7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lastRenderedPageBreak/>
        <w:t>Технический канал утечки информации</w:t>
      </w:r>
    </w:p>
    <w:p w14:paraId="3BC61702" w14:textId="100F8FD3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Ключ электронной подписи</w:t>
      </w:r>
    </w:p>
    <w:p w14:paraId="372A9F34" w14:textId="26BF32E0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Информационная система персональных данных</w:t>
      </w:r>
    </w:p>
    <w:p w14:paraId="6BAC192A" w14:textId="6984CD27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Средство защиты информации</w:t>
      </w:r>
    </w:p>
    <w:p w14:paraId="08F21901" w14:textId="54375355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Аккредитованный удостоверяющий центр</w:t>
      </w:r>
    </w:p>
    <w:p w14:paraId="40A11F64" w14:textId="676CCE68" w:rsidR="006A302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Критическая информационная инфраструктура</w:t>
      </w:r>
    </w:p>
    <w:p w14:paraId="4113B4E6" w14:textId="003E0C5C" w:rsidR="004223E7" w:rsidRPr="00C42DEC" w:rsidRDefault="006A3027" w:rsidP="006A3027">
      <w:pPr>
        <w:pStyle w:val="a7"/>
        <w:numPr>
          <w:ilvl w:val="0"/>
          <w:numId w:val="14"/>
        </w:numPr>
        <w:spacing w:after="0"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>Социальная инженерия</w:t>
      </w:r>
      <w:r w:rsidR="00C32AB2"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E6EE8B7" w14:textId="061546CE" w:rsidR="00244BB8" w:rsidRPr="00C42DEC" w:rsidRDefault="004223E7" w:rsidP="004939D8">
      <w:pPr>
        <w:pStyle w:val="1"/>
        <w:spacing w:before="0" w:after="0" w:line="60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Toc222344615"/>
      <w:r w:rsidRPr="00C42D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Глоссарий</w:t>
      </w:r>
      <w:bookmarkEnd w:id="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"/>
        <w:gridCol w:w="2428"/>
        <w:gridCol w:w="5154"/>
        <w:gridCol w:w="1267"/>
      </w:tblGrid>
      <w:tr w:rsidR="00D132F8" w:rsidRPr="00C42DEC" w14:paraId="1E126CB8" w14:textId="77777777" w:rsidTr="004939D8">
        <w:tc>
          <w:tcPr>
            <w:tcW w:w="495" w:type="dxa"/>
          </w:tcPr>
          <w:p w14:paraId="27333601" w14:textId="5D031976" w:rsidR="00D132F8" w:rsidRPr="00C42DEC" w:rsidRDefault="00D132F8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2428" w:type="dxa"/>
          </w:tcPr>
          <w:p w14:paraId="756AE0EC" w14:textId="4696EDF2" w:rsidR="00D132F8" w:rsidRPr="00C42DEC" w:rsidRDefault="00D132F8" w:rsidP="00D132F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Термин</w:t>
            </w:r>
          </w:p>
        </w:tc>
        <w:tc>
          <w:tcPr>
            <w:tcW w:w="5154" w:type="dxa"/>
          </w:tcPr>
          <w:p w14:paraId="2043C1AF" w14:textId="0A0E7E06" w:rsidR="00D132F8" w:rsidRPr="00C42DEC" w:rsidRDefault="00D132F8" w:rsidP="00D132F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  <w:tc>
          <w:tcPr>
            <w:tcW w:w="1267" w:type="dxa"/>
          </w:tcPr>
          <w:p w14:paraId="626A2B77" w14:textId="48CC4CF7" w:rsidR="00D132F8" w:rsidRPr="00C42DEC" w:rsidRDefault="00D132F8" w:rsidP="00D132F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Источник</w:t>
            </w:r>
          </w:p>
        </w:tc>
      </w:tr>
      <w:tr w:rsidR="002427BF" w:rsidRPr="00C42DEC" w14:paraId="1CE75F51" w14:textId="77777777" w:rsidTr="004939D8">
        <w:trPr>
          <w:trHeight w:val="345"/>
        </w:trPr>
        <w:tc>
          <w:tcPr>
            <w:tcW w:w="495" w:type="dxa"/>
            <w:vMerge w:val="restart"/>
          </w:tcPr>
          <w:p w14:paraId="3CB5E481" w14:textId="5AF49BD5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28" w:type="dxa"/>
            <w:vMerge w:val="restart"/>
          </w:tcPr>
          <w:p w14:paraId="43E18551" w14:textId="72AB9D13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Конфиденциальность информации</w:t>
            </w:r>
          </w:p>
        </w:tc>
        <w:tc>
          <w:tcPr>
            <w:tcW w:w="5154" w:type="dxa"/>
          </w:tcPr>
          <w:p w14:paraId="3DC4504A" w14:textId="55E42D44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Конфиденциальность информации — это ее свойство, а именно: обязательное для выполнения лицом, получившим доступ к определенной информации, требование не передавать такую информацию третьим лицам без согласия ее обладателя.</w:t>
            </w:r>
          </w:p>
        </w:tc>
        <w:tc>
          <w:tcPr>
            <w:tcW w:w="1267" w:type="dxa"/>
          </w:tcPr>
          <w:p w14:paraId="2F48F4E2" w14:textId="35876679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456ABD" w:rsidRPr="00C42D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2427BF" w:rsidRPr="00C42DEC" w14:paraId="5480CF9F" w14:textId="77777777" w:rsidTr="004939D8">
        <w:trPr>
          <w:trHeight w:val="360"/>
        </w:trPr>
        <w:tc>
          <w:tcPr>
            <w:tcW w:w="495" w:type="dxa"/>
            <w:vMerge/>
          </w:tcPr>
          <w:p w14:paraId="0F88FD96" w14:textId="77777777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15750B95" w14:textId="77777777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464A0D6C" w14:textId="0DE99AFD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Конфиденциальность информации — это ее свойство быть известной только допущенным и прошедшим проверку (авторизованным) субъектам системы. Для остальных субъектов системы эта информация должна быть закрытой</w:t>
            </w:r>
            <w:r w:rsidR="004939D8" w:rsidRPr="00C42DE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67" w:type="dxa"/>
          </w:tcPr>
          <w:p w14:paraId="21F1CE37" w14:textId="2229D860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456ABD" w:rsidRPr="00C42D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2427BF" w:rsidRPr="00C42DEC" w14:paraId="46F3B016" w14:textId="77777777" w:rsidTr="004939D8">
        <w:trPr>
          <w:trHeight w:val="240"/>
        </w:trPr>
        <w:tc>
          <w:tcPr>
            <w:tcW w:w="495" w:type="dxa"/>
            <w:vMerge/>
          </w:tcPr>
          <w:p w14:paraId="1A3D73D8" w14:textId="77777777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4291ED8D" w14:textId="77777777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73530A05" w14:textId="45B796E9" w:rsidR="002427BF" w:rsidRPr="00C42DEC" w:rsidRDefault="00031D78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Pr="00031D78">
              <w:rPr>
                <w:rFonts w:ascii="Times New Roman" w:hAnsi="Times New Roman" w:cs="Times New Roman"/>
                <w:sz w:val="24"/>
                <w:szCs w:val="24"/>
              </w:rPr>
              <w:t>онфиденциальность информации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</w:t>
            </w:r>
            <w:r w:rsidRPr="00031D78">
              <w:rPr>
                <w:rFonts w:ascii="Times New Roman" w:hAnsi="Times New Roman" w:cs="Times New Roman"/>
                <w:sz w:val="24"/>
                <w:szCs w:val="24"/>
              </w:rPr>
              <w:t>бязательное для выполнения лицом, получившим доступ к определенной информации, требование не передавать такую информацию третьим лицам без согласия ее обладателя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267" w:type="dxa"/>
          </w:tcPr>
          <w:p w14:paraId="53B44CD0" w14:textId="5B8481F7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456ABD" w:rsidRPr="00C42D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2427BF" w:rsidRPr="00C42DEC" w14:paraId="081FF0CD" w14:textId="77777777" w:rsidTr="004939D8">
        <w:tc>
          <w:tcPr>
            <w:tcW w:w="495" w:type="dxa"/>
            <w:vMerge/>
          </w:tcPr>
          <w:p w14:paraId="4A861F72" w14:textId="77777777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73405866" w14:textId="290BF36B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4E936895" w14:textId="12D35E50" w:rsidR="002427BF" w:rsidRPr="00C42DEC" w:rsidRDefault="006C285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C28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Все представленные определения конфиденциальности информации из источников [2], [3] и [4] основаны на общем принципе ограничения доступа к информации для неуполномоченных лиц. Однако акценты в них различаются. Определение из источника [2] подчеркивает правовой аспект и обязанность лица, получившего доступ к информации, не разглашать её третьим лицам без согласия владельца, что важно в контексте договорных и организационных отношений. В определении из источника [3] основной упор делается на системный подход и разграничение доступа — информация должна быть известна только авторизованным субъектам, что отражает модель управления правами в информационных </w:t>
            </w:r>
            <w:r w:rsidRPr="006C28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 xml:space="preserve">системах. Определение из источника [4] </w:t>
            </w:r>
            <w:r w:rsidR="00031D78" w:rsidRPr="00031D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также акцентирует внимание на регламенте доступа, но делает это в более широком смысле, включая совокупность мер (правовых, организационных и технических), необходимых для обеспечения требования неразглашения</w:t>
            </w:r>
            <w:r w:rsidRPr="006C28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 Таким образом, все три определения взаимодополняют друг друга, раскрывая правовой, организационный и технический аспекты обеспечения конфиденциальности информации.</w:t>
            </w:r>
          </w:p>
        </w:tc>
      </w:tr>
      <w:tr w:rsidR="006F42FC" w:rsidRPr="00C42DEC" w14:paraId="5008D9C8" w14:textId="77777777" w:rsidTr="002F188A">
        <w:trPr>
          <w:trHeight w:val="1830"/>
        </w:trPr>
        <w:tc>
          <w:tcPr>
            <w:tcW w:w="495" w:type="dxa"/>
            <w:vMerge w:val="restart"/>
          </w:tcPr>
          <w:p w14:paraId="0F11FFC1" w14:textId="750B1DA8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2428" w:type="dxa"/>
            <w:vMerge w:val="restart"/>
          </w:tcPr>
          <w:p w14:paraId="4C65A5B0" w14:textId="16712E82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Контроль целостности</w:t>
            </w:r>
          </w:p>
        </w:tc>
        <w:tc>
          <w:tcPr>
            <w:tcW w:w="5154" w:type="dxa"/>
          </w:tcPr>
          <w:p w14:paraId="72923A22" w14:textId="6EE86ED2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41BB">
              <w:rPr>
                <w:rFonts w:ascii="Times New Roman" w:hAnsi="Times New Roman" w:cs="Times New Roman"/>
                <w:sz w:val="24"/>
                <w:szCs w:val="24"/>
              </w:rPr>
              <w:t>Контроль целостности информации — методы и средства контроля целостности, защищающие данные и сообщения от случайного или умышленного изменения (в том числе утраты, повтора, переупорядочения или замены).</w:t>
            </w:r>
          </w:p>
        </w:tc>
        <w:tc>
          <w:tcPr>
            <w:tcW w:w="1267" w:type="dxa"/>
          </w:tcPr>
          <w:p w14:paraId="6ECD2B73" w14:textId="52B5A94B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6F42FC" w:rsidRPr="00C42DEC" w14:paraId="0D089371" w14:textId="77777777" w:rsidTr="006F42FC">
        <w:trPr>
          <w:trHeight w:val="2400"/>
        </w:trPr>
        <w:tc>
          <w:tcPr>
            <w:tcW w:w="495" w:type="dxa"/>
            <w:vMerge/>
          </w:tcPr>
          <w:p w14:paraId="4A50BB0C" w14:textId="77777777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16248B89" w14:textId="77777777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1309C7E3" w14:textId="3217D6A8" w:rsidR="006F42FC" w:rsidRPr="00C42DEC" w:rsidRDefault="006F42FC" w:rsidP="002F1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Контроль целостности компьютерной системы — это механизм, необходимый для отслеживания неизменности файлов, документов, реестра, конфигурации оборудования и других сущностей, которые находятся на компьютере или сервере.</w:t>
            </w:r>
          </w:p>
        </w:tc>
        <w:tc>
          <w:tcPr>
            <w:tcW w:w="1267" w:type="dxa"/>
          </w:tcPr>
          <w:p w14:paraId="7945FD05" w14:textId="0E6C0D54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6F42FC" w:rsidRPr="00C42DEC" w14:paraId="17609762" w14:textId="77777777" w:rsidTr="004939D8">
        <w:trPr>
          <w:trHeight w:val="483"/>
        </w:trPr>
        <w:tc>
          <w:tcPr>
            <w:tcW w:w="495" w:type="dxa"/>
            <w:vMerge/>
          </w:tcPr>
          <w:p w14:paraId="7A157094" w14:textId="77777777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238CC71E" w14:textId="77777777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6ABF8C5C" w14:textId="1F97EFA2" w:rsidR="006F42FC" w:rsidRPr="00C42DEC" w:rsidRDefault="006F42FC" w:rsidP="002F188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F42FC">
              <w:rPr>
                <w:rFonts w:ascii="Times New Roman" w:hAnsi="Times New Roman" w:cs="Times New Roman"/>
                <w:sz w:val="24"/>
                <w:szCs w:val="24"/>
              </w:rPr>
              <w:t xml:space="preserve">Контроль целостности данных 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F42FC">
              <w:rPr>
                <w:rFonts w:ascii="Times New Roman" w:hAnsi="Times New Roman" w:cs="Times New Roman"/>
                <w:sz w:val="24"/>
                <w:szCs w:val="24"/>
              </w:rPr>
              <w:t>обеспечение полноты и точности информации, отсутствие ошибок или аномалий, которые могут повлиять на их качество.</w:t>
            </w:r>
          </w:p>
        </w:tc>
        <w:tc>
          <w:tcPr>
            <w:tcW w:w="1267" w:type="dxa"/>
          </w:tcPr>
          <w:p w14:paraId="517883AE" w14:textId="59FABB72" w:rsidR="006F42FC" w:rsidRPr="00C42DEC" w:rsidRDefault="006F42FC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2427BF" w:rsidRPr="00C42DEC" w14:paraId="05CEACA9" w14:textId="77777777" w:rsidTr="004939D8">
        <w:tc>
          <w:tcPr>
            <w:tcW w:w="495" w:type="dxa"/>
            <w:vMerge/>
          </w:tcPr>
          <w:p w14:paraId="085154BC" w14:textId="77777777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7E97A2FF" w14:textId="408D5060" w:rsidR="002427BF" w:rsidRPr="00C42DEC" w:rsidRDefault="002427BF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4BD0014C" w14:textId="67CCAF67" w:rsidR="002427BF" w:rsidRPr="00C42DEC" w:rsidRDefault="006F42FC" w:rsidP="006F42FC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6F42F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Представленные определения раскрывают понятие контроля целостности с различных, но взаимодополняющих позиций.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6F42F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 источнике [5] контроль целостности рассматривается в контексте информационной безопасности как совокупность методов и средств, направленных на предотвращение случайного или преднамеренного изменения данных. Здесь акцент сделан на защитной функции и обеспечении сохранности информации в процессе её хранения и передач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</w:t>
            </w:r>
            <w:r w:rsidRPr="006F42F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6F42F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В определении из источника [6] внимание сосредоточено на техническом аспекте реализации данного свойства — механизмах </w:t>
            </w:r>
            <w:r w:rsidRPr="006F42F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отслеживания неизменности файлов, реестра, конфигурации и других компонентов компьютерной системы. В данном случае контроль целостности выступает как инструмент мониторинга и выявления изменений в конкретной информационной среде.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6F42F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Источник [7] дополняет рассмотрение понятия, акцентируя внимание на обеспечении полноты, точности и корректности данных. Здесь контроль целостности трактуется шире — как поддержание качества информации и отсутствие ошибок либо аномалий, способных повлиять на её достоверность.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r w:rsidRPr="006F42F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Таким образом, первое определение раскрывает контроль целостности как общее свойство информационной безопасности, второе — как технический механизм его практической реализации, а третье — как характеристику качества и корректности данных</w:t>
            </w:r>
          </w:p>
        </w:tc>
      </w:tr>
      <w:tr w:rsidR="00E954C2" w:rsidRPr="00C42DEC" w14:paraId="18B11A41" w14:textId="77777777" w:rsidTr="00E954C2">
        <w:trPr>
          <w:trHeight w:val="1830"/>
        </w:trPr>
        <w:tc>
          <w:tcPr>
            <w:tcW w:w="495" w:type="dxa"/>
            <w:vMerge w:val="restart"/>
          </w:tcPr>
          <w:p w14:paraId="4A4425DC" w14:textId="467DA9B8" w:rsidR="00E954C2" w:rsidRPr="00C42DEC" w:rsidRDefault="00E954C2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2428" w:type="dxa"/>
            <w:vMerge w:val="restart"/>
          </w:tcPr>
          <w:p w14:paraId="64C28005" w14:textId="332C6C51" w:rsidR="00E954C2" w:rsidRPr="00C42DEC" w:rsidRDefault="00E954C2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Угроза безопасности информации</w:t>
            </w:r>
          </w:p>
        </w:tc>
        <w:tc>
          <w:tcPr>
            <w:tcW w:w="5154" w:type="dxa"/>
          </w:tcPr>
          <w:p w14:paraId="14B63B9A" w14:textId="73DF910D" w:rsidR="00E954C2" w:rsidRPr="00C42DEC" w:rsidRDefault="00E954C2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Угроза (безопасности информации) — совокупность условий и факторов, создающих потенциальную или реально существующую опасность нарушения безопасности информации.</w:t>
            </w:r>
          </w:p>
        </w:tc>
        <w:tc>
          <w:tcPr>
            <w:tcW w:w="1267" w:type="dxa"/>
          </w:tcPr>
          <w:p w14:paraId="2E19391F" w14:textId="12DF25F5" w:rsidR="00E954C2" w:rsidRPr="00C42DEC" w:rsidRDefault="00E954C2" w:rsidP="00D132F8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031D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6177ACC8" w14:textId="77777777" w:rsidTr="004939D8">
        <w:trPr>
          <w:trHeight w:val="240"/>
        </w:trPr>
        <w:tc>
          <w:tcPr>
            <w:tcW w:w="495" w:type="dxa"/>
            <w:vMerge/>
          </w:tcPr>
          <w:p w14:paraId="05CF523E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7D92C586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02B09DF2" w14:textId="50A47D8D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Угроза информационной безопасности Российской Федерации — совокупность действий и факторов, создающих опасность нанесения ущерба национальным интересам в информационной сфере.</w:t>
            </w:r>
          </w:p>
        </w:tc>
        <w:tc>
          <w:tcPr>
            <w:tcW w:w="1267" w:type="dxa"/>
          </w:tcPr>
          <w:p w14:paraId="4CA7EE8E" w14:textId="7ADFF649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26740F9F" w14:textId="77777777" w:rsidTr="004939D8">
        <w:tc>
          <w:tcPr>
            <w:tcW w:w="495" w:type="dxa"/>
            <w:vMerge/>
          </w:tcPr>
          <w:p w14:paraId="002B9596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5D48E7BC" w14:textId="336D38DF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79ED7A26" w14:textId="7AEC7F85" w:rsidR="00E954C2" w:rsidRPr="00C42DEC" w:rsidRDefault="00EB3D7D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B3D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Оба определения раскрывают понятие угрозы</w:t>
            </w: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безопасности информации</w:t>
            </w:r>
            <w:r w:rsidRPr="00EB3D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как совокупность факторов, создающих опасность причинения вреда, однако различаются по масштабу и объекту воздействия. В определении из источника [</w:t>
            </w:r>
            <w:r w:rsidR="00031D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</w:t>
            </w:r>
            <w:r w:rsidRPr="00EB3D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] угроза рассматривается в контексте безопасности информации как таковой, то есть как потенциальная или реальная возможность нарушения её конфиденциальности, целостности или доступности. </w:t>
            </w:r>
            <w:r w:rsidRPr="00EB3D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Данное определение носит общий и универсальный характер и применяется при анализе рисков в информационных системах. В источнике [8] угроза трактуется шире — как опасность нанесения ущерба национальным интересам Российской Федерации в информационной сфере, что отражает государственный и стратегический уровень понимания информационной безопасности. Таким образом, первое определение ориентировано на защиту конкретных информационных ресурсов и систем, а второе — на обеспечение национальной безопасности в информационном пространстве, дополняя друг друга на разных уровнях регулирования.</w:t>
            </w:r>
          </w:p>
        </w:tc>
      </w:tr>
      <w:tr w:rsidR="00E954C2" w:rsidRPr="00C42DEC" w14:paraId="6DE36901" w14:textId="77777777" w:rsidTr="004939D8">
        <w:trPr>
          <w:trHeight w:val="195"/>
        </w:trPr>
        <w:tc>
          <w:tcPr>
            <w:tcW w:w="495" w:type="dxa"/>
            <w:vMerge w:val="restart"/>
          </w:tcPr>
          <w:p w14:paraId="2AD786A6" w14:textId="5DE4E311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2428" w:type="dxa"/>
            <w:vMerge w:val="restart"/>
          </w:tcPr>
          <w:p w14:paraId="4D881E81" w14:textId="0291D200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Политика безопасности информации</w:t>
            </w:r>
          </w:p>
        </w:tc>
        <w:tc>
          <w:tcPr>
            <w:tcW w:w="5154" w:type="dxa"/>
          </w:tcPr>
          <w:p w14:paraId="7A07093C" w14:textId="7533DE76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Политика безопасности (информации в организации) — Совокупность документированных правил, процедур, практических приемов или руководящих принципов в области безопасности информации, которыми руководствуется организация в своей деятельности.</w:t>
            </w:r>
          </w:p>
        </w:tc>
        <w:tc>
          <w:tcPr>
            <w:tcW w:w="1267" w:type="dxa"/>
          </w:tcPr>
          <w:p w14:paraId="7AFA42D9" w14:textId="57385086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031D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132B3483" w14:textId="77777777" w:rsidTr="004939D8">
        <w:trPr>
          <w:trHeight w:val="300"/>
        </w:trPr>
        <w:tc>
          <w:tcPr>
            <w:tcW w:w="495" w:type="dxa"/>
            <w:vMerge/>
          </w:tcPr>
          <w:p w14:paraId="0A222B25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5BDDD646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68721F3B" w14:textId="23AF573C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Политика информационной безопасности (ПИБ) — это набор принципов, правил, процедур и практических методов, которые разработаны для обеспечения защиты ценной информации.</w:t>
            </w:r>
          </w:p>
        </w:tc>
        <w:tc>
          <w:tcPr>
            <w:tcW w:w="1267" w:type="dxa"/>
          </w:tcPr>
          <w:p w14:paraId="7D251889" w14:textId="5BAC0FA4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6FDAEA58" w14:textId="77777777" w:rsidTr="004939D8">
        <w:trPr>
          <w:trHeight w:val="315"/>
        </w:trPr>
        <w:tc>
          <w:tcPr>
            <w:tcW w:w="495" w:type="dxa"/>
            <w:vMerge/>
          </w:tcPr>
          <w:p w14:paraId="7736A0A8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05BE38C8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6D950BEC" w14:textId="5162580A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Политика безопасности (информации в организации) — совокупность документированных правил, процедур, практических приёмов или руководящих принципов в области информационной безопасности (ИБ), которыми руководствуется организация в своей деятельности.</w:t>
            </w:r>
          </w:p>
        </w:tc>
        <w:tc>
          <w:tcPr>
            <w:tcW w:w="1267" w:type="dxa"/>
          </w:tcPr>
          <w:p w14:paraId="09F75094" w14:textId="2238FC7C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71A707A7" w14:textId="77777777" w:rsidTr="004939D8">
        <w:tc>
          <w:tcPr>
            <w:tcW w:w="495" w:type="dxa"/>
            <w:vMerge/>
          </w:tcPr>
          <w:p w14:paraId="47815F0D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4840340A" w14:textId="29554694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7BEDECEC" w14:textId="3F5B74EB" w:rsidR="00E954C2" w:rsidRPr="00C42DEC" w:rsidRDefault="00EB3D7D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EB3D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Все три определения политики безопасности информации отражают её как совокупность установленных организацией правил и процедур, направленных на </w:t>
            </w:r>
            <w:r w:rsidRPr="00EB3D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обеспечение защиты информации, однако различаются степенью детализации и акцентами. В определении из источника [</w:t>
            </w:r>
            <w:r w:rsidR="00031D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</w:t>
            </w:r>
            <w:r w:rsidRPr="00EB3D7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] политика безопасности рассматривается как документированная система руководящих принципов и правил, что подчёркивает её нормативный и регламентирующий характер. Определение из источника [9] делает акцент на практической направленности политики, указывая на принципы и методы, обеспечивающие защиту ценной информации, тем самым выделяя её прикладную функцию. Формулировка из источника [10] развивает и уточняет нормативное определение, конкретизируя сферу применения — информационная безопасность в организации. Таким образом, все определения взаимодополняют друг друга: первое раскрывает нормативную основу политики, второе — её практическое содержание, а третье — организационный контекст применения.</w:t>
            </w:r>
          </w:p>
        </w:tc>
      </w:tr>
      <w:tr w:rsidR="00E954C2" w:rsidRPr="00C42DEC" w14:paraId="7B757FB1" w14:textId="77777777" w:rsidTr="004939D8">
        <w:trPr>
          <w:trHeight w:val="1890"/>
        </w:trPr>
        <w:tc>
          <w:tcPr>
            <w:tcW w:w="495" w:type="dxa"/>
            <w:vMerge w:val="restart"/>
          </w:tcPr>
          <w:p w14:paraId="2B27D17C" w14:textId="30E7DA3E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2428" w:type="dxa"/>
            <w:vMerge w:val="restart"/>
          </w:tcPr>
          <w:p w14:paraId="2FDD7D7E" w14:textId="61B68B43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Аттестация объектов информатизации</w:t>
            </w:r>
          </w:p>
        </w:tc>
        <w:tc>
          <w:tcPr>
            <w:tcW w:w="5154" w:type="dxa"/>
          </w:tcPr>
          <w:p w14:paraId="5F240CEF" w14:textId="2355F98E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Аттестация объектов информатизации (далее аттестация) — комплекс организационно-технических мероприятий, в результате которых посредством специального документа — аттестата соответствия подтверждается, что объект соответствует требованиям стандартов или иных нормативно-технических документов по безопасности информации, утвержденных ФСТЭК РФ. Наличие аттестата соответствия в организации дает право обработки информации с уровнем секретности (конфиденциальности) на период времени, установленный в аттестате.</w:t>
            </w:r>
          </w:p>
        </w:tc>
        <w:tc>
          <w:tcPr>
            <w:tcW w:w="1267" w:type="dxa"/>
          </w:tcPr>
          <w:p w14:paraId="05111594" w14:textId="11F767D3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1897B4BA" w14:textId="77777777" w:rsidTr="004939D8">
        <w:trPr>
          <w:trHeight w:val="180"/>
        </w:trPr>
        <w:tc>
          <w:tcPr>
            <w:tcW w:w="495" w:type="dxa"/>
            <w:vMerge/>
          </w:tcPr>
          <w:p w14:paraId="2708A15A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1122CD65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42F42EE9" w14:textId="35EFA95E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 xml:space="preserve">Аттестация — это заключительный этап работ по обеспечению информационной безопасности объекта информатизации. Целью аттестации объекта информатизации является проверка соответствия объекта требованиям стандартов и 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других нормативно-методических документов по защите информации, утвержденных (согласованных) ФСТЭК (Гостехкомиссией) России или иными органами государственного управления в пределах их компетенции. Объектами информатизации являются:</w:t>
            </w:r>
          </w:p>
          <w:p w14:paraId="3DA7088E" w14:textId="4BFFF891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– информационные ресурсы, содержащие сведения, отнесенные к государственной, служебной тайнам, конфиденциальной информации, персональным данным;</w:t>
            </w:r>
          </w:p>
          <w:p w14:paraId="78E991A9" w14:textId="3385ECF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– средства и системы информатизации, программные средства, автоматизированные системы управления, средства изготовления, тиражирования документов;</w:t>
            </w:r>
          </w:p>
          <w:p w14:paraId="7F2E4B0B" w14:textId="33E0A13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– технические средства и системы, не обрабатывающие информацию, но размещенные в помещениях, где обрабатывается (циркулирует) информация, содержащая сведения, отнесенные к государственной или служебной тайнам, к конфиденциальной информации, персональным данным, а также сами помещения, предназначенные для ведения переговоров со сведениями ограниченного пользования.</w:t>
            </w:r>
          </w:p>
        </w:tc>
        <w:tc>
          <w:tcPr>
            <w:tcW w:w="1267" w:type="dxa"/>
          </w:tcPr>
          <w:p w14:paraId="2E01DD68" w14:textId="2B68983A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[1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080DFAC6" w14:textId="77777777" w:rsidTr="004939D8">
        <w:tc>
          <w:tcPr>
            <w:tcW w:w="495" w:type="dxa"/>
            <w:vMerge/>
          </w:tcPr>
          <w:p w14:paraId="5519752C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65B09A97" w14:textId="319C5299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5E308FEA" w14:textId="58CA773A" w:rsidR="00E954C2" w:rsidRPr="00C42DEC" w:rsidRDefault="003D3F2A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Оба определения раскрывают аттестацию объектов информатизации как процедуру подтверждения соответствия установленным требованиям по защите информации, однако отличаются степенью детализации и акцентами. В источнике [11] аттестация представлена как комплекс организационно-технических мероприятий, результатом которых является получение аттестата соответствия, дающего право обработки информации определённого уровня конфиденциальности, что подчёркивает её регламентированный и разрешительный </w:t>
            </w: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характер. В определении из источника [12] акцент сделан на аттестации как завершающем этапе работ по обеспечению информационной безопасности и более подробно раскрывается круг объектов, подлежащих аттестации, а также нормативная база её проведения.</w:t>
            </w:r>
          </w:p>
        </w:tc>
      </w:tr>
      <w:tr w:rsidR="00E954C2" w:rsidRPr="00C42DEC" w14:paraId="460D7871" w14:textId="77777777" w:rsidTr="004939D8">
        <w:trPr>
          <w:trHeight w:val="1545"/>
        </w:trPr>
        <w:tc>
          <w:tcPr>
            <w:tcW w:w="495" w:type="dxa"/>
            <w:vMerge w:val="restart"/>
          </w:tcPr>
          <w:p w14:paraId="3D2685E4" w14:textId="49AC58E9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2428" w:type="dxa"/>
            <w:vMerge w:val="restart"/>
          </w:tcPr>
          <w:p w14:paraId="1B5A2D96" w14:textId="01D0169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Технический канал утечки информации</w:t>
            </w:r>
          </w:p>
        </w:tc>
        <w:tc>
          <w:tcPr>
            <w:tcW w:w="5154" w:type="dxa"/>
          </w:tcPr>
          <w:p w14:paraId="6D939B0C" w14:textId="7565D133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Технический канал утечки — конфиденциальная информация передается посредством технических средств.</w:t>
            </w:r>
          </w:p>
        </w:tc>
        <w:tc>
          <w:tcPr>
            <w:tcW w:w="1267" w:type="dxa"/>
          </w:tcPr>
          <w:p w14:paraId="52B0071B" w14:textId="59ED3548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73EFFCAC" w14:textId="77777777" w:rsidTr="004939D8">
        <w:trPr>
          <w:trHeight w:val="105"/>
        </w:trPr>
        <w:tc>
          <w:tcPr>
            <w:tcW w:w="495" w:type="dxa"/>
            <w:vMerge/>
          </w:tcPr>
          <w:p w14:paraId="736BD6B1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0B1835F8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3ADB33B3" w14:textId="2BF8815F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Утечка информации по техническому каналу — это неконтролируемое распространение информации от носителя защищаемой информации через физическую среду до технического средства, осуществляющего перехват информации. Технический канал утечки информации (ТКУИ), так же, как и канал передачи информации, состоит из источника сигнала, физической среды его распространения или передачи и приемной аппаратуры злоумышленника.</w:t>
            </w:r>
          </w:p>
        </w:tc>
        <w:tc>
          <w:tcPr>
            <w:tcW w:w="1267" w:type="dxa"/>
          </w:tcPr>
          <w:p w14:paraId="065B343F" w14:textId="3C1893C6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62B78E98" w14:textId="77777777" w:rsidTr="004939D8">
        <w:tc>
          <w:tcPr>
            <w:tcW w:w="495" w:type="dxa"/>
            <w:vMerge/>
          </w:tcPr>
          <w:p w14:paraId="245951C3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0DD25488" w14:textId="09EB5645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2C44B3EE" w14:textId="3E56E6DE" w:rsidR="00E954C2" w:rsidRPr="00C42DEC" w:rsidRDefault="003D3F2A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Оба определения раскрывают сущность технического канала утечки информации, однако различаются степенью полноты и детализации. В источнике [13] технический канал утечки трактуется кратко — как передача конфиденциальной информации посредством технических средств, что отражает общее понимание данного явления, но не раскрывает механизм его реализации. В определении из источника [14] даётся более развернутая характеристика: утечка рассматривается как неконтролируемое распространение информации через физическую среду от источника сигнала к техническому средству перехвата, при этом описывается структура канала (источник, среда распространения, приёмная аппаратура). Таким образом, первое определение носит обобщающий характер, а второе детализирует физико-</w:t>
            </w: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техническую природу процесса утечки, позволяя глубже понять механизм функционирования технического канала утечки информации.</w:t>
            </w:r>
          </w:p>
        </w:tc>
      </w:tr>
      <w:tr w:rsidR="00E954C2" w:rsidRPr="00C42DEC" w14:paraId="7CFE07CB" w14:textId="77777777" w:rsidTr="004939D8">
        <w:trPr>
          <w:trHeight w:val="315"/>
        </w:trPr>
        <w:tc>
          <w:tcPr>
            <w:tcW w:w="495" w:type="dxa"/>
            <w:vMerge w:val="restart"/>
          </w:tcPr>
          <w:p w14:paraId="1D070191" w14:textId="73DBBB0F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2428" w:type="dxa"/>
            <w:vMerge w:val="restart"/>
          </w:tcPr>
          <w:p w14:paraId="36E654F4" w14:textId="05C23AC8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Ключ электронной подписи</w:t>
            </w:r>
          </w:p>
        </w:tc>
        <w:tc>
          <w:tcPr>
            <w:tcW w:w="5154" w:type="dxa"/>
          </w:tcPr>
          <w:p w14:paraId="3D55F885" w14:textId="08DC7D6D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Ключ электронной подписи (секретный ключ) — уникальная последовательность символов, предназначенная для создания электронной подписи.</w:t>
            </w:r>
          </w:p>
        </w:tc>
        <w:tc>
          <w:tcPr>
            <w:tcW w:w="1267" w:type="dxa"/>
          </w:tcPr>
          <w:p w14:paraId="262BE507" w14:textId="499799F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36732764" w14:textId="77777777" w:rsidTr="004939D8">
        <w:trPr>
          <w:trHeight w:val="240"/>
        </w:trPr>
        <w:tc>
          <w:tcPr>
            <w:tcW w:w="495" w:type="dxa"/>
            <w:vMerge/>
          </w:tcPr>
          <w:p w14:paraId="6DB941DA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772033B7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296CE67F" w14:textId="743DA06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Ключ электронной подписи — уникальная последовательность символов, предназначенная для создания электронной подписи (секретный ключ).</w:t>
            </w:r>
          </w:p>
        </w:tc>
        <w:tc>
          <w:tcPr>
            <w:tcW w:w="1267" w:type="dxa"/>
          </w:tcPr>
          <w:p w14:paraId="51D36915" w14:textId="3B9778E8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58296F3A" w14:textId="77777777" w:rsidTr="004939D8">
        <w:trPr>
          <w:trHeight w:val="255"/>
        </w:trPr>
        <w:tc>
          <w:tcPr>
            <w:tcW w:w="495" w:type="dxa"/>
            <w:vMerge/>
          </w:tcPr>
          <w:p w14:paraId="6DE4262F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6499D6CD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7CD26EE1" w14:textId="4FC9DC35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Ключ электронной подписи — это уникальная последовательность символов, предназначенная для создания электронной подписи.</w:t>
            </w:r>
          </w:p>
        </w:tc>
        <w:tc>
          <w:tcPr>
            <w:tcW w:w="1267" w:type="dxa"/>
          </w:tcPr>
          <w:p w14:paraId="2FF4A9F9" w14:textId="2EED3C40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2E4BAABD" w14:textId="77777777" w:rsidTr="004939D8">
        <w:tc>
          <w:tcPr>
            <w:tcW w:w="495" w:type="dxa"/>
            <w:vMerge/>
          </w:tcPr>
          <w:p w14:paraId="478FEF91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387DF72D" w14:textId="30D3C742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7932D614" w14:textId="126A56BB" w:rsidR="00E954C2" w:rsidRPr="00C42DEC" w:rsidRDefault="003D3F2A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Все три определения ключа электронной подписи фактически совпадают по содержанию и трактуют его как уникальную последовательность символов, предназначенную для создания электронной подписи, что отражает устоявшееся нормативное и техническое понимание данного термина. В источниках [15] и [16] дополнительно уточняется, что речь идёт о секретном ключе, тем самым подчёркивается его закрытый характер и связь с криптографическим механизмом формирования подписи. В источнике [17] формулировка более краткая и универсальная, без акцента на секретность, однако смысл остаётся неизменным. Таким образом, различия носят исключительно стилистический характер, а все определения согласованно отражают криптографическую сущность ключа электронной подписи как уникального средства создания подписи и обеспечения подлинности электронных данных.</w:t>
            </w:r>
          </w:p>
        </w:tc>
      </w:tr>
      <w:tr w:rsidR="00E954C2" w:rsidRPr="00C42DEC" w14:paraId="1A9F439F" w14:textId="77777777" w:rsidTr="00363815">
        <w:trPr>
          <w:trHeight w:val="1619"/>
        </w:trPr>
        <w:tc>
          <w:tcPr>
            <w:tcW w:w="495" w:type="dxa"/>
            <w:vMerge w:val="restart"/>
          </w:tcPr>
          <w:p w14:paraId="5AAB60D1" w14:textId="4FA4152D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428" w:type="dxa"/>
            <w:vMerge w:val="restart"/>
          </w:tcPr>
          <w:p w14:paraId="27E1D6AC" w14:textId="361E7B01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 персональных данных</w:t>
            </w:r>
          </w:p>
        </w:tc>
        <w:tc>
          <w:tcPr>
            <w:tcW w:w="5154" w:type="dxa"/>
          </w:tcPr>
          <w:p w14:paraId="1DF55F4D" w14:textId="1729B16D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ИСПДн</w:t>
            </w:r>
            <w:proofErr w:type="spellEnd"/>
            <w:r w:rsidRPr="00C42DEC">
              <w:rPr>
                <w:rFonts w:ascii="Times New Roman" w:hAnsi="Times New Roman" w:cs="Times New Roman"/>
                <w:sz w:val="24"/>
                <w:szCs w:val="24"/>
              </w:rPr>
              <w:t xml:space="preserve"> (Информационная система персональных данных) — это система, которая создается для обработки и хранения персональных данных о человеке.</w:t>
            </w:r>
          </w:p>
        </w:tc>
        <w:tc>
          <w:tcPr>
            <w:tcW w:w="1267" w:type="dxa"/>
          </w:tcPr>
          <w:p w14:paraId="6955C624" w14:textId="06824492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63FD2E43" w14:textId="77777777" w:rsidTr="004939D8">
        <w:trPr>
          <w:trHeight w:val="210"/>
        </w:trPr>
        <w:tc>
          <w:tcPr>
            <w:tcW w:w="495" w:type="dxa"/>
            <w:vMerge/>
          </w:tcPr>
          <w:p w14:paraId="675465CD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2BD25BBD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40163B93" w14:textId="47FE7E24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Информационная система персональных данных — совокупность содержащихся в базах данных персональных данных и обеспечивающих их обработку информационных технологий и технических средств.</w:t>
            </w:r>
          </w:p>
        </w:tc>
        <w:tc>
          <w:tcPr>
            <w:tcW w:w="1267" w:type="dxa"/>
          </w:tcPr>
          <w:p w14:paraId="2FF84F0B" w14:textId="1A7D6026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5A99705C" w14:textId="77777777" w:rsidTr="004939D8">
        <w:tc>
          <w:tcPr>
            <w:tcW w:w="495" w:type="dxa"/>
            <w:vMerge/>
          </w:tcPr>
          <w:p w14:paraId="615C14F9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6AF1FDDB" w14:textId="7BAE1B59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2764A1A1" w14:textId="5DAABCBC" w:rsidR="00E954C2" w:rsidRPr="00C42DEC" w:rsidRDefault="003D3F2A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Оба определения раскрывают понятие информационной системы персональных данных, однако отличаются степенью формальности и юридической точности. В источнике [18] </w:t>
            </w:r>
            <w:proofErr w:type="spellStart"/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ИСПДн</w:t>
            </w:r>
            <w:proofErr w:type="spellEnd"/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определяется упрощённо — как система, предназначенная для обработки и хранения персональных данных, что отражает общее и прикладное понимание термина и удобно для пояснительного изложения. В источнике [19] приводится официальное нормативное определение, закреплённое в Федеральном законе № 152-ФЗ, где </w:t>
            </w:r>
            <w:proofErr w:type="spellStart"/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ИСПДн</w:t>
            </w:r>
            <w:proofErr w:type="spellEnd"/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рассматривается как совокупность персональных данных, содержащихся в базах данных, а также информационных технологий и технических средств, обеспечивающих их обработку. Данное определение является юридически значимым и более полным, поскольку учитывает не только саму систему, но и технологическую инфраструктуру обработки данных. Таким образом, первое определение носит разъяснительный характер, а второе — нормативный и обязательный к применению в правовой и организационной практике.</w:t>
            </w:r>
          </w:p>
        </w:tc>
      </w:tr>
      <w:tr w:rsidR="00E954C2" w:rsidRPr="00C42DEC" w14:paraId="62B348F5" w14:textId="77777777" w:rsidTr="00B74540">
        <w:trPr>
          <w:trHeight w:val="435"/>
        </w:trPr>
        <w:tc>
          <w:tcPr>
            <w:tcW w:w="495" w:type="dxa"/>
            <w:vMerge w:val="restart"/>
          </w:tcPr>
          <w:p w14:paraId="4A578058" w14:textId="64CD3A62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28" w:type="dxa"/>
            <w:vMerge w:val="restart"/>
          </w:tcPr>
          <w:p w14:paraId="4B784F37" w14:textId="1F05610E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Средство защиты информации</w:t>
            </w:r>
          </w:p>
        </w:tc>
        <w:tc>
          <w:tcPr>
            <w:tcW w:w="5154" w:type="dxa"/>
          </w:tcPr>
          <w:p w14:paraId="6183C9FE" w14:textId="4D38AF35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 xml:space="preserve">Средство криптографической защиты информации (СКЗИ) — это шифровальное (криптографическое) средство, предназначенное для защиты информации, не содержащей сведений, составляющих 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государственную тайну, и представляющее собой совокупность одной или нескольких составляющих.</w:t>
            </w:r>
          </w:p>
        </w:tc>
        <w:tc>
          <w:tcPr>
            <w:tcW w:w="1267" w:type="dxa"/>
          </w:tcPr>
          <w:p w14:paraId="17E90D63" w14:textId="30131362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7B8B29AD" w14:textId="77777777" w:rsidTr="004939D8">
        <w:trPr>
          <w:trHeight w:val="390"/>
        </w:trPr>
        <w:tc>
          <w:tcPr>
            <w:tcW w:w="495" w:type="dxa"/>
            <w:vMerge/>
          </w:tcPr>
          <w:p w14:paraId="6B42FF13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04405AC4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33E6C32E" w14:textId="26070B46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Средство защиты информации — техническое, программное, программно-техническое средство, вещество и (или) материал, предназначенные или используемые для защиты информации</w:t>
            </w:r>
          </w:p>
        </w:tc>
        <w:tc>
          <w:tcPr>
            <w:tcW w:w="1267" w:type="dxa"/>
          </w:tcPr>
          <w:p w14:paraId="36DA9B78" w14:textId="6BB17F3D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031D7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33B23521" w14:textId="77777777" w:rsidTr="004939D8">
        <w:tc>
          <w:tcPr>
            <w:tcW w:w="495" w:type="dxa"/>
            <w:vMerge/>
          </w:tcPr>
          <w:p w14:paraId="4B07C667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1302CF79" w14:textId="19E39640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7DA81172" w14:textId="121CB4E2" w:rsidR="00E954C2" w:rsidRPr="00C42DEC" w:rsidRDefault="003D3F2A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Оба определения раскрывают понятие средства защиты информации, однако различаются по объёму и уровню конкретизации. В источнике [</w:t>
            </w:r>
            <w:r w:rsidR="00031D7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4</w:t>
            </w: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] средство защиты информации определяется в общем виде как техническое, программное или программно-техническое средство, а также вещество или материал, предназначенные для защиты информации, что отражает нормативный и универсальный подход и охватывает широкий круг защитных средств. В определении из источника [20] рассматривается частный случай — средство криптографической защиты информации (СКЗИ), которое конкретизируется как шифровальное средство, применяемое для защиты информации и обладающее определённой структурой. Таким образом, первое определение носит общий классификационный характер, а второе — специализированный и описывает одну из наиболее значимых категорий средств защиты, реализующих криптографические методы обеспечения безопасности информации.</w:t>
            </w:r>
          </w:p>
        </w:tc>
      </w:tr>
      <w:tr w:rsidR="00E954C2" w:rsidRPr="00C42DEC" w14:paraId="5A9F2579" w14:textId="77777777" w:rsidTr="00B3086F">
        <w:trPr>
          <w:trHeight w:val="6090"/>
        </w:trPr>
        <w:tc>
          <w:tcPr>
            <w:tcW w:w="495" w:type="dxa"/>
            <w:vMerge w:val="restart"/>
          </w:tcPr>
          <w:p w14:paraId="0861A64E" w14:textId="7D6581CF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2428" w:type="dxa"/>
            <w:vMerge w:val="restart"/>
          </w:tcPr>
          <w:p w14:paraId="56AD106C" w14:textId="256378D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Аккредитованный удостоверяющий центр</w:t>
            </w:r>
          </w:p>
        </w:tc>
        <w:tc>
          <w:tcPr>
            <w:tcW w:w="5154" w:type="dxa"/>
          </w:tcPr>
          <w:p w14:paraId="5A36A471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АУЦ — только юридическое лицо (российское или иностранное), которое прошло аккредитацию в Минкомсвязи России на соответствие следующим требованиям:</w:t>
            </w:r>
          </w:p>
          <w:p w14:paraId="0897ACEF" w14:textId="2E99D955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1) стоимость чистых активов удостоверяющего центра составляет не менее чем один миллион рублей;</w:t>
            </w:r>
          </w:p>
          <w:p w14:paraId="621BE543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2) наличие финансового обеспечения ответственности за убытки, причиненные третьим лицам вследствие их доверия к информации, указанной в сертификате ключа проверки электронной подписи, выданном таким удостоверяющим центром, или информации, содержащейся в реестре сертификатов, который ведет такой удостоверяющий центр, в сумме не менее полутора миллионов рублей;</w:t>
            </w:r>
          </w:p>
          <w:p w14:paraId="5660B1D1" w14:textId="6F0453C2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3) наличие средств электронной подписи и средств удостоверяющего центра, получивших подтверждение соответствия требованиям, установленным федеральным органом исполнительной власти в области обеспечения безопасности;</w:t>
            </w:r>
          </w:p>
          <w:p w14:paraId="485BEC7B" w14:textId="542D1870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 xml:space="preserve">4) наличие в штате удостоверяющего центра не менее двух работников, непосредственно осуществляющих деятельность по созданию и выдаче сертификатов ключей проверки электронных подписей, имеющих высшее образование в области информационных технологий или информационной безопасности либо высшее образование или среднее профессиональное образование с последующим получением дополнительного 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профессионального образования по вопросам использования электронной подписи.</w:t>
            </w:r>
          </w:p>
        </w:tc>
        <w:tc>
          <w:tcPr>
            <w:tcW w:w="1267" w:type="dxa"/>
          </w:tcPr>
          <w:p w14:paraId="098BFE15" w14:textId="07FD38B0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280BCBDB" w14:textId="77777777" w:rsidTr="004939D8">
        <w:trPr>
          <w:trHeight w:val="120"/>
        </w:trPr>
        <w:tc>
          <w:tcPr>
            <w:tcW w:w="495" w:type="dxa"/>
            <w:vMerge/>
          </w:tcPr>
          <w:p w14:paraId="22EFEBFB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693CB93F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599BA783" w14:textId="03355E43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Аккредитация удостоверяющего центра — признание соответствия удостоверяющего центра требованиям Федерального закона № 63-ФЗ.</w:t>
            </w:r>
          </w:p>
        </w:tc>
        <w:tc>
          <w:tcPr>
            <w:tcW w:w="1267" w:type="dxa"/>
          </w:tcPr>
          <w:p w14:paraId="43762F92" w14:textId="4654E72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4E08131B" w14:textId="77777777" w:rsidTr="004939D8">
        <w:tc>
          <w:tcPr>
            <w:tcW w:w="495" w:type="dxa"/>
            <w:vMerge/>
          </w:tcPr>
          <w:p w14:paraId="1A37F01D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266D757D" w14:textId="2535C0F3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6B2D905C" w14:textId="3EFE135F" w:rsidR="00E954C2" w:rsidRPr="00C42DEC" w:rsidRDefault="003D3F2A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Оба определения раскрывают правовую природу аккредитованного удостоверяющего центра, однако делают акцент на разных аспектах его статуса. В источнике [21] подробно описываются требования, предъявляемые к юридическому лицу для получения аккредитации: финансовая устойчивость, наличие подтверждённых средств электронной подписи, квалифицированного персонала и обеспечения ответственности, что подчёркивает организационно-правовой и технический характер данного института. В определении из источника [22] акцент сделан на самой процедуре аккредитации как признании соответствия удостоверяющего центра требованиям Федерального закона № 63-ФЗ «Об электронной подписи», то есть на нормативном основании его деятельности. Таким образом, первое определение раскрывает содержание и условия </w:t>
            </w: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lastRenderedPageBreak/>
              <w:t>функционирования аккредитованного удостоверяющего центра, а второе — его юридический статус и связь с государственным регулированием в сфере электронной подписи.</w:t>
            </w:r>
          </w:p>
        </w:tc>
      </w:tr>
      <w:tr w:rsidR="00E954C2" w:rsidRPr="00C42DEC" w14:paraId="5A976938" w14:textId="77777777" w:rsidTr="00B92059">
        <w:trPr>
          <w:trHeight w:val="555"/>
        </w:trPr>
        <w:tc>
          <w:tcPr>
            <w:tcW w:w="495" w:type="dxa"/>
            <w:vMerge w:val="restart"/>
          </w:tcPr>
          <w:p w14:paraId="6BCB7D9E" w14:textId="25EFC4CB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2428" w:type="dxa"/>
            <w:vMerge w:val="restart"/>
          </w:tcPr>
          <w:p w14:paraId="26D1CC0D" w14:textId="09908338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Критическая информационная инфраструктура</w:t>
            </w:r>
          </w:p>
        </w:tc>
        <w:tc>
          <w:tcPr>
            <w:tcW w:w="5154" w:type="dxa"/>
          </w:tcPr>
          <w:p w14:paraId="598DCF03" w14:textId="4A3D0AD6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Критическая информационная инфраструктура — объекты критической информационной инфраструктуры, а также сети электросвязи, используемые для организации взаимодействия таких объектов.</w:t>
            </w:r>
          </w:p>
        </w:tc>
        <w:tc>
          <w:tcPr>
            <w:tcW w:w="1267" w:type="dxa"/>
          </w:tcPr>
          <w:p w14:paraId="304B7A16" w14:textId="39378C70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23, 24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690E99E1" w14:textId="77777777" w:rsidTr="004939D8">
        <w:trPr>
          <w:trHeight w:val="465"/>
        </w:trPr>
        <w:tc>
          <w:tcPr>
            <w:tcW w:w="495" w:type="dxa"/>
            <w:vMerge/>
          </w:tcPr>
          <w:p w14:paraId="05A338C2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61C52119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6293A5E1" w14:textId="50B61EC0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Критическая информационная инфраструктура Российской Федерации (далее – критическая информационная инфраструктура) — это совокупность объектов критической информационной инфраструктуры, а также сетей электросвязи, используемых для организации взаимодействия объектов критической информационной инфраструктуры между собой. При этом объекты критической информационной инфраструктуры определяются как информационные системы и информационно-телекоммуникационные сети государственных органов, а также информационные системы, информационно-телекоммуникационные сети и автоматизированные системы управления технологическими процессами, функционирующие в оборонной промышленности, в сфере здравоохранения, транспорта, связи, в кредитно-финансовой сфере, энергетике, топливной, атомной, ракетно-космической, горнодобывающей, металлургической и химической промышленности.</w:t>
            </w:r>
          </w:p>
        </w:tc>
        <w:tc>
          <w:tcPr>
            <w:tcW w:w="1267" w:type="dxa"/>
          </w:tcPr>
          <w:p w14:paraId="554F94DC" w14:textId="3C5484F3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[25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57D58961" w14:textId="77777777" w:rsidTr="004939D8">
        <w:tc>
          <w:tcPr>
            <w:tcW w:w="495" w:type="dxa"/>
            <w:vMerge/>
          </w:tcPr>
          <w:p w14:paraId="0ABCDD7D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7DAC7144" w14:textId="789F1A32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2E2EE35F" w14:textId="5697E254" w:rsidR="00E954C2" w:rsidRPr="00C42DEC" w:rsidRDefault="003D3F2A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Официальное определение критической информационной инфраструктуры закреплено в Федеральном законе № 187-ФЗ «О безопасности критической информационной инфраструктуры Российской Федерации» [23], где КИИ рассматривается как совокупность объектов критической информационной инфраструктуры и сетей электросвязи, обеспечивающих их взаимодействие. Приказ ФСТЭК России № 239 [24] не вводит нового определения, а конкретизирует требования по обеспечению безопасности значимых объектов КИИ, тем самым развивая положения федерального закона на нормативно-практическом уровне. Определение, приведённое в источнике [25], носит разъяснительный и обобщающий характер, раскрывая перечень отраслей и типов систем, относящихся к объектам КИИ, что позволяет более детально представить сферу её применения. Таким образом, источник [23] закрепляет базовое правовое понятие, [24] устанавливает механизм его реализации, а [25] расширяет и поясняет содержание термина в прикладном контексте.</w:t>
            </w:r>
          </w:p>
        </w:tc>
      </w:tr>
      <w:tr w:rsidR="00E954C2" w:rsidRPr="00C42DEC" w14:paraId="2A7F549F" w14:textId="77777777" w:rsidTr="00DE40F3">
        <w:trPr>
          <w:trHeight w:val="2685"/>
        </w:trPr>
        <w:tc>
          <w:tcPr>
            <w:tcW w:w="495" w:type="dxa"/>
            <w:vMerge w:val="restart"/>
          </w:tcPr>
          <w:p w14:paraId="6077501A" w14:textId="6990A06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28" w:type="dxa"/>
            <w:vMerge w:val="restart"/>
          </w:tcPr>
          <w:p w14:paraId="36042E39" w14:textId="20753C86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Социальная инженерия</w:t>
            </w:r>
          </w:p>
        </w:tc>
        <w:tc>
          <w:tcPr>
            <w:tcW w:w="5154" w:type="dxa"/>
          </w:tcPr>
          <w:p w14:paraId="596E0E55" w14:textId="5FFBC94C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 xml:space="preserve">Социальная инженерия 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—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 xml:space="preserve"> это способ воздействия на людей с целью получения строго конфиденциальной информации или обхода технических средств защиты для доступа к системам. Угроза социальной инженерии особенно актуальна, поскольку даже наиболее защищенные организации могут становиться уязвимыми из-за ошибки одного сотрудника. Суть социальной инженерии заключается в применении психологических манипуляций, которые эксплуатируют эмоции и доверие жертвы для реализации замыслов преступника.</w:t>
            </w:r>
          </w:p>
        </w:tc>
        <w:tc>
          <w:tcPr>
            <w:tcW w:w="1267" w:type="dxa"/>
          </w:tcPr>
          <w:p w14:paraId="6E28B39C" w14:textId="4972F952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[2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7D238035" w14:textId="77777777" w:rsidTr="004939D8">
        <w:trPr>
          <w:trHeight w:val="615"/>
        </w:trPr>
        <w:tc>
          <w:tcPr>
            <w:tcW w:w="495" w:type="dxa"/>
            <w:vMerge/>
          </w:tcPr>
          <w:p w14:paraId="09C8D1AC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  <w:vMerge/>
          </w:tcPr>
          <w:p w14:paraId="782061B6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54" w:type="dxa"/>
          </w:tcPr>
          <w:p w14:paraId="0D518618" w14:textId="29F34D79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 xml:space="preserve">Социальная инженерия – это метод манипуляции людьми с целью получения их конфиденциальной информации, доступа к 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ресурсам или других представляющих ценность объектов.</w:t>
            </w:r>
          </w:p>
        </w:tc>
        <w:tc>
          <w:tcPr>
            <w:tcW w:w="1267" w:type="dxa"/>
          </w:tcPr>
          <w:p w14:paraId="0B920DAE" w14:textId="05C3856F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[2</w:t>
            </w:r>
            <w:r w:rsidRPr="00C42DE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C42DE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</w:tr>
      <w:tr w:rsidR="00E954C2" w:rsidRPr="00C42DEC" w14:paraId="604966F6" w14:textId="77777777" w:rsidTr="004939D8">
        <w:tc>
          <w:tcPr>
            <w:tcW w:w="495" w:type="dxa"/>
            <w:vMerge/>
          </w:tcPr>
          <w:p w14:paraId="7102ACA7" w14:textId="77777777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28" w:type="dxa"/>
          </w:tcPr>
          <w:p w14:paraId="71DE0F6E" w14:textId="5C48D43A" w:rsidR="00E954C2" w:rsidRPr="00C42DEC" w:rsidRDefault="00E954C2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C42DE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Анализ:</w:t>
            </w:r>
          </w:p>
        </w:tc>
        <w:tc>
          <w:tcPr>
            <w:tcW w:w="6421" w:type="dxa"/>
            <w:gridSpan w:val="2"/>
          </w:tcPr>
          <w:p w14:paraId="5E6192CB" w14:textId="772BF44A" w:rsidR="00E954C2" w:rsidRPr="00C42DEC" w:rsidRDefault="003D3F2A" w:rsidP="00E954C2">
            <w:pPr>
              <w:spacing w:after="0" w:line="360" w:lineRule="auto"/>
              <w:jc w:val="both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D3F2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Оба определения раскрывают социальную инженерию как метод воздействия на человека с целью получения конфиденциальной информации или доступа к защищённым ресурсам, однако различаются степенью научной детализации. В источнике [26] социальная инженерия рассматривается в контексте информационной безопасности как целенаправленное применение психологических манипуляций, эксплуатирующих доверие и эмоции человека, что подчёркивает её связь с человеческим фактором и организационными уязвимостями. В определении из источника [27] акцент сделан на практической стороне — получении конфиденциальной информации и доступе к ценным ресурсам, без углубления в психологические механизмы. Таким образом, первое определение носит более научный и аналитический характер, а второе — прикладной и разъяснительный, что в совокупности позволяет комплексно представить социальную инженерию как серьёзную угрозу информационной безопасности, основанную на манипулировании человеческим поведением.</w:t>
            </w:r>
          </w:p>
        </w:tc>
      </w:tr>
    </w:tbl>
    <w:p w14:paraId="122E3EE6" w14:textId="77777777" w:rsidR="00244BB8" w:rsidRPr="00C42DEC" w:rsidRDefault="00244BB8">
      <w:pPr>
        <w:spacing w:after="160"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42DE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928330" w14:textId="3E12CF83" w:rsidR="008051F1" w:rsidRPr="00C42DEC" w:rsidRDefault="004223E7" w:rsidP="00244BB8">
      <w:pPr>
        <w:pStyle w:val="1"/>
        <w:spacing w:before="0" w:after="0" w:line="60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5" w:name="_Toc222344616"/>
      <w:r w:rsidRPr="00C42DEC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Список использованной литературы и источников</w:t>
      </w:r>
      <w:bookmarkEnd w:id="5"/>
    </w:p>
    <w:p w14:paraId="76866AA3" w14:textId="451A8671" w:rsidR="00456ABD" w:rsidRPr="00C42DEC" w:rsidRDefault="00456ABD" w:rsidP="002427B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 xml:space="preserve">Баланов, А. Н. Защита информационных систем. </w:t>
      </w:r>
      <w:proofErr w:type="gramStart"/>
      <w:r w:rsidRPr="00C42DEC">
        <w:rPr>
          <w:rFonts w:ascii="Times New Roman" w:hAnsi="Times New Roman" w:cs="Times New Roman"/>
          <w:sz w:val="28"/>
          <w:szCs w:val="28"/>
        </w:rPr>
        <w:t>Кибербезопасность :</w:t>
      </w:r>
      <w:proofErr w:type="gramEnd"/>
      <w:r w:rsidRPr="00C42DEC">
        <w:rPr>
          <w:rFonts w:ascii="Times New Roman" w:hAnsi="Times New Roman" w:cs="Times New Roman"/>
          <w:sz w:val="28"/>
          <w:szCs w:val="28"/>
        </w:rPr>
        <w:t xml:space="preserve"> учебное пособие для вузов / А. Н. Баланов. — 2-е изд., стер. — Санкт-</w:t>
      </w:r>
      <w:proofErr w:type="gramStart"/>
      <w:r w:rsidRPr="00C42DE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42DEC">
        <w:rPr>
          <w:rFonts w:ascii="Times New Roman" w:hAnsi="Times New Roman" w:cs="Times New Roman"/>
          <w:sz w:val="28"/>
          <w:szCs w:val="28"/>
        </w:rPr>
        <w:t xml:space="preserve"> Лань, 2025. — ISBN 978-5-507-50467-1. — </w:t>
      </w:r>
      <w:proofErr w:type="gramStart"/>
      <w:r w:rsidRPr="00C42DEC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C42DEC">
        <w:rPr>
          <w:rFonts w:ascii="Times New Roman" w:hAnsi="Times New Roman" w:cs="Times New Roman"/>
          <w:sz w:val="28"/>
          <w:szCs w:val="28"/>
        </w:rPr>
        <w:t xml:space="preserve"> электронный // Лань : электронно-библиотечная система. — URL: https://e.lanbook.com/book/438971 (дата обращения: </w:t>
      </w:r>
      <w:r w:rsidR="00FB7AC9"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sz w:val="28"/>
          <w:szCs w:val="28"/>
        </w:rPr>
        <w:t xml:space="preserve">.02.2026). — Режим доступа: для </w:t>
      </w:r>
      <w:proofErr w:type="spellStart"/>
      <w:r w:rsidRPr="00C42DEC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sz w:val="28"/>
          <w:szCs w:val="28"/>
        </w:rPr>
        <w:t>. пользователей. — С. 13.</w:t>
      </w:r>
    </w:p>
    <w:p w14:paraId="45EB5A2D" w14:textId="2D677F2B" w:rsidR="008051F1" w:rsidRPr="00C42DEC" w:rsidRDefault="002427BF" w:rsidP="002427B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 xml:space="preserve">Краковский, Ю. М. Методы и средства защиты </w:t>
      </w:r>
      <w:proofErr w:type="gramStart"/>
      <w:r w:rsidRPr="00C42DEC">
        <w:rPr>
          <w:rFonts w:ascii="Times New Roman" w:hAnsi="Times New Roman" w:cs="Times New Roman"/>
          <w:sz w:val="28"/>
          <w:szCs w:val="28"/>
        </w:rPr>
        <w:t>информации :</w:t>
      </w:r>
      <w:proofErr w:type="gramEnd"/>
      <w:r w:rsidRPr="00C42DEC">
        <w:rPr>
          <w:rFonts w:ascii="Times New Roman" w:hAnsi="Times New Roman" w:cs="Times New Roman"/>
          <w:sz w:val="28"/>
          <w:szCs w:val="28"/>
        </w:rPr>
        <w:t xml:space="preserve"> учебное пособие для вузов / Ю. М. Краковский. — 2-е изд., стер. — Санкт-</w:t>
      </w:r>
      <w:proofErr w:type="gramStart"/>
      <w:r w:rsidRPr="00C42DE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42DEC">
        <w:rPr>
          <w:rFonts w:ascii="Times New Roman" w:hAnsi="Times New Roman" w:cs="Times New Roman"/>
          <w:sz w:val="28"/>
          <w:szCs w:val="28"/>
        </w:rPr>
        <w:t xml:space="preserve"> Лань, 2025. — ISBN 978-5-507-52958-2. — </w:t>
      </w:r>
      <w:proofErr w:type="gramStart"/>
      <w:r w:rsidRPr="00C42DE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sz w:val="28"/>
          <w:szCs w:val="28"/>
        </w:rPr>
        <w:t xml:space="preserve"> электронный // Лань : электронно-библиотечная система. — URL: https://e.lanbook.com/book/463013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sz w:val="28"/>
          <w:szCs w:val="28"/>
        </w:rPr>
        <w:t>. пользователей. — С. 19.</w:t>
      </w:r>
    </w:p>
    <w:p w14:paraId="1D6A4AE4" w14:textId="518980ED" w:rsidR="002427BF" w:rsidRPr="00C42DEC" w:rsidRDefault="002427BF" w:rsidP="002427B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DEC">
        <w:rPr>
          <w:rFonts w:ascii="Times New Roman" w:hAnsi="Times New Roman" w:cs="Times New Roman"/>
          <w:sz w:val="28"/>
          <w:szCs w:val="28"/>
        </w:rPr>
        <w:t xml:space="preserve">Прохорова, О. В. Информационная безопасность и защита </w:t>
      </w:r>
      <w:proofErr w:type="gramStart"/>
      <w:r w:rsidRPr="00C42DEC">
        <w:rPr>
          <w:rFonts w:ascii="Times New Roman" w:hAnsi="Times New Roman" w:cs="Times New Roman"/>
          <w:sz w:val="28"/>
          <w:szCs w:val="28"/>
        </w:rPr>
        <w:t>информации :</w:t>
      </w:r>
      <w:proofErr w:type="gramEnd"/>
      <w:r w:rsidRPr="00C42DEC">
        <w:rPr>
          <w:rFonts w:ascii="Times New Roman" w:hAnsi="Times New Roman" w:cs="Times New Roman"/>
          <w:sz w:val="28"/>
          <w:szCs w:val="28"/>
        </w:rPr>
        <w:t xml:space="preserve"> учебник для вузов / О. В. Прохорова. — 6-е изд., стер. — Санкт-</w:t>
      </w:r>
      <w:proofErr w:type="gramStart"/>
      <w:r w:rsidRPr="00C42DEC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C42DEC">
        <w:rPr>
          <w:rFonts w:ascii="Times New Roman" w:hAnsi="Times New Roman" w:cs="Times New Roman"/>
          <w:sz w:val="28"/>
          <w:szCs w:val="28"/>
        </w:rPr>
        <w:t xml:space="preserve"> Лань, 2025. — ISBN 978-5-507-52899-8. — </w:t>
      </w:r>
      <w:proofErr w:type="gramStart"/>
      <w:r w:rsidRPr="00C42DEC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sz w:val="28"/>
          <w:szCs w:val="28"/>
        </w:rPr>
        <w:t xml:space="preserve"> электронный // Лань : электронно-библиотечная система. — URL: https://e.lanbook.com/book/462293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sz w:val="28"/>
          <w:szCs w:val="28"/>
        </w:rPr>
        <w:t>. пользователей. — С. 9.</w:t>
      </w:r>
    </w:p>
    <w:p w14:paraId="138CDD62" w14:textId="77777777" w:rsidR="00031D78" w:rsidRPr="00C42DEC" w:rsidRDefault="00031D78" w:rsidP="00031D78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ГОСТ Р 50922–2006. Защита информации. Основные термины и определения. —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Введ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2008-02-01.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 — URL: https://protect.gost.ru/document.aspx?control=7&amp;id=129024 (дата обращения: 09.02.2026).</w:t>
      </w:r>
    </w:p>
    <w:p w14:paraId="19BB0E57" w14:textId="4A2AC693" w:rsidR="00A341BB" w:rsidRPr="00C42DEC" w:rsidRDefault="00A341BB" w:rsidP="009A18AC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341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Контроль целостности информации 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 </w:t>
      </w:r>
      <w:r w:rsidRPr="00A341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// </w:t>
      </w:r>
      <w:r w:rsidR="00000D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ООО </w:t>
      </w:r>
      <w:r w:rsidR="00000D9C" w:rsidRPr="00000D9C">
        <w:rPr>
          <w:rFonts w:ascii="Times New Roman" w:hAnsi="Times New Roman" w:cs="Times New Roman"/>
          <w:color w:val="000000" w:themeColor="text1"/>
          <w:sz w:val="28"/>
          <w:szCs w:val="28"/>
        </w:rPr>
        <w:t>«ВБК»</w:t>
      </w:r>
      <w:r w:rsidR="006F42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F42FC"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6F42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41BB">
        <w:rPr>
          <w:rFonts w:ascii="Times New Roman" w:hAnsi="Times New Roman" w:cs="Times New Roman"/>
          <w:color w:val="000000" w:themeColor="text1"/>
          <w:sz w:val="28"/>
          <w:szCs w:val="28"/>
        </w:rPr>
        <w:t>URL: https://it-vbc.ru/solutions/informatsionnaya-bezopasnost/kontrol-tselostnosti-informatsii/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341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09</w:t>
      </w:r>
      <w:r w:rsidRPr="00A341BB">
        <w:rPr>
          <w:rFonts w:ascii="Times New Roman" w:hAnsi="Times New Roman" w:cs="Times New Roman"/>
          <w:color w:val="000000" w:themeColor="text1"/>
          <w:sz w:val="28"/>
          <w:szCs w:val="28"/>
        </w:rPr>
        <w:t>.02.2026).</w:t>
      </w:r>
    </w:p>
    <w:p w14:paraId="70C0CC1D" w14:textId="5B1CB7C9" w:rsidR="002F188A" w:rsidRPr="00C42DEC" w:rsidRDefault="002F188A" w:rsidP="009A18AC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Контроль целостности компьютерной системы [Электронный ресурс] // </w:t>
      </w:r>
      <w:r w:rsidR="006F42FC" w:rsidRPr="006F42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Anti-Malware.ru (официальный информационный ресурс по </w:t>
      </w:r>
      <w:r w:rsidR="006F42F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информационной безопасности</w:t>
      </w:r>
      <w:r w:rsidR="006F42FC" w:rsidRPr="006F42F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6F42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— URL: https://www.anti-malware.ru/security/integrity-control</w:t>
      </w:r>
      <w:r w:rsidR="00A341B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(дата обращения: </w:t>
      </w:r>
      <w:r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.02.2026).</w:t>
      </w:r>
    </w:p>
    <w:p w14:paraId="688A5347" w14:textId="75C6FA39" w:rsidR="00000D9C" w:rsidRPr="00000D9C" w:rsidRDefault="00000D9C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0D9C">
        <w:rPr>
          <w:rFonts w:ascii="Times New Roman" w:hAnsi="Times New Roman" w:cs="Times New Roman"/>
          <w:sz w:val="28"/>
          <w:szCs w:val="28"/>
        </w:rPr>
        <w:t xml:space="preserve">Контроль целостности данных в базах данных [Электронный ресурс] // ООО </w:t>
      </w:r>
      <w:r w:rsidRPr="00000D9C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000D9C">
        <w:rPr>
          <w:rFonts w:ascii="Times New Roman" w:hAnsi="Times New Roman" w:cs="Times New Roman"/>
          <w:sz w:val="28"/>
          <w:szCs w:val="28"/>
        </w:rPr>
        <w:t>АТОМ БЕЗОПАСНОСТЬ</w:t>
      </w:r>
      <w:r w:rsidRPr="00000D9C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Pr="00000D9C">
        <w:rPr>
          <w:rFonts w:ascii="Times New Roman" w:hAnsi="Times New Roman" w:cs="Times New Roman"/>
          <w:sz w:val="28"/>
          <w:szCs w:val="28"/>
        </w:rPr>
        <w:t xml:space="preserve"> </w:t>
      </w:r>
      <w:r w:rsidR="006F42FC"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6F42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00D9C">
        <w:rPr>
          <w:rFonts w:ascii="Times New Roman" w:hAnsi="Times New Roman" w:cs="Times New Roman"/>
          <w:sz w:val="28"/>
          <w:szCs w:val="28"/>
        </w:rPr>
        <w:t>URL: https://www.staffcop.ru/blog/tselostnost-dannykh-v-bazakh-dannykh-chto-eto-i-zachem-nuzhno/ (дата обращения: 09.02.2026).</w:t>
      </w:r>
    </w:p>
    <w:p w14:paraId="66AD5355" w14:textId="167129CB" w:rsidR="006F42FC" w:rsidRPr="00C42DEC" w:rsidRDefault="006F42FC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F42FC">
        <w:rPr>
          <w:rFonts w:ascii="Times New Roman" w:hAnsi="Times New Roman" w:cs="Times New Roman"/>
          <w:color w:val="000000" w:themeColor="text1"/>
          <w:sz w:val="28"/>
          <w:szCs w:val="28"/>
        </w:rPr>
        <w:t>Указ Президента Российской Федерации от 05 декабря 2016 г. № 646 «Об утверждении Доктрины информационной безопасности Российской Федерации» [Электронный ресурс] // Официальное опубликование правовых актов РФ. — URL: https://publication.pravo.gov.ru/document/view/0001201612060002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F42FC">
        <w:rPr>
          <w:rFonts w:ascii="Times New Roman" w:hAnsi="Times New Roman" w:cs="Times New Roman"/>
          <w:color w:val="000000" w:themeColor="text1"/>
          <w:sz w:val="28"/>
          <w:szCs w:val="28"/>
        </w:rPr>
        <w:t>(дата обращения: 09.02.2026).</w:t>
      </w:r>
    </w:p>
    <w:p w14:paraId="0C5D6C41" w14:textId="49FC5B88" w:rsidR="00610183" w:rsidRPr="00C42DEC" w:rsidRDefault="009060FC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Пушкин, П. Ю. Организационно-правовое обеспечение информационной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учебно-методическое пособие / П. Ю. Пушкин, Д. А. Головченко, Е. О. Карамышева.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Москва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РТУ МИРЭА, 2023. — ISBN 978-5-7339-1916-4.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https://e.lanbook.com/book/382658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28.</w:t>
      </w:r>
    </w:p>
    <w:p w14:paraId="2E9F372F" w14:textId="21CEE704" w:rsidR="009060FC" w:rsidRPr="00C42DEC" w:rsidRDefault="009060FC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Киреева, Н. В. Безопасность персональных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данных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методические указания / Н. В. Киреева, О. А. Караулова.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Самара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ПГУТИ, 2021. — 31 с.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https://e.lanbook.com/book/301106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6.</w:t>
      </w:r>
    </w:p>
    <w:p w14:paraId="50B91B26" w14:textId="77777777" w:rsidR="009060FC" w:rsidRPr="00C42DEC" w:rsidRDefault="009060FC" w:rsidP="009060FC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Лозовецкий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В. В. Методы и средства защиты информации для сертификационных испытаний систем управления беспилотных транспортных средств : учебник для вузов / В. В.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Лозовецкий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Е. Г. Комаров ; под редакцией В. В.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Лозовецкий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— 2-е изд., стер. — Санкт-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Петербург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Лань, 2025. — ISBN 978-5-507-50702-3.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система. — URL: https://e.lanbook.com/book/457268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37.</w:t>
      </w:r>
    </w:p>
    <w:p w14:paraId="6853522D" w14:textId="77777777" w:rsidR="009060FC" w:rsidRPr="00C42DEC" w:rsidRDefault="009060FC" w:rsidP="009060FC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Тумбинская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М. В. Комплексное обеспечение информационной безопасности на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предприятии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учебник для вузов / М. В.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Тумбинская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, М. В. Петровский. — 3-е изд., стер. — Санкт-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Петербург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Лань, 2025. — ISBN 978-5-507-52270-5.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https://e.lanbook.com/book/445253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68.</w:t>
      </w:r>
    </w:p>
    <w:p w14:paraId="0FC6BA8E" w14:textId="1B8FCE0E" w:rsidR="009060FC" w:rsidRPr="00C42DEC" w:rsidRDefault="0079412A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Павлова, Р. С. Конфиденциальное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делопроизводство  /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Р. С. Павлова. — Санкт-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Петербург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Лань, 2022. — ISBN 978-5-507-44694-0.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https://e.lanbook.com/book/266795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175.</w:t>
      </w:r>
    </w:p>
    <w:p w14:paraId="2489ABD0" w14:textId="5B77980E" w:rsidR="0079412A" w:rsidRPr="00C42DEC" w:rsidRDefault="0079412A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Овчинникова, Т. М. Технические средства защиты интеллектуальной собственности в цифровой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среде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/ Т. М. Овчинникова.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Воронеж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ВГУ, 2021. — 264 с.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https://e.lanbook.com/book/454763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231.</w:t>
      </w:r>
    </w:p>
    <w:p w14:paraId="2E9F75A1" w14:textId="2741D698" w:rsidR="0079412A" w:rsidRPr="00C42DEC" w:rsidRDefault="0079412A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Маршаков, Д. В. Программно-аппаратные средства защиты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/ Д. В. Маршаков, Д. В. Фатхи. —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Ростов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-на-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Дону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Донской ГТУ, 2021. — ISBN 978-5-7890-1878-1.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https://e.lanbook.com/book/237770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123.</w:t>
      </w:r>
    </w:p>
    <w:p w14:paraId="5400C8E3" w14:textId="3FDC8576" w:rsidR="0079412A" w:rsidRPr="00C42DEC" w:rsidRDefault="0079412A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Краковский, Ю. М. Методы защиты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для вузов / Ю. М. Краковский. — 3-е изд.,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перераб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— Санкт-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Петербург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Лань, 2021. — ISBN 978-5-8114-5632-1.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https://e.lanbook.com/book/156401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167.</w:t>
      </w:r>
    </w:p>
    <w:p w14:paraId="4C827506" w14:textId="24642BF1" w:rsidR="0079412A" w:rsidRPr="00C42DEC" w:rsidRDefault="0079412A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Глушков, А. И. Правовое обеспечение национальной безопасности Российской Федерации в сфере науки, технологий и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образования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/ А. И. Глушков, А. Я. Минин ; под редакцией А. Я. Минина.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Москва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МПГУ, 2022. — ISBN 978-5-4263-1107-7.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https://e.lanbook.com/book/339008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138.</w:t>
      </w:r>
    </w:p>
    <w:p w14:paraId="7D89A3F9" w14:textId="2DBFABA7" w:rsidR="00363815" w:rsidRPr="00C42DEC" w:rsidRDefault="00363815" w:rsidP="00610183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Информационные системы персональных данных: как сохранить в безопасности сведения о клиентах //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NIC.RU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официальный сайт.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 — URL: https://www.nic.ru/help/informacionnye-sistemy-personal6nyh-dannyh-kak-sohranit6-v-bezopasnosti-svedeniya-o-klientah_13763.html (дата обращения: </w:t>
      </w:r>
      <w:r w:rsidR="00FB7AC9"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.02.2026).</w:t>
      </w:r>
    </w:p>
    <w:p w14:paraId="1CF41794" w14:textId="7AF41F9C" w:rsidR="00363815" w:rsidRPr="00C42DEC" w:rsidRDefault="00363815" w:rsidP="0036381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Федеральный закон от 27.07.2006 № 152-ФЗ «О персональных данных» // КонсультантПлюс. — URL: https://www.consultant.ru/document/cons_doc_LAW_61801/ (дата обращения: </w:t>
      </w:r>
      <w:r w:rsidR="00FB7AC9"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.02.2026).</w:t>
      </w:r>
    </w:p>
    <w:p w14:paraId="4B69299C" w14:textId="77777777" w:rsidR="00363815" w:rsidRPr="00C42DEC" w:rsidRDefault="00363815" w:rsidP="00363815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Краковский, Ю. М. Методы и средства защиты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для вузов / Ю. М. Краковский. — 2-е изд., стер. — Санкт-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Петербург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Лань, 2025. — ISBN 978-5-507-52958-2.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https://e.lanbook.com/book/463013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40.</w:t>
      </w:r>
    </w:p>
    <w:p w14:paraId="3DE91FE1" w14:textId="00641576" w:rsidR="00B3086F" w:rsidRPr="00C42DEC" w:rsidRDefault="00B12FEE" w:rsidP="00B3086F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Масюк, М. А. Основные понятия и правовые основы защиты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/ М. А. Масюк, А. А. Попов, Е. В. Касьянова.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Красноярск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СибГУ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им. академика М. Ф. Решетнёва, 2020. — 82 с.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https://e.lanbook.com/book/195152 (дата обращения: 09.02.2026).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70.</w:t>
      </w:r>
    </w:p>
    <w:p w14:paraId="0AC246E1" w14:textId="53F38107" w:rsidR="00B3086F" w:rsidRPr="00C42DEC" w:rsidRDefault="00B12FEE" w:rsidP="00B12FE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Регламент удостоверяющего центра Федеральной налоговой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службы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текстовый документ / ФНС России.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ФНС России : официальный сайт. — URL: https://www.nalog.gov.ru/html/sites/www.new.nalog.ru/ucfns/regl_uc.docx (дата обращения: </w:t>
      </w:r>
      <w:r w:rsidR="00FB7AC9"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.02.2026).</w:t>
      </w:r>
    </w:p>
    <w:p w14:paraId="4E593674" w14:textId="75C9B761" w:rsidR="00FB7AC9" w:rsidRPr="00C42DEC" w:rsidRDefault="00FB7AC9" w:rsidP="00B12FEE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Федеральный закон от 26.07.2017 № 187-ФЗ «О безопасности критической информационной инфраструктуры Российской Федерации» (ред. от 07.04.2025) // КонсультантПлюс.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 — URL: https://www.consultant.ru/document/cons_doc_LAW_220885/ (дата обращения: </w:t>
      </w:r>
      <w:r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.02.2026).</w:t>
      </w:r>
    </w:p>
    <w:p w14:paraId="68688DD5" w14:textId="47093320" w:rsidR="00403AA4" w:rsidRPr="00C42DEC" w:rsidRDefault="00403AA4" w:rsidP="00403AA4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Приказ ФСТЭК России от 25.12.2017 № 239 (ред. от 28.08.2024) «Об утверждении Требований по обеспечению безопасности значимых объектов критической информационной инфраструктуры Российской Федерации» / Федеральная служба по техническому и экспортному контролю.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 // КонсультантПлюс. — URL: https://www.consultant.ru/document/cons_doc_LAW_294287/ (дата обращения: </w:t>
      </w:r>
      <w:r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.02.2026).</w:t>
      </w:r>
    </w:p>
    <w:p w14:paraId="22664EEC" w14:textId="1E75EA91" w:rsidR="00566C64" w:rsidRPr="00C42DEC" w:rsidRDefault="00566C64" w:rsidP="00566C64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Мизиковский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И. Е. Бухгалтерский учет, анализ и аудит в кредитной сфере при цифровизации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экономики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учебное пособие / И. Е.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Мизиковский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Т. Ю.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Дружиловская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Э. С.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Дружиловская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— Нижний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Новгород 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ННГУ им. Н. И. Лобачевского, 2023. — 284 с. 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 // Лань : электронно-библиотечная система. — URL: https://e.lanbook.com/book/344771 (дата обращения: </w:t>
      </w:r>
      <w:r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.02.2026). — Режим доступа: для </w:t>
      </w: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авториз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 пользователей. — С. 10.</w:t>
      </w:r>
    </w:p>
    <w:p w14:paraId="754373AE" w14:textId="1D12E339" w:rsidR="007D6235" w:rsidRPr="00C42DEC" w:rsidRDefault="007D6235" w:rsidP="00566C64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Диреев</w:t>
      </w:r>
      <w:proofErr w:type="spell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И. Д. Социальная инженерия в контексте информационной безопасности // Современные технологии защиты. — 2022. — № 4. — С. 120–125. — </w:t>
      </w:r>
      <w:proofErr w:type="gramStart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Текст :</w:t>
      </w:r>
      <w:proofErr w:type="gramEnd"/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электронный. — URL: https://cyberleninka.ru/article/n/sotsialnaya-inzheneriya-v-kontekste-informatsionnoy-bezopasnosti (дата обращения: </w:t>
      </w:r>
      <w:r w:rsidR="002F188A"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.02.2026).</w:t>
      </w:r>
    </w:p>
    <w:p w14:paraId="75EA942F" w14:textId="073C932F" w:rsidR="002F188A" w:rsidRPr="00C42DEC" w:rsidRDefault="00B919D0" w:rsidP="002F188A">
      <w:pPr>
        <w:pStyle w:val="a7"/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Kaspersky Lab. Что такое социальная инженерия? [Электронный ресурс] // </w:t>
      </w:r>
      <w:r w:rsidR="006F42FC" w:rsidRPr="006F42F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АО «Лаборатория Касперского» 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Режим доступа: https://www.kaspersky.ru/resource-center/definitions/what-is-social-engineering (дата обращения: </w:t>
      </w:r>
      <w:r w:rsidR="002F188A" w:rsidRPr="00C42DEC">
        <w:rPr>
          <w:rFonts w:ascii="Times New Roman" w:hAnsi="Times New Roman" w:cs="Times New Roman"/>
          <w:sz w:val="28"/>
          <w:szCs w:val="28"/>
        </w:rPr>
        <w:t>09</w:t>
      </w:r>
      <w:r w:rsidRPr="00C42DEC">
        <w:rPr>
          <w:rFonts w:ascii="Times New Roman" w:hAnsi="Times New Roman" w:cs="Times New Roman"/>
          <w:color w:val="000000" w:themeColor="text1"/>
          <w:sz w:val="28"/>
          <w:szCs w:val="28"/>
        </w:rPr>
        <w:t>.02.2026).</w:t>
      </w:r>
    </w:p>
    <w:sectPr w:rsidR="002F188A" w:rsidRPr="00C42DEC" w:rsidSect="00C66E2B">
      <w:footerReference w:type="default" r:id="rId27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AA5E7" w14:textId="77777777" w:rsidR="00B82508" w:rsidRDefault="00B82508" w:rsidP="003773BF">
      <w:pPr>
        <w:spacing w:after="0" w:line="240" w:lineRule="auto"/>
      </w:pPr>
      <w:r>
        <w:separator/>
      </w:r>
    </w:p>
  </w:endnote>
  <w:endnote w:type="continuationSeparator" w:id="0">
    <w:p w14:paraId="1637923B" w14:textId="77777777" w:rsidR="00B82508" w:rsidRDefault="00B82508" w:rsidP="00377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2146081828"/>
      <w:docPartObj>
        <w:docPartGallery w:val="Page Numbers (Bottom of Page)"/>
        <w:docPartUnique/>
      </w:docPartObj>
    </w:sdtPr>
    <w:sdtContent>
      <w:p w14:paraId="157D7310" w14:textId="31B65342" w:rsidR="00C66E2B" w:rsidRPr="00C66E2B" w:rsidRDefault="00C66E2B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66E2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66E2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66E2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66E2B">
          <w:rPr>
            <w:rFonts w:ascii="Times New Roman" w:hAnsi="Times New Roman" w:cs="Times New Roman"/>
            <w:sz w:val="24"/>
            <w:szCs w:val="24"/>
          </w:rPr>
          <w:t>2</w:t>
        </w:r>
        <w:r w:rsidRPr="00C66E2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B183A98" w14:textId="77777777" w:rsidR="00C66E2B" w:rsidRPr="00C66E2B" w:rsidRDefault="00C66E2B">
    <w:pPr>
      <w:pStyle w:val="af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009D6" w14:textId="77777777" w:rsidR="00B82508" w:rsidRDefault="00B82508" w:rsidP="003773BF">
      <w:pPr>
        <w:spacing w:after="0" w:line="240" w:lineRule="auto"/>
      </w:pPr>
      <w:r>
        <w:separator/>
      </w:r>
    </w:p>
  </w:footnote>
  <w:footnote w:type="continuationSeparator" w:id="0">
    <w:p w14:paraId="40D9F630" w14:textId="77777777" w:rsidR="00B82508" w:rsidRDefault="00B82508" w:rsidP="003773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C19FA"/>
    <w:multiLevelType w:val="multilevel"/>
    <w:tmpl w:val="75C2E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75A08"/>
    <w:multiLevelType w:val="multilevel"/>
    <w:tmpl w:val="3FDC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3DF5"/>
    <w:multiLevelType w:val="multilevel"/>
    <w:tmpl w:val="65560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D2764"/>
    <w:multiLevelType w:val="hybridMultilevel"/>
    <w:tmpl w:val="DC60E1C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DE95B67"/>
    <w:multiLevelType w:val="multilevel"/>
    <w:tmpl w:val="7440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014965"/>
    <w:multiLevelType w:val="hybridMultilevel"/>
    <w:tmpl w:val="442261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B24EC9"/>
    <w:multiLevelType w:val="hybridMultilevel"/>
    <w:tmpl w:val="442261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C0E3F"/>
    <w:multiLevelType w:val="hybridMultilevel"/>
    <w:tmpl w:val="E0AA8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5B3861"/>
    <w:multiLevelType w:val="hybridMultilevel"/>
    <w:tmpl w:val="34868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B208C0"/>
    <w:multiLevelType w:val="hybridMultilevel"/>
    <w:tmpl w:val="45CAD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A030FC"/>
    <w:multiLevelType w:val="multilevel"/>
    <w:tmpl w:val="F74A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AC2F29"/>
    <w:multiLevelType w:val="multilevel"/>
    <w:tmpl w:val="F394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9279E"/>
    <w:multiLevelType w:val="multilevel"/>
    <w:tmpl w:val="24A05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D62C30"/>
    <w:multiLevelType w:val="multilevel"/>
    <w:tmpl w:val="DA88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50657"/>
    <w:multiLevelType w:val="multilevel"/>
    <w:tmpl w:val="DA00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319846">
    <w:abstractNumId w:val="11"/>
  </w:num>
  <w:num w:numId="2" w16cid:durableId="1921332836">
    <w:abstractNumId w:val="4"/>
  </w:num>
  <w:num w:numId="3" w16cid:durableId="719474674">
    <w:abstractNumId w:val="14"/>
  </w:num>
  <w:num w:numId="4" w16cid:durableId="740105651">
    <w:abstractNumId w:val="12"/>
  </w:num>
  <w:num w:numId="5" w16cid:durableId="1497962380">
    <w:abstractNumId w:val="1"/>
  </w:num>
  <w:num w:numId="6" w16cid:durableId="202720238">
    <w:abstractNumId w:val="7"/>
  </w:num>
  <w:num w:numId="7" w16cid:durableId="1892811650">
    <w:abstractNumId w:val="3"/>
  </w:num>
  <w:num w:numId="8" w16cid:durableId="824661623">
    <w:abstractNumId w:val="9"/>
  </w:num>
  <w:num w:numId="9" w16cid:durableId="1463229583">
    <w:abstractNumId w:val="13"/>
  </w:num>
  <w:num w:numId="10" w16cid:durableId="2018578783">
    <w:abstractNumId w:val="10"/>
  </w:num>
  <w:num w:numId="11" w16cid:durableId="156071737">
    <w:abstractNumId w:val="0"/>
  </w:num>
  <w:num w:numId="12" w16cid:durableId="904681219">
    <w:abstractNumId w:val="2"/>
  </w:num>
  <w:num w:numId="13" w16cid:durableId="1085495880">
    <w:abstractNumId w:val="8"/>
  </w:num>
  <w:num w:numId="14" w16cid:durableId="295764032">
    <w:abstractNumId w:val="6"/>
  </w:num>
  <w:num w:numId="15" w16cid:durableId="1691099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35"/>
    <w:rsid w:val="00000D9C"/>
    <w:rsid w:val="00005098"/>
    <w:rsid w:val="00031D78"/>
    <w:rsid w:val="000908F9"/>
    <w:rsid w:val="001A4D5E"/>
    <w:rsid w:val="001B6F06"/>
    <w:rsid w:val="001C2820"/>
    <w:rsid w:val="001E67E9"/>
    <w:rsid w:val="002424C3"/>
    <w:rsid w:val="002427BF"/>
    <w:rsid w:val="00244BB8"/>
    <w:rsid w:val="00287A8A"/>
    <w:rsid w:val="002A0C42"/>
    <w:rsid w:val="002B23FB"/>
    <w:rsid w:val="002B7DF8"/>
    <w:rsid w:val="002E30A0"/>
    <w:rsid w:val="002F1708"/>
    <w:rsid w:val="002F188A"/>
    <w:rsid w:val="0033138E"/>
    <w:rsid w:val="00363815"/>
    <w:rsid w:val="003773BF"/>
    <w:rsid w:val="003A2220"/>
    <w:rsid w:val="003C02AA"/>
    <w:rsid w:val="003C55AE"/>
    <w:rsid w:val="003D232E"/>
    <w:rsid w:val="003D3F2A"/>
    <w:rsid w:val="00403AA4"/>
    <w:rsid w:val="004223E7"/>
    <w:rsid w:val="0042332B"/>
    <w:rsid w:val="00434854"/>
    <w:rsid w:val="00444C3D"/>
    <w:rsid w:val="00456ABD"/>
    <w:rsid w:val="004939D8"/>
    <w:rsid w:val="00496347"/>
    <w:rsid w:val="004E7FC8"/>
    <w:rsid w:val="004F3C6D"/>
    <w:rsid w:val="00566C64"/>
    <w:rsid w:val="0059276F"/>
    <w:rsid w:val="00602783"/>
    <w:rsid w:val="00610183"/>
    <w:rsid w:val="00637F58"/>
    <w:rsid w:val="00693DCF"/>
    <w:rsid w:val="00696447"/>
    <w:rsid w:val="006A3027"/>
    <w:rsid w:val="006C285C"/>
    <w:rsid w:val="006D62AF"/>
    <w:rsid w:val="006F42FC"/>
    <w:rsid w:val="0071044C"/>
    <w:rsid w:val="00721F12"/>
    <w:rsid w:val="007758C2"/>
    <w:rsid w:val="0079412A"/>
    <w:rsid w:val="007B1494"/>
    <w:rsid w:val="007D6235"/>
    <w:rsid w:val="008051F1"/>
    <w:rsid w:val="008533E0"/>
    <w:rsid w:val="0086083B"/>
    <w:rsid w:val="0087261B"/>
    <w:rsid w:val="009060FC"/>
    <w:rsid w:val="00930E58"/>
    <w:rsid w:val="009461D8"/>
    <w:rsid w:val="00947CA4"/>
    <w:rsid w:val="00993141"/>
    <w:rsid w:val="009A18AC"/>
    <w:rsid w:val="009B689F"/>
    <w:rsid w:val="009F3924"/>
    <w:rsid w:val="00A03135"/>
    <w:rsid w:val="00A341BB"/>
    <w:rsid w:val="00A54D1B"/>
    <w:rsid w:val="00A672F6"/>
    <w:rsid w:val="00AA6BCB"/>
    <w:rsid w:val="00B12FEE"/>
    <w:rsid w:val="00B23FF3"/>
    <w:rsid w:val="00B3086F"/>
    <w:rsid w:val="00B358EC"/>
    <w:rsid w:val="00B35FE8"/>
    <w:rsid w:val="00B47757"/>
    <w:rsid w:val="00B74540"/>
    <w:rsid w:val="00B82508"/>
    <w:rsid w:val="00B919D0"/>
    <w:rsid w:val="00B92059"/>
    <w:rsid w:val="00C2364E"/>
    <w:rsid w:val="00C32AB2"/>
    <w:rsid w:val="00C32CD4"/>
    <w:rsid w:val="00C422D4"/>
    <w:rsid w:val="00C42DEC"/>
    <w:rsid w:val="00C66E2B"/>
    <w:rsid w:val="00C83474"/>
    <w:rsid w:val="00CE3B43"/>
    <w:rsid w:val="00CE701B"/>
    <w:rsid w:val="00D132F8"/>
    <w:rsid w:val="00D37F3E"/>
    <w:rsid w:val="00D800B3"/>
    <w:rsid w:val="00D8292C"/>
    <w:rsid w:val="00D976A3"/>
    <w:rsid w:val="00DC6C76"/>
    <w:rsid w:val="00DE40F3"/>
    <w:rsid w:val="00E16617"/>
    <w:rsid w:val="00E3359E"/>
    <w:rsid w:val="00E378B1"/>
    <w:rsid w:val="00E61C7E"/>
    <w:rsid w:val="00E7446A"/>
    <w:rsid w:val="00E954C2"/>
    <w:rsid w:val="00EB3D7D"/>
    <w:rsid w:val="00EE72FE"/>
    <w:rsid w:val="00F11306"/>
    <w:rsid w:val="00F46B07"/>
    <w:rsid w:val="00FB1D3F"/>
    <w:rsid w:val="00FB7AC9"/>
    <w:rsid w:val="00FE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9F04B0"/>
  <w15:chartTrackingRefBased/>
  <w15:docId w15:val="{33F7AACF-1368-4A3D-BACB-4885065E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141"/>
    <w:pPr>
      <w:spacing w:after="200" w:line="276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31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31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31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31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31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31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31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31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31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31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31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93DC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773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773BF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773B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773BF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602783"/>
    <w:pPr>
      <w:spacing w:before="240" w:after="0" w:line="259" w:lineRule="auto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602783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602783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60278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113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94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71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95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2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7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1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39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601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8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48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081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58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5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9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05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5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2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8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36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089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627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23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3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7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7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93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7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6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5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57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01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38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44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5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83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9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61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92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54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4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83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17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453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83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16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6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4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5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7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87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352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1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4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4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1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4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82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21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57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2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2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9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72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1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2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96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17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09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18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6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4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15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36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6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8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1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7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36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91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2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9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0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498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617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9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9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8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93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78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43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2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7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02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50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1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90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9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7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0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3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46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77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78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9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8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17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5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49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5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17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459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0901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01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893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9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9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43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7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6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9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88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7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1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8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38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7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9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3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3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642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86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8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97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05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640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8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70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78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053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11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23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0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8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5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9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9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0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2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26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065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1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1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5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519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55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487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283944-5D53-4E83-BD94-B6E76FD9B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1</Pages>
  <Words>6368</Words>
  <Characters>36304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МарГУ</dc:creator>
  <cp:keywords/>
  <dc:description/>
  <cp:lastModifiedBy>User</cp:lastModifiedBy>
  <cp:revision>24</cp:revision>
  <cp:lastPrinted>2026-03-02T19:47:00Z</cp:lastPrinted>
  <dcterms:created xsi:type="dcterms:W3CDTF">2026-02-05T08:47:00Z</dcterms:created>
  <dcterms:modified xsi:type="dcterms:W3CDTF">2026-03-02T19:47:00Z</dcterms:modified>
</cp:coreProperties>
</file>