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i w:val="0"/>
          <w:sz w:val="24"/>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i w:val="0"/>
          <w:sz w:val="24"/>
        </w:rPr>
        <w:t>Образовательная организация</w:t>
      </w:r>
    </w:p>
    <w:p>
      <w:pPr>
        <w:spacing w:line="360" w:lineRule="auto" w:after="0"/>
        <w:ind w:firstLine="0"/>
        <w:jc w:val="center"/>
      </w:pPr>
      <w:r>
        <w:rPr>
          <w:rFonts w:ascii="Times New Roman" w:hAnsi="Times New Roman" w:eastAsia="Times New Roman"/>
          <w:b w:val="0"/>
          <w:i w:val="0"/>
          <w:sz w:val="24"/>
        </w:rPr>
        <w:t>Кафедра информационной безопасности</w:t>
      </w: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center"/>
      </w:pPr>
      <w:r>
        <w:rPr>
          <w:rFonts w:ascii="Times New Roman" w:hAnsi="Times New Roman" w:eastAsia="Times New Roman"/>
          <w:b/>
          <w:i w:val="0"/>
          <w:sz w:val="32"/>
        </w:rPr>
        <w:t>Лабораторная работа № 2</w:t>
      </w:r>
    </w:p>
    <w:p>
      <w:pPr>
        <w:spacing w:line="360" w:lineRule="auto" w:after="0"/>
        <w:ind w:firstLine="0"/>
        <w:jc w:val="center"/>
      </w:pPr>
      <w:r>
        <w:rPr>
          <w:rFonts w:ascii="Times New Roman" w:hAnsi="Times New Roman" w:eastAsia="Times New Roman"/>
          <w:b/>
          <w:i w:val="0"/>
          <w:sz w:val="32"/>
        </w:rPr>
        <w:t>АНАЛИЗ СОВРЕМЕННЫХ УГРОЗ ИНФОРМАЦИОННОЙ БЕЗОПАСНОСТИ</w:t>
      </w:r>
    </w:p>
    <w:p>
      <w:pPr>
        <w:spacing w:line="360" w:lineRule="auto" w:after="0"/>
        <w:ind w:firstLine="0"/>
        <w:jc w:val="center"/>
      </w:pPr>
      <w:r>
        <w:rPr>
          <w:rFonts w:ascii="Times New Roman" w:hAnsi="Times New Roman" w:eastAsia="Times New Roman"/>
          <w:b/>
          <w:i w:val="0"/>
          <w:sz w:val="28"/>
        </w:rPr>
        <w:t>Тема: ИП «Продовольственный магазин»</w:t>
      </w: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right"/>
      </w:pPr>
      <w:r>
        <w:rPr>
          <w:rFonts w:ascii="Times New Roman" w:hAnsi="Times New Roman" w:eastAsia="Times New Roman"/>
          <w:b w:val="0"/>
          <w:i w:val="0"/>
          <w:sz w:val="28"/>
        </w:rPr>
        <w:t>Выполнил: студент ____________________</w:t>
      </w:r>
    </w:p>
    <w:p>
      <w:pPr>
        <w:spacing w:line="360" w:lineRule="auto" w:after="0"/>
        <w:ind w:firstLine="0"/>
        <w:jc w:val="right"/>
      </w:pPr>
      <w:r>
        <w:rPr>
          <w:rFonts w:ascii="Times New Roman" w:hAnsi="Times New Roman" w:eastAsia="Times New Roman"/>
          <w:b w:val="0"/>
          <w:i w:val="0"/>
          <w:sz w:val="28"/>
        </w:rPr>
        <w:t>Группа: ____________________</w:t>
      </w:r>
    </w:p>
    <w:p>
      <w:pPr>
        <w:spacing w:line="360" w:lineRule="auto" w:after="0"/>
        <w:ind w:firstLine="0"/>
        <w:jc w:val="right"/>
      </w:pPr>
      <w:r>
        <w:rPr>
          <w:rFonts w:ascii="Times New Roman" w:hAnsi="Times New Roman" w:eastAsia="Times New Roman"/>
          <w:b w:val="0"/>
          <w:i w:val="0"/>
          <w:sz w:val="28"/>
        </w:rPr>
        <w:t>Проверил: ____________________</w:t>
      </w: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both"/>
      </w:pPr>
    </w:p>
    <w:p>
      <w:pPr>
        <w:spacing w:line="360" w:lineRule="auto" w:after="0"/>
        <w:ind w:firstLine="0"/>
        <w:jc w:val="center"/>
      </w:pPr>
      <w:r>
        <w:rPr>
          <w:rFonts w:ascii="Times New Roman" w:hAnsi="Times New Roman" w:eastAsia="Times New Roman"/>
          <w:b w:val="0"/>
          <w:i w:val="0"/>
          <w:sz w:val="28"/>
        </w:rPr>
        <w:t>Москва, 2026</w:t>
      </w:r>
    </w:p>
    <w:p>
      <w:r>
        <w:br w:type="page"/>
      </w:r>
    </w:p>
    <w:p>
      <w:pPr>
        <w:keepNext/>
        <w:spacing w:line="360" w:lineRule="auto" w:before="240" w:after="120"/>
        <w:ind w:firstLine="0"/>
        <w:jc w:val="center"/>
      </w:pPr>
      <w:r>
        <w:rPr>
          <w:rFonts w:ascii="Times New Roman" w:hAnsi="Times New Roman" w:eastAsia="Times New Roman"/>
          <w:b/>
          <w:sz w:val="28"/>
        </w:rPr>
        <w:t>Содержание</w:t>
      </w:r>
    </w:p>
    <w:p>
      <w:pPr>
        <w:spacing w:line="360" w:lineRule="auto" w:after="20"/>
        <w:ind w:firstLine="0"/>
        <w:jc w:val="both"/>
      </w:pPr>
      <w:r>
        <w:rPr>
          <w:rFonts w:ascii="Times New Roman" w:hAnsi="Times New Roman" w:eastAsia="Times New Roman"/>
          <w:b w:val="0"/>
          <w:i w:val="0"/>
          <w:sz w:val="28"/>
        </w:rPr>
        <w:t>Введение</w:t>
      </w:r>
    </w:p>
    <w:p>
      <w:pPr>
        <w:spacing w:line="360" w:lineRule="auto" w:after="20"/>
        <w:ind w:firstLine="0"/>
        <w:jc w:val="both"/>
      </w:pPr>
      <w:r>
        <w:rPr>
          <w:rFonts w:ascii="Times New Roman" w:hAnsi="Times New Roman" w:eastAsia="Times New Roman"/>
          <w:b w:val="0"/>
          <w:i w:val="0"/>
          <w:sz w:val="28"/>
        </w:rPr>
        <w:t>1. Описание объекта защиты информации</w:t>
      </w:r>
    </w:p>
    <w:p>
      <w:pPr>
        <w:spacing w:line="360" w:lineRule="auto" w:after="20"/>
        <w:ind w:firstLine="0"/>
        <w:jc w:val="both"/>
      </w:pPr>
      <w:r>
        <w:rPr>
          <w:rFonts w:ascii="Times New Roman" w:hAnsi="Times New Roman" w:eastAsia="Times New Roman"/>
          <w:b w:val="0"/>
          <w:i w:val="0"/>
          <w:sz w:val="28"/>
        </w:rPr>
        <w:t>1.1. Сущность объекта</w:t>
      </w:r>
    </w:p>
    <w:p>
      <w:pPr>
        <w:spacing w:line="360" w:lineRule="auto" w:after="20"/>
        <w:ind w:firstLine="0"/>
        <w:jc w:val="both"/>
      </w:pPr>
      <w:r>
        <w:rPr>
          <w:rFonts w:ascii="Times New Roman" w:hAnsi="Times New Roman" w:eastAsia="Times New Roman"/>
          <w:b w:val="0"/>
          <w:i w:val="0"/>
          <w:sz w:val="28"/>
        </w:rPr>
        <w:t>1.2. Назначение объекта</w:t>
      </w:r>
    </w:p>
    <w:p>
      <w:pPr>
        <w:spacing w:line="360" w:lineRule="auto" w:after="20"/>
        <w:ind w:firstLine="0"/>
        <w:jc w:val="both"/>
      </w:pPr>
      <w:r>
        <w:rPr>
          <w:rFonts w:ascii="Times New Roman" w:hAnsi="Times New Roman" w:eastAsia="Times New Roman"/>
          <w:b w:val="0"/>
          <w:i w:val="0"/>
          <w:sz w:val="28"/>
        </w:rPr>
        <w:t>1.3. Актуальность объекта</w:t>
      </w:r>
    </w:p>
    <w:p>
      <w:pPr>
        <w:spacing w:line="360" w:lineRule="auto" w:after="20"/>
        <w:ind w:firstLine="0"/>
        <w:jc w:val="both"/>
      </w:pPr>
      <w:r>
        <w:rPr>
          <w:rFonts w:ascii="Times New Roman" w:hAnsi="Times New Roman" w:eastAsia="Times New Roman"/>
          <w:b w:val="0"/>
          <w:i w:val="0"/>
          <w:sz w:val="28"/>
        </w:rPr>
        <w:t>2. Анализ защищенности объекта</w:t>
      </w:r>
    </w:p>
    <w:p>
      <w:pPr>
        <w:spacing w:line="360" w:lineRule="auto" w:after="20"/>
        <w:ind w:firstLine="0"/>
        <w:jc w:val="both"/>
      </w:pPr>
      <w:r>
        <w:rPr>
          <w:rFonts w:ascii="Times New Roman" w:hAnsi="Times New Roman" w:eastAsia="Times New Roman"/>
          <w:b w:val="0"/>
          <w:i w:val="0"/>
          <w:sz w:val="28"/>
        </w:rPr>
        <w:t>2.1. Актуальные виды угроз</w:t>
      </w:r>
    </w:p>
    <w:p>
      <w:pPr>
        <w:spacing w:line="360" w:lineRule="auto" w:after="20"/>
        <w:ind w:firstLine="0"/>
        <w:jc w:val="both"/>
      </w:pPr>
      <w:r>
        <w:rPr>
          <w:rFonts w:ascii="Times New Roman" w:hAnsi="Times New Roman" w:eastAsia="Times New Roman"/>
          <w:b w:val="0"/>
          <w:i w:val="0"/>
          <w:sz w:val="28"/>
        </w:rPr>
        <w:t>2.2. Характер происхождения угроз</w:t>
      </w:r>
    </w:p>
    <w:p>
      <w:pPr>
        <w:spacing w:line="360" w:lineRule="auto" w:after="20"/>
        <w:ind w:firstLine="0"/>
        <w:jc w:val="both"/>
      </w:pPr>
      <w:r>
        <w:rPr>
          <w:rFonts w:ascii="Times New Roman" w:hAnsi="Times New Roman" w:eastAsia="Times New Roman"/>
          <w:b w:val="0"/>
          <w:i w:val="0"/>
          <w:sz w:val="28"/>
        </w:rPr>
        <w:t>2.3. Источники появления угроз</w:t>
      </w:r>
    </w:p>
    <w:p>
      <w:pPr>
        <w:spacing w:line="360" w:lineRule="auto" w:after="20"/>
        <w:ind w:firstLine="0"/>
        <w:jc w:val="both"/>
      </w:pPr>
      <w:r>
        <w:rPr>
          <w:rFonts w:ascii="Times New Roman" w:hAnsi="Times New Roman" w:eastAsia="Times New Roman"/>
          <w:b w:val="0"/>
          <w:i w:val="0"/>
          <w:sz w:val="28"/>
        </w:rPr>
        <w:t>3. Виды и модель нарушителя</w:t>
      </w:r>
    </w:p>
    <w:p>
      <w:pPr>
        <w:spacing w:line="360" w:lineRule="auto" w:after="20"/>
        <w:ind w:firstLine="0"/>
        <w:jc w:val="both"/>
      </w:pPr>
      <w:r>
        <w:rPr>
          <w:rFonts w:ascii="Times New Roman" w:hAnsi="Times New Roman" w:eastAsia="Times New Roman"/>
          <w:b w:val="0"/>
          <w:i w:val="0"/>
          <w:sz w:val="28"/>
        </w:rPr>
        <w:t>3.1. Потенциально возможные злоумышленники</w:t>
      </w:r>
    </w:p>
    <w:p>
      <w:pPr>
        <w:spacing w:line="360" w:lineRule="auto" w:after="20"/>
        <w:ind w:firstLine="0"/>
        <w:jc w:val="both"/>
      </w:pPr>
      <w:r>
        <w:rPr>
          <w:rFonts w:ascii="Times New Roman" w:hAnsi="Times New Roman" w:eastAsia="Times New Roman"/>
          <w:b w:val="0"/>
          <w:i w:val="0"/>
          <w:sz w:val="28"/>
        </w:rPr>
        <w:t>3.2. Модель нарушителя по структуре Приложения 3</w:t>
      </w:r>
    </w:p>
    <w:p>
      <w:pPr>
        <w:spacing w:line="360" w:lineRule="auto" w:after="20"/>
        <w:ind w:firstLine="0"/>
        <w:jc w:val="both"/>
      </w:pPr>
      <w:r>
        <w:rPr>
          <w:rFonts w:ascii="Times New Roman" w:hAnsi="Times New Roman" w:eastAsia="Times New Roman"/>
          <w:b w:val="0"/>
          <w:i w:val="0"/>
          <w:sz w:val="28"/>
        </w:rPr>
        <w:t>4. Дополнение моделирования угроз матрицами MITRE ATT&amp;CK</w:t>
      </w:r>
    </w:p>
    <w:p>
      <w:pPr>
        <w:spacing w:line="360" w:lineRule="auto" w:after="20"/>
        <w:ind w:firstLine="0"/>
        <w:jc w:val="both"/>
      </w:pPr>
      <w:r>
        <w:rPr>
          <w:rFonts w:ascii="Times New Roman" w:hAnsi="Times New Roman" w:eastAsia="Times New Roman"/>
          <w:b w:val="0"/>
          <w:i w:val="0"/>
          <w:sz w:val="28"/>
        </w:rPr>
        <w:t>Заключение</w:t>
      </w:r>
    </w:p>
    <w:p>
      <w:pPr>
        <w:spacing w:line="360" w:lineRule="auto" w:after="20"/>
        <w:ind w:firstLine="0"/>
        <w:jc w:val="both"/>
      </w:pPr>
      <w:r>
        <w:rPr>
          <w:rFonts w:ascii="Times New Roman" w:hAnsi="Times New Roman" w:eastAsia="Times New Roman"/>
          <w:b w:val="0"/>
          <w:i w:val="0"/>
          <w:sz w:val="28"/>
        </w:rPr>
        <w:t>Список использованных источников</w:t>
      </w:r>
    </w:p>
    <w:p>
      <w:r>
        <w:br w:type="page"/>
      </w:r>
    </w:p>
    <w:p>
      <w:pPr>
        <w:keepNext/>
        <w:spacing w:line="360" w:lineRule="auto" w:before="240" w:after="120"/>
        <w:ind w:firstLine="0"/>
        <w:jc w:val="center"/>
      </w:pPr>
      <w:r>
        <w:rPr>
          <w:rFonts w:ascii="Times New Roman" w:hAnsi="Times New Roman" w:eastAsia="Times New Roman"/>
          <w:b/>
          <w:sz w:val="28"/>
        </w:rPr>
        <w:t>Введение</w:t>
      </w:r>
    </w:p>
    <w:p>
      <w:pPr>
        <w:spacing w:line="360" w:lineRule="auto" w:after="120"/>
        <w:ind w:firstLine="709"/>
        <w:jc w:val="both"/>
      </w:pPr>
      <w:r>
        <w:rPr>
          <w:rFonts w:ascii="Times New Roman" w:hAnsi="Times New Roman" w:eastAsia="Times New Roman"/>
          <w:b w:val="0"/>
          <w:i w:val="0"/>
          <w:sz w:val="28"/>
        </w:rPr>
        <w:t>Цель лабораторной работы - описать и оценить объект защищаемой информации, выделить актуальные угрозы безопасности информации, определить возможных нарушителей и показать, каким образом моделирование угроз по методике ФСТЭК России может быть дополнено анализом по матрицам MITRE ATT&amp;CK.</w:t>
      </w:r>
    </w:p>
    <w:p>
      <w:pPr>
        <w:spacing w:line="360" w:lineRule="auto" w:after="120"/>
        <w:ind w:firstLine="709"/>
        <w:jc w:val="both"/>
      </w:pPr>
      <w:r>
        <w:rPr>
          <w:rFonts w:ascii="Times New Roman" w:hAnsi="Times New Roman" w:eastAsia="Times New Roman"/>
          <w:b w:val="0"/>
          <w:i w:val="0"/>
          <w:sz w:val="28"/>
        </w:rPr>
        <w:t>В качестве объекта защиты выбрана информационная система ИП «Продовольственный магазин». Рассматривается учебная модель небольшого продовольственного магазина индивидуального предпринимателя, который использует онлайн-кассу, товароучетную систему, банковский эквайринг, личные кабинеты или форму предварительного заказа, программу лояльности и рабочие места сотрудников.</w:t>
      </w:r>
    </w:p>
    <w:p>
      <w:pPr>
        <w:spacing w:line="360" w:lineRule="auto" w:after="120"/>
        <w:ind w:firstLine="709"/>
        <w:jc w:val="both"/>
      </w:pPr>
      <w:r>
        <w:rPr>
          <w:rFonts w:ascii="Times New Roman" w:hAnsi="Times New Roman" w:eastAsia="Times New Roman"/>
          <w:b w:val="0"/>
          <w:i w:val="0"/>
          <w:sz w:val="28"/>
        </w:rPr>
        <w:t>Граница оценки включает компоненты, через которые обрабатываются персональные данные клиентов, сведения о заказах, учетные данные сотрудников, коммерческая информация о ценах и поставщиках, фискальные данные, журналы событий и резервные копии. Полные реквизиты банковских карт в системе магазина не хранятся: обработка платежей выполняется на стороне банка-эквайера.</w:t>
      </w:r>
    </w:p>
    <w:p>
      <w:pPr>
        <w:spacing w:line="360" w:lineRule="auto" w:after="120"/>
        <w:ind w:firstLine="709"/>
        <w:jc w:val="both"/>
      </w:pPr>
      <w:r>
        <w:rPr>
          <w:rFonts w:ascii="Times New Roman" w:hAnsi="Times New Roman" w:eastAsia="Times New Roman"/>
          <w:b w:val="0"/>
          <w:i w:val="0"/>
          <w:sz w:val="28"/>
        </w:rPr>
        <w:t>При выполнении работы использованы задание лабораторной работы, Методика оценки угроз безопасности информации ФСТЭК России от 5 февраля 2021 г., рекомендуемая структура модели угроз из Приложения 3, банк данных угроз безопасности информации ФСТЭК России и база знаний MITRE ATT&amp;CK Enterprise.</w:t>
      </w:r>
    </w:p>
    <w:p>
      <w:pPr>
        <w:keepNext/>
        <w:spacing w:line="360" w:lineRule="auto" w:before="240" w:after="120"/>
        <w:ind w:firstLine="0"/>
        <w:jc w:val="center"/>
      </w:pPr>
      <w:r>
        <w:rPr>
          <w:rFonts w:ascii="Times New Roman" w:hAnsi="Times New Roman" w:eastAsia="Times New Roman"/>
          <w:b/>
          <w:sz w:val="28"/>
        </w:rPr>
        <w:t>1. Описание объекта защиты информации</w:t>
      </w:r>
    </w:p>
    <w:p>
      <w:pPr>
        <w:keepNext/>
        <w:spacing w:line="360" w:lineRule="auto" w:before="120" w:after="120"/>
        <w:ind w:firstLine="0"/>
        <w:jc w:val="left"/>
      </w:pPr>
      <w:r>
        <w:rPr>
          <w:rFonts w:ascii="Times New Roman" w:hAnsi="Times New Roman" w:eastAsia="Times New Roman"/>
          <w:b/>
          <w:sz w:val="28"/>
        </w:rPr>
        <w:t>1.1. Сущность объекта</w:t>
      </w:r>
    </w:p>
    <w:p>
      <w:pPr>
        <w:spacing w:line="360" w:lineRule="auto" w:after="120"/>
        <w:ind w:firstLine="709"/>
        <w:jc w:val="both"/>
      </w:pPr>
      <w:r>
        <w:rPr>
          <w:rFonts w:ascii="Times New Roman" w:hAnsi="Times New Roman" w:eastAsia="Times New Roman"/>
          <w:b w:val="0"/>
          <w:i w:val="0"/>
          <w:sz w:val="28"/>
        </w:rPr>
        <w:t>Информационная система ип «продовольственный магазин» представляет собой совокупность программных, технических и организационных средств, обеспечивающих продажу продуктов питания, учет товара, оформление чеков, работу с поставщиками, взаимодействие с клиентами и подготовку отчетности владельца ИП.</w:t>
      </w:r>
    </w:p>
    <w:p>
      <w:pPr>
        <w:spacing w:line="360" w:lineRule="auto" w:after="120"/>
        <w:ind w:firstLine="709"/>
        <w:jc w:val="both"/>
      </w:pPr>
      <w:r>
        <w:rPr>
          <w:rFonts w:ascii="Times New Roman" w:hAnsi="Times New Roman" w:eastAsia="Times New Roman"/>
          <w:b w:val="0"/>
          <w:i w:val="0"/>
          <w:sz w:val="28"/>
        </w:rPr>
        <w:t>В состав объекта входят кассовый компьютер или POS-терминал, онлайн-касса, терминал эквайринга, рабочие места сотрудников, локальная сеть, Wi-Fi, товароучетная система, база данных клиентов программы лояльности, сайт или форма заказа, средства резервного копирования и внешние интеграции с банком, оператором фискальных данных, поставщиками и сервисами уведомлений.</w:t>
      </w:r>
    </w:p>
    <w:p>
      <w:pPr>
        <w:keepNext/>
        <w:spacing w:line="360" w:lineRule="auto" w:after="80"/>
        <w:ind w:firstLine="0"/>
        <w:jc w:val="center"/>
      </w:pPr>
      <w:r>
        <w:rPr>
          <w:rFonts w:ascii="Times New Roman" w:hAnsi="Times New Roman" w:eastAsia="Times New Roman"/>
          <w:b w:val="0"/>
          <w:i w:val="0"/>
          <w:sz w:val="24"/>
        </w:rPr>
        <w:t>Таблица 1 - Основные активы объекта защиты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tblHeader w:val="true"/>
        </w:trPr>
        <w:tc>
          <w:tcPr>
            <w:tcW w:type="dxa" w:w="238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Актив</w:t>
            </w:r>
          </w:p>
        </w:tc>
        <w:tc>
          <w:tcPr>
            <w:tcW w:type="dxa" w:w="4762"/>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Назначение</w:t>
            </w:r>
          </w:p>
        </w:tc>
        <w:tc>
          <w:tcPr>
            <w:tcW w:type="dxa" w:w="226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Критичные свойства</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Кассовый узел и онлайн-касса</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оформление продаж, передача фискальных данных оператору фискальных данных, печать чеков</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целостность, доступность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Товароучетная система</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учет остатков, цен, поставок, списаний и инвентаризации</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целостность, доступность, конфиденциальность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База клиентов и программа лояльности</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накопительные скидки, история покупок, контакты для доставки и уведомлений</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конфиденциальность, целостность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АРМ кассира, товароведа, бухгалтера и владельца ИП</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операционная работа сотрудников и управление магазином</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конфиденциальность, целостность, доступность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Сайт или форма заказа с доставкой</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прием предварительных заказов, обратная связь, публикация каталога</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доступность, целостность, конфиденциальность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Сетевая инфраструктура и Wi-Fi</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связь касс, рабочих мест, эквайринга, ОФД, банка и облачных сервисов</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доступность, конфиденциальность</w:t>
            </w:r>
          </w:p>
        </w:tc>
      </w:tr>
      <w:tr>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Резервные копии и журналы событий</w:t>
            </w:r>
          </w:p>
        </w:tc>
        <w:tc>
          <w:tcPr>
            <w:tcW w:type="dxa" w:w="476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восстановление учета и расследование инцидентов</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целостность, конфиденциальность, доступность</w:t>
            </w:r>
          </w:p>
        </w:tc>
      </w:tr>
    </w:tbl>
    <w:p>
      <w:pPr>
        <w:spacing w:line="360" w:lineRule="auto" w:after="40"/>
        <w:ind w:firstLine="0"/>
        <w:jc w:val="both"/>
      </w:pPr>
    </w:p>
    <w:p>
      <w:pPr>
        <w:keepNext/>
        <w:spacing w:line="360" w:lineRule="auto" w:before="120" w:after="120"/>
        <w:ind w:firstLine="0"/>
        <w:jc w:val="left"/>
      </w:pPr>
      <w:r>
        <w:rPr>
          <w:rFonts w:ascii="Times New Roman" w:hAnsi="Times New Roman" w:eastAsia="Times New Roman"/>
          <w:b/>
          <w:sz w:val="28"/>
        </w:rPr>
        <w:t>1.2. Назначение объекта</w:t>
      </w:r>
    </w:p>
    <w:p>
      <w:pPr>
        <w:spacing w:line="360" w:lineRule="auto" w:after="120"/>
        <w:ind w:firstLine="709"/>
        <w:jc w:val="both"/>
      </w:pPr>
      <w:r>
        <w:rPr>
          <w:rFonts w:ascii="Times New Roman" w:hAnsi="Times New Roman" w:eastAsia="Times New Roman"/>
          <w:b w:val="0"/>
          <w:i w:val="0"/>
          <w:sz w:val="28"/>
        </w:rPr>
        <w:t>Назначение объекта - обеспечить непрерывное выполнение торговых операций продовольственного магазина: продажу товаров на кассе, прием безналичных платежей, передачу фискальных данных, учет остатков, прием поставок, списание просроченной продукции, формирование отчетов и обслуживание покупателей по программе лояльности.</w:t>
      </w:r>
    </w:p>
    <w:p>
      <w:pPr>
        <w:spacing w:line="360" w:lineRule="auto" w:after="120"/>
        <w:ind w:firstLine="709"/>
        <w:jc w:val="both"/>
      </w:pPr>
      <w:r>
        <w:rPr>
          <w:rFonts w:ascii="Times New Roman" w:hAnsi="Times New Roman" w:eastAsia="Times New Roman"/>
          <w:b w:val="0"/>
          <w:i w:val="0"/>
          <w:sz w:val="28"/>
        </w:rPr>
        <w:t>Система также поддерживает управленческие процессы ИП: контроль выручки, закупочные решения, сверку расчетов с поставщиками, анализ спроса, обработку обращений покупателей и восстановление учета после сбоев.</w:t>
      </w:r>
    </w:p>
    <w:p>
      <w:pPr>
        <w:keepNext/>
        <w:spacing w:line="360" w:lineRule="auto" w:before="120" w:after="120"/>
        <w:ind w:firstLine="0"/>
        <w:jc w:val="left"/>
      </w:pPr>
      <w:r>
        <w:rPr>
          <w:rFonts w:ascii="Times New Roman" w:hAnsi="Times New Roman" w:eastAsia="Times New Roman"/>
          <w:b/>
          <w:sz w:val="28"/>
        </w:rPr>
        <w:t>1.3. Актуальность объекта</w:t>
      </w:r>
    </w:p>
    <w:p>
      <w:pPr>
        <w:spacing w:line="360" w:lineRule="auto" w:after="120"/>
        <w:ind w:firstLine="709"/>
        <w:jc w:val="both"/>
      </w:pPr>
      <w:r>
        <w:rPr>
          <w:rFonts w:ascii="Times New Roman" w:hAnsi="Times New Roman" w:eastAsia="Times New Roman"/>
          <w:b w:val="0"/>
          <w:i w:val="0"/>
          <w:sz w:val="28"/>
        </w:rPr>
        <w:t>Актуальность защиты определяется тем, что даже небольшой продовольственный магазин зависит от доступности кассового узла, корректности товарных остатков и сохранности клиентских данных. Нарушение работы кассы или товароучетной системы приводит к остановке продаж, ошибкам в отчетности, невозможности корректно списывать товар и выполнять требования законодательства о применении контрольно-кассовой техники.</w:t>
      </w:r>
    </w:p>
    <w:p>
      <w:pPr>
        <w:spacing w:line="360" w:lineRule="auto" w:after="120"/>
        <w:ind w:firstLine="709"/>
        <w:jc w:val="both"/>
      </w:pPr>
      <w:r>
        <w:rPr>
          <w:rFonts w:ascii="Times New Roman" w:hAnsi="Times New Roman" w:eastAsia="Times New Roman"/>
          <w:b w:val="0"/>
          <w:i w:val="0"/>
          <w:sz w:val="28"/>
        </w:rPr>
        <w:t>С точки зрения конфиденциальности наиболее значимы персональные данные клиентов, сведения о покупках, контактные данные для доставки, учетные записи сотрудников, договоры и цены поставщиков. С точки зрения целостности критичны цены, остатки, чеки, фискальные операции, скидки и права доступа. С точки зрения доступности критичны касса, эквайринг, локальная сеть, Интернет-канал и резервное восстановление.</w:t>
      </w:r>
    </w:p>
    <w:p>
      <w:pPr>
        <w:keepNext/>
        <w:spacing w:line="360" w:lineRule="auto" w:before="240" w:after="120"/>
        <w:ind w:firstLine="0"/>
        <w:jc w:val="center"/>
      </w:pPr>
      <w:r>
        <w:rPr>
          <w:rFonts w:ascii="Times New Roman" w:hAnsi="Times New Roman" w:eastAsia="Times New Roman"/>
          <w:b/>
          <w:sz w:val="28"/>
        </w:rPr>
        <w:t>2. Анализ защищенности объекта</w:t>
      </w:r>
    </w:p>
    <w:p>
      <w:pPr>
        <w:keepNext/>
        <w:spacing w:line="360" w:lineRule="auto" w:before="120" w:after="120"/>
        <w:ind w:firstLine="0"/>
        <w:jc w:val="left"/>
      </w:pPr>
      <w:r>
        <w:rPr>
          <w:rFonts w:ascii="Times New Roman" w:hAnsi="Times New Roman" w:eastAsia="Times New Roman"/>
          <w:b/>
          <w:sz w:val="28"/>
        </w:rPr>
        <w:t>2.1. Актуальные виды угроз</w:t>
      </w:r>
    </w:p>
    <w:p>
      <w:pPr>
        <w:spacing w:line="360" w:lineRule="auto" w:after="120"/>
        <w:ind w:firstLine="709"/>
        <w:jc w:val="both"/>
      </w:pPr>
      <w:r>
        <w:rPr>
          <w:rFonts w:ascii="Times New Roman" w:hAnsi="Times New Roman" w:eastAsia="Times New Roman"/>
          <w:b w:val="0"/>
          <w:i w:val="0"/>
          <w:sz w:val="28"/>
        </w:rPr>
        <w:t>Для объекта выделены угрозы, применимые к кассовому узлу, товароучетной системе, рабочим местам сотрудников, сайту заказа, локальной сети, каналам связи и данным клиентов. Перечень сформирован по банку данных угроз безопасности информации ФСТЭК России; для лабораторной работы отобрано 23 угрозы, что превышает минимальное требование задания - не менее 20 угроз.</w:t>
      </w:r>
    </w:p>
    <w:p>
      <w:r>
        <w:br w:type="page"/>
      </w:r>
    </w:p>
    <w:p>
      <w:pPr>
        <w:keepNext/>
        <w:spacing w:line="360" w:lineRule="auto" w:after="80"/>
        <w:ind w:firstLine="0"/>
        <w:jc w:val="center"/>
      </w:pPr>
      <w:r>
        <w:rPr>
          <w:rFonts w:ascii="Times New Roman" w:hAnsi="Times New Roman" w:eastAsia="Times New Roman"/>
          <w:b w:val="0"/>
          <w:i w:val="0"/>
          <w:sz w:val="24"/>
        </w:rPr>
        <w:t>Таблица 2 - Актуальные угрозы безопасности информации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rPr>
          <w:tblHeader w:val="true"/>
        </w:trPr>
        <w:tc>
          <w:tcPr>
            <w:tcW w:type="dxa" w:w="45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w:t>
            </w:r>
          </w:p>
        </w:tc>
        <w:tc>
          <w:tcPr>
            <w:tcW w:type="dxa" w:w="79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Код</w:t>
            </w:r>
          </w:p>
        </w:tc>
        <w:tc>
          <w:tcPr>
            <w:tcW w:type="dxa" w:w="232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Наименование угрозы</w:t>
            </w:r>
          </w:p>
        </w:tc>
        <w:tc>
          <w:tcPr>
            <w:tcW w:type="dxa" w:w="170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Характер происхождения</w:t>
            </w:r>
          </w:p>
        </w:tc>
        <w:tc>
          <w:tcPr>
            <w:tcW w:type="dxa" w:w="170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Источник</w:t>
            </w:r>
          </w:p>
        </w:tc>
        <w:tc>
          <w:tcPr>
            <w:tcW w:type="dxa" w:w="243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Объект воздействия / последствие</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УБИ.006</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внедрения кода или данных</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разработчик, пользователь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сайт заказа, API, товароучетная база; нарушение целостности и конфиденциальности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2</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УБИ.007</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воздействия на программы с высокими привилегиями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администратор</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сервер приложения, кассовое ПО, ОС; повышение привилегий</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3</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УБИ.008</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восстановления и (или) повторного использования аутентификационной информации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бывший сотрудник</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учетные записи кассиров, товароведа, администратора; НСД</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4</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УБИ.012</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деструктивного изменения конфигурации или среды окружения программ</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администратор, подрядчик, вредоносное ПО</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настройки кассового узла, роутера, сервера учета; отказ или обход защиты</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5</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УБИ.014</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длительного удержания вычислительных ресурсов пользователями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бот-сеть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сайт заказа, сервер учета; снижение доступности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6</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УБИ.015</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доступа к защищаемым файлам с использованием обходного пути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файлы конфигурации, выгрузки, резервные копии; раскрытие секретов</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7</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УБИ.016</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доступа к локальным файлам сервера при помощи URL</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локальные файлы web-сервера; раскрытие ключей, логов, дампов</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8</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УБИ.017</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доступа, перехвата или изменения HTTP cookies</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вредоносное ПО</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сессии личного кабинета и админ-панели; захват учетной записи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9</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УБИ.019</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заражения DNS-кеша</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АРМ сотрудников и клиентов; перенаправление на фишинговый ресурс</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10</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УБИ.022</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избыточного выделения оперативной памяти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сервер приложения или товароучетной системы; отказ в обслуживании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11</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УБИ.023</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изменения компонентов информационной (автоматизированной) системы</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администратор, подрядчик, вредоносное ПО</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кассовое ПО, сервер учета, модули интеграций; внедрение закладок</w:t>
            </w:r>
          </w:p>
        </w:tc>
      </w:tr>
    </w:tbl>
    <w:p>
      <w:pPr>
        <w:spacing w:line="360" w:lineRule="auto" w:after="40"/>
        <w:ind w:firstLine="0"/>
        <w:jc w:val="both"/>
      </w:pPr>
    </w:p>
    <w:p>
      <w:pPr>
        <w:keepNext/>
        <w:spacing w:line="360" w:lineRule="auto" w:after="80"/>
        <w:ind w:firstLine="0"/>
        <w:jc w:val="center"/>
      </w:pPr>
      <w:r>
        <w:rPr>
          <w:rFonts w:ascii="Times New Roman" w:hAnsi="Times New Roman" w:eastAsia="Times New Roman"/>
          <w:b w:val="0"/>
          <w:i w:val="0"/>
          <w:sz w:val="24"/>
        </w:rPr>
        <w:t>Таблица 2 - Актуальные угрозы безопасности информации (продолжение)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rPr>
          <w:tblHeader w:val="true"/>
        </w:trPr>
        <w:tc>
          <w:tcPr>
            <w:tcW w:type="dxa" w:w="45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w:t>
            </w:r>
          </w:p>
        </w:tc>
        <w:tc>
          <w:tcPr>
            <w:tcW w:type="dxa" w:w="79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Код</w:t>
            </w:r>
          </w:p>
        </w:tc>
        <w:tc>
          <w:tcPr>
            <w:tcW w:type="dxa" w:w="232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Наименование угрозы</w:t>
            </w:r>
          </w:p>
        </w:tc>
        <w:tc>
          <w:tcPr>
            <w:tcW w:type="dxa" w:w="170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Характер происхождения</w:t>
            </w:r>
          </w:p>
        </w:tc>
        <w:tc>
          <w:tcPr>
            <w:tcW w:type="dxa" w:w="170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Источник</w:t>
            </w:r>
          </w:p>
        </w:tc>
        <w:tc>
          <w:tcPr>
            <w:tcW w:type="dxa" w:w="243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Объект воздействия / последствие</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12</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УБИ.028</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использования альтернативных путей доступа к ресурсам</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внутренний пользователь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административные интерфейсы, удаленный доступ; обход штатной авторизации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13</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УБИ.030</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использования информации идентификации и аутентификации, заданной по умолчанию</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подрядчик</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роутер, CMS, кассовое оборудование; НСД</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14</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УБИ.031</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использования механизмов авторизации для повышения привилегий</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клиент, кассир, 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личный кабинет, кассовое ПО, админ-панель; получение чужих прав</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15</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УБИ.033</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использования слабостей кодирования входных данных</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формы заказа, поиск товаров, API; SQL/NoSQL-инъекции, XSS</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16</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УБИ.034</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использования слабостей протоколов сетевого или локального обмена данными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поставщик связи</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локальная сеть магазина, Wi-Fi, VPN; перехват или подмена данных</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17</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УБИ.036</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исследования механизмов работы программы</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конкурент</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сайт, API, мобильная форма заказа; подготовка целевой атаки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18</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УБИ.037</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исследования приложения через отчеты об ошибках</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страницы ошибок, журналы web-приложения; раскрытие версий и путей</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19</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УБИ.046</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нарушения процедуры аутентификации субъектов виртуального информационного взаимодействия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вредоносное ПО</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личный кабинет, удаленный доступ, интеграции; НСД</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20</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УБИ.067</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неправомерного ознакомления с защищаемой информацией</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кассир, товаровед, администратор, 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ПДн клиентов, заказы, цены поставщиков, отчеты; утечка</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21</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УБИ.068</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неправомерного или некорректного использования интерфейса взаимодействия с приложением</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 или непреднамеренная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клиент, кассир, 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публичный сайт, кассовое ПО, личный кабинет; нарушение бизнес-логики</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22</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УБИ.069</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неправомерных действий в каналах связи</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нарушитель, поставщик услуг связи</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сетевой трафик между магазином, банком, ОФД и облаком; перехват, подмена, блокирование</w:t>
            </w:r>
          </w:p>
        </w:tc>
      </w:tr>
      <w:tr>
        <w:tc>
          <w:tcPr>
            <w:tcW w:type="dxa" w:w="45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23</w:t>
            </w:r>
          </w:p>
        </w:tc>
        <w:tc>
          <w:tcPr>
            <w:tcW w:type="dxa" w:w="79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УБИ.167</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Угроза заражения компьютера при посещении неблагонадежных сайтов</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антропогенная, преднамеренная</w:t>
            </w:r>
          </w:p>
        </w:tc>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вредоносное ПО, внешний нарушитель</w:t>
            </w:r>
          </w:p>
        </w:tc>
        <w:tc>
          <w:tcPr>
            <w:tcW w:type="dxa" w:w="243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АРМ кассира, товароведа, бухгалтера; компрометация учетных данных</w:t>
            </w:r>
          </w:p>
        </w:tc>
      </w:tr>
    </w:tbl>
    <w:p>
      <w:pPr>
        <w:spacing w:line="360" w:lineRule="auto" w:after="40"/>
        <w:ind w:firstLine="0"/>
        <w:jc w:val="both"/>
      </w:pPr>
    </w:p>
    <w:p>
      <w:pPr>
        <w:keepNext/>
        <w:spacing w:line="360" w:lineRule="auto" w:before="120" w:after="120"/>
        <w:ind w:firstLine="0"/>
        <w:jc w:val="left"/>
      </w:pPr>
      <w:r>
        <w:rPr>
          <w:rFonts w:ascii="Times New Roman" w:hAnsi="Times New Roman" w:eastAsia="Times New Roman"/>
          <w:b/>
          <w:sz w:val="28"/>
        </w:rPr>
        <w:t>2.2. Характер происхождения угроз</w:t>
      </w:r>
    </w:p>
    <w:p>
      <w:pPr>
        <w:spacing w:line="360" w:lineRule="auto" w:after="120"/>
        <w:ind w:firstLine="709"/>
        <w:jc w:val="both"/>
      </w:pPr>
      <w:r>
        <w:rPr>
          <w:rFonts w:ascii="Times New Roman" w:hAnsi="Times New Roman" w:eastAsia="Times New Roman"/>
          <w:b w:val="0"/>
          <w:i w:val="0"/>
          <w:sz w:val="28"/>
        </w:rPr>
        <w:t>Основной массив угроз имеет антропогенное происхождение, так как реализуется действиями людей или созданного ими вредоносного программного обеспечения. Для продовольственного магазина наиболее вероятны действия внешних нарушителей, сотрудников, подрядчиков, поставщиков сервисов и бывших работников.</w:t>
      </w:r>
    </w:p>
    <w:p>
      <w:pPr>
        <w:spacing w:line="360" w:lineRule="auto" w:after="120"/>
        <w:ind w:firstLine="709"/>
        <w:jc w:val="both"/>
      </w:pPr>
      <w:r>
        <w:rPr>
          <w:rFonts w:ascii="Times New Roman" w:hAnsi="Times New Roman" w:eastAsia="Times New Roman"/>
          <w:b w:val="0"/>
          <w:i w:val="0"/>
          <w:sz w:val="28"/>
        </w:rPr>
        <w:t>Преднамеренные угрозы включают эксплуатацию уязвимостей сайта заказа и удаленного доступа, подбор или повторное использование паролей, фишинг сотрудников, внедрение вредоносного кода, изменение конфигурации кассового или сетевого оборудования, неправомерную выгрузку клиентской базы, DoS-воздействие на сайт или сервер учета.</w:t>
      </w:r>
    </w:p>
    <w:p>
      <w:pPr>
        <w:spacing w:line="360" w:lineRule="auto" w:after="120"/>
        <w:ind w:firstLine="709"/>
        <w:jc w:val="both"/>
      </w:pPr>
      <w:r>
        <w:rPr>
          <w:rFonts w:ascii="Times New Roman" w:hAnsi="Times New Roman" w:eastAsia="Times New Roman"/>
          <w:b w:val="0"/>
          <w:i w:val="0"/>
          <w:sz w:val="28"/>
        </w:rPr>
        <w:t>Непреднамеренные угрозы связаны с ошибками персонала: неправильной настройкой прав, публикацией лишних данных, использованием слабых паролей, установкой неподтвержденного ПО на АРМ, переходом по вредоносной ссылке, ошибочным изменением цены или остатка товара.</w:t>
      </w:r>
    </w:p>
    <w:p>
      <w:pPr>
        <w:spacing w:line="360" w:lineRule="auto" w:after="120"/>
        <w:ind w:firstLine="709"/>
        <w:jc w:val="both"/>
      </w:pPr>
      <w:r>
        <w:rPr>
          <w:rFonts w:ascii="Times New Roman" w:hAnsi="Times New Roman" w:eastAsia="Times New Roman"/>
          <w:b w:val="0"/>
          <w:i w:val="0"/>
          <w:sz w:val="28"/>
        </w:rPr>
        <w:t>Техногенные и инфраструктурные факторы учитываются как условия возникновения ущерба: отказ оборудования, сбой электропитания, недоступность Интернета, отказ облачного сервиса, ошибка обновления кассового ПО или товароучетной системы. Природные факторы, например пожар или затопление помещения, прямо не относятся к большинству выбранных антропогенных УБИ, но важны для доступности и восстановления.</w:t>
      </w:r>
    </w:p>
    <w:p>
      <w:pPr>
        <w:keepNext/>
        <w:spacing w:line="360" w:lineRule="auto" w:before="120" w:after="120"/>
        <w:ind w:firstLine="0"/>
        <w:jc w:val="left"/>
      </w:pPr>
      <w:r>
        <w:rPr>
          <w:rFonts w:ascii="Times New Roman" w:hAnsi="Times New Roman" w:eastAsia="Times New Roman"/>
          <w:b/>
          <w:sz w:val="28"/>
        </w:rPr>
        <w:t>2.3. Источники появления угроз</w:t>
      </w:r>
    </w:p>
    <w:p>
      <w:r>
        <w:br w:type="page"/>
      </w:r>
    </w:p>
    <w:p>
      <w:pPr>
        <w:keepNext/>
        <w:spacing w:line="360" w:lineRule="auto" w:after="80"/>
        <w:ind w:firstLine="0"/>
        <w:jc w:val="center"/>
      </w:pPr>
      <w:r>
        <w:rPr>
          <w:rFonts w:ascii="Times New Roman" w:hAnsi="Times New Roman" w:eastAsia="Times New Roman"/>
          <w:b w:val="0"/>
          <w:i w:val="0"/>
          <w:sz w:val="24"/>
        </w:rPr>
        <w:t>Таблица 3 - Источники появления угроз</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tblHeader w:val="true"/>
        </w:trPr>
        <w:tc>
          <w:tcPr>
            <w:tcW w:type="dxa" w:w="226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Источник</w:t>
            </w:r>
          </w:p>
        </w:tc>
        <w:tc>
          <w:tcPr>
            <w:tcW w:type="dxa" w:w="3969"/>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Типичные проявления</w:t>
            </w:r>
          </w:p>
        </w:tc>
        <w:tc>
          <w:tcPr>
            <w:tcW w:type="dxa" w:w="3175"/>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20"/>
              </w:rPr>
              <w:t>Затрагиваемые объекты</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Внешние нарушители</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сканирование сайта, фишинг сотрудников, эксплуатация уязвимостей, DoS</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сайт заказа, удаленный доступ, каналы связи</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Клиенты и пользователи программы лояльности</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некорректное использование интерфейса, подбор чужих бонусных данных</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личный кабинет, данные заказов, бонусные операции</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Кассиры, товароведы, бухгалтерия</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ошибки обработки, избыточные выгрузки, нарушение регламентов доступа</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касса, товароучетная система, отчеты, ПДн</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Владелец ИП и администраторы</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ошибочная или умышленная смена настроек, отключение контроля, копирование данных</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сервер учета, сеть, резервные копии</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Подрядчики и поставщики услуг</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ошибки настройки, компрометация цепочки поставки, доступ к инфраструктуре</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кассовое ПО, хостинг, ОФД, связь, банк-эквайер</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Вредоносное ПО</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кража учетных данных, шифрование файлов, скрытое удаленное управление</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АРМ сотрудников, серверы, файлы</w:t>
            </w:r>
          </w:p>
        </w:tc>
      </w:tr>
      <w:tr>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Технические и природные факторы</w:t>
            </w:r>
          </w:p>
        </w:tc>
        <w:tc>
          <w:tcPr>
            <w:tcW w:type="dxa" w:w="3969"/>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отказ, повреждение оборудования, сбой питания или связи</w:t>
            </w:r>
          </w:p>
        </w:tc>
        <w:tc>
          <w:tcPr>
            <w:tcW w:type="dxa" w:w="3175"/>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20"/>
              </w:rPr>
              <w:t>доступность кассы, сети, резервного восстановления</w:t>
            </w:r>
          </w:p>
        </w:tc>
      </w:tr>
    </w:tbl>
    <w:p>
      <w:pPr>
        <w:spacing w:line="360" w:lineRule="auto" w:after="40"/>
        <w:ind w:firstLine="0"/>
        <w:jc w:val="both"/>
      </w:pPr>
    </w:p>
    <w:p>
      <w:pPr>
        <w:keepNext/>
        <w:spacing w:line="360" w:lineRule="auto" w:before="240" w:after="120"/>
        <w:ind w:firstLine="0"/>
        <w:jc w:val="center"/>
      </w:pPr>
      <w:r>
        <w:rPr>
          <w:rFonts w:ascii="Times New Roman" w:hAnsi="Times New Roman" w:eastAsia="Times New Roman"/>
          <w:b/>
          <w:sz w:val="28"/>
        </w:rPr>
        <w:t>3. Виды и модель нарушителя</w:t>
      </w:r>
    </w:p>
    <w:p>
      <w:pPr>
        <w:keepNext/>
        <w:spacing w:line="360" w:lineRule="auto" w:before="120" w:after="120"/>
        <w:ind w:firstLine="0"/>
        <w:jc w:val="left"/>
      </w:pPr>
      <w:r>
        <w:rPr>
          <w:rFonts w:ascii="Times New Roman" w:hAnsi="Times New Roman" w:eastAsia="Times New Roman"/>
          <w:b/>
          <w:sz w:val="28"/>
        </w:rPr>
        <w:t>3.1. Потенциально возможные злоумышленники</w:t>
      </w:r>
    </w:p>
    <w:p>
      <w:pPr>
        <w:spacing w:line="360" w:lineRule="auto" w:after="120"/>
        <w:ind w:firstLine="709"/>
        <w:jc w:val="both"/>
      </w:pPr>
      <w:r>
        <w:rPr>
          <w:rFonts w:ascii="Times New Roman" w:hAnsi="Times New Roman" w:eastAsia="Times New Roman"/>
          <w:b w:val="0"/>
          <w:i w:val="0"/>
          <w:sz w:val="28"/>
        </w:rPr>
        <w:t>При формировании перечня нарушителей использован подход Методики ФСТЭК России: нарушителями являются лица или группы лиц, которые могут реализовать угрозы путем несанкционированного доступа или воздействия на информационные ресурсы и компоненты системы. Для выбранного объекта актуальны как внешние, так и внутренние нарушители.</w:t>
      </w:r>
    </w:p>
    <w:p>
      <w:r>
        <w:br w:type="page"/>
      </w:r>
    </w:p>
    <w:p>
      <w:pPr>
        <w:keepNext/>
        <w:spacing w:line="360" w:lineRule="auto" w:after="80"/>
        <w:ind w:firstLine="0"/>
        <w:jc w:val="center"/>
      </w:pPr>
      <w:r>
        <w:rPr>
          <w:rFonts w:ascii="Times New Roman" w:hAnsi="Times New Roman" w:eastAsia="Times New Roman"/>
          <w:b w:val="0"/>
          <w:i w:val="0"/>
          <w:sz w:val="24"/>
        </w:rPr>
        <w:t>Таблица 4 - Потенциально возможные нарушители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rPr>
          <w:tblHeader w:val="true"/>
        </w:trPr>
        <w:tc>
          <w:tcPr>
            <w:tcW w:type="dxa" w:w="198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Нарушитель</w:t>
            </w:r>
          </w:p>
        </w:tc>
        <w:tc>
          <w:tcPr>
            <w:tcW w:type="dxa" w:w="1587"/>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Категория</w:t>
            </w:r>
          </w:p>
        </w:tc>
        <w:tc>
          <w:tcPr>
            <w:tcW w:type="dxa" w:w="113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Уровень возможностей</w:t>
            </w:r>
          </w:p>
        </w:tc>
        <w:tc>
          <w:tcPr>
            <w:tcW w:type="dxa" w:w="238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Условия доступа</w:t>
            </w:r>
          </w:p>
        </w:tc>
        <w:tc>
          <w:tcPr>
            <w:tcW w:type="dxa" w:w="2324"/>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Вероятные цели</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 хакер или малая группа</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Н2-Н3</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штатного доступа нет; использует Интернет, сканирование, фишинг, эксплуатацию типовых уязвимостей</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кража ПДн и учетных данных, доступ к админ-панели, подготовка мошенничества</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Преступная группа</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Н3</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финансовая мотивация; может применять бот-сети, фишинг, вредоносное ПО и вымогательство</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монетизация клиентской базы, блокирование продаж, шантаж</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Конкурирующий магазин или посредник</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Н2</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действует самостоятельно или через нанятых исполнителей</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получение клиентской базы, цен поставщиков, планов закупок и скидок</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Авторизованный клиент программы лояльности</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внутренний пользователь</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Н1</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имеет личный кабинет или доступ к публичному функционалу</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получение чужих бонусов, заказов или персональных данных</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Кассир или товаровед</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внутренний пользователь</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Н1-Н2</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имеет доступ к кассовому ПО, части ПДн, остаткам и ценам</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ошибочное или умышленное изменение данных, выгрузка клиентской базы</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Бухгалтер или владелец ИП</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внутренний привилегированный</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Н2-Н3</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имеет расширенный доступ к отчетности, банку, договорам и учетной системе</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несанкционированное копирование данных, изменение отчетности</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Системный администратор, обслуживающий подрядчик</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поставщик/внутренний привилегированный</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Н3</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имеет доступ к настройкам сети, кассовому узлу, резервным копиям и удаленному администрированию</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отключение контроля, скрытая выгрузка данных, изменение конфигурации</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Провайдер хостинга, связи, ОФД или облачного сервиса</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поставщик услуг</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Н2-Н3</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имеет инфраструктурный доступ в пределах договора</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нарушение доступности, доступ к резервным копиям или сетевому трафику</w:t>
            </w:r>
          </w:p>
        </w:tc>
      </w:tr>
      <w:tr>
        <w:tc>
          <w:tcPr>
            <w:tcW w:type="dxa" w:w="198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Бывший сотрудник</w:t>
            </w:r>
          </w:p>
        </w:tc>
        <w:tc>
          <w:tcPr>
            <w:tcW w:type="dxa" w:w="1587"/>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внешний/внутренний при неотозванных правах</w:t>
            </w:r>
          </w:p>
        </w:tc>
        <w:tc>
          <w:tcPr>
            <w:tcW w:type="dxa" w:w="113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Н1-Н2</w:t>
            </w:r>
          </w:p>
        </w:tc>
        <w:tc>
          <w:tcPr>
            <w:tcW w:type="dxa" w:w="238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знает процессы, адреса сервисов, старые пароли, состав персонала</w:t>
            </w:r>
          </w:p>
        </w:tc>
        <w:tc>
          <w:tcPr>
            <w:tcW w:type="dxa" w:w="2324"/>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месть, продажа данных, обход процедур</w:t>
            </w:r>
          </w:p>
        </w:tc>
      </w:tr>
    </w:tbl>
    <w:p>
      <w:pPr>
        <w:spacing w:line="360" w:lineRule="auto" w:after="40"/>
        <w:ind w:firstLine="0"/>
        <w:jc w:val="both"/>
      </w:pPr>
    </w:p>
    <w:p>
      <w:pPr>
        <w:keepNext/>
        <w:spacing w:line="360" w:lineRule="auto" w:before="120" w:after="120"/>
        <w:ind w:firstLine="0"/>
        <w:jc w:val="left"/>
      </w:pPr>
      <w:r>
        <w:rPr>
          <w:rFonts w:ascii="Times New Roman" w:hAnsi="Times New Roman" w:eastAsia="Times New Roman"/>
          <w:b/>
          <w:sz w:val="28"/>
        </w:rPr>
        <w:t>3.2. Модель нарушителя по структуре Приложения 3</w:t>
      </w:r>
    </w:p>
    <w:p>
      <w:pPr>
        <w:spacing w:line="360" w:lineRule="auto" w:after="120"/>
        <w:ind w:firstLine="709"/>
        <w:jc w:val="both"/>
      </w:pPr>
      <w:r>
        <w:rPr>
          <w:rFonts w:ascii="Times New Roman" w:hAnsi="Times New Roman" w:eastAsia="Times New Roman"/>
          <w:b w:val="0"/>
          <w:i w:val="0"/>
          <w:sz w:val="28"/>
        </w:rPr>
        <w:t>Приложение 3 к Методике ФСТЭК России задает рекомендуемую структуру модели угроз безопасности информации. Для целей лабораторной работы из этой структуры сформирована модель нарушителя: определены область действия, объект защиты, последствия, объекты воздействия, источники угроз, способы реализации и вывод об актуальных нарушителях.</w:t>
      </w:r>
    </w:p>
    <w:p>
      <w:pPr>
        <w:spacing w:line="360" w:lineRule="auto" w:after="120"/>
        <w:ind w:firstLine="709"/>
        <w:jc w:val="both"/>
      </w:pPr>
      <w:r>
        <w:rPr>
          <w:rFonts w:ascii="Times New Roman" w:hAnsi="Times New Roman" w:eastAsia="Times New Roman"/>
          <w:b w:val="0"/>
          <w:i w:val="0"/>
          <w:sz w:val="28"/>
        </w:rPr>
        <w:t>Общие положения. Модель нарушителя применяется к информационной системе ИП «Продовольственный магазин» и используется для выбора актуальных угроз, связанных с обработкой персональных данных клиентов, фискальных и товароучетных данных. Обладателем информации и оператором является индивидуальный предприниматель. Ответственными за защиту информации в учебной модели являются владелец ИП и назначенный администратор или обслуживающий ИТ-подрядчик.</w:t>
      </w:r>
    </w:p>
    <w:p>
      <w:pPr>
        <w:spacing w:line="360" w:lineRule="auto" w:after="120"/>
        <w:ind w:firstLine="709"/>
        <w:jc w:val="both"/>
      </w:pPr>
      <w:r>
        <w:rPr>
          <w:rFonts w:ascii="Times New Roman" w:hAnsi="Times New Roman" w:eastAsia="Times New Roman"/>
          <w:b w:val="0"/>
          <w:i w:val="0"/>
          <w:sz w:val="28"/>
        </w:rPr>
        <w:t>Описание системы как объекта защиты. Система не является государственной информационной системой и не рассматривается как значимый объект критической информационной инфраструктуры. В ней обрабатываются обычные персональные данные клиентов программы лояльности и доставки. Для учебной модели принято, что число субъектов персональных данных менее 100 000, специальные категории и биометрические персональные данные не обрабатываются; предварительно система может рассматриваться как ИСПДн с четвертым уровнем защищенности. Окончательный уровень устанавливается оператором по результатам обследования.</w:t>
      </w:r>
    </w:p>
    <w:p>
      <w:pPr>
        <w:spacing w:line="360" w:lineRule="auto" w:after="120"/>
        <w:ind w:firstLine="709"/>
        <w:jc w:val="both"/>
      </w:pPr>
      <w:r>
        <w:rPr>
          <w:rFonts w:ascii="Times New Roman" w:hAnsi="Times New Roman" w:eastAsia="Times New Roman"/>
          <w:b w:val="0"/>
          <w:i w:val="0"/>
          <w:sz w:val="28"/>
        </w:rPr>
        <w:t>Возможные негативные последствия. Реализация угроз может привести к остановке продаж, нарушению передачи фискальных данных, искажению цен и остатков, утечке персональных данных клиентов, компрометации учетных записей сотрудников, финансовым потерям, штрафам, репутационному ущербу и необходимости восстановления учета из резервных копий.</w:t>
      </w:r>
    </w:p>
    <w:p>
      <w:pPr>
        <w:spacing w:line="360" w:lineRule="auto" w:after="120"/>
        <w:ind w:firstLine="709"/>
        <w:jc w:val="both"/>
      </w:pPr>
      <w:r>
        <w:rPr>
          <w:rFonts w:ascii="Times New Roman" w:hAnsi="Times New Roman" w:eastAsia="Times New Roman"/>
          <w:b w:val="0"/>
          <w:i w:val="0"/>
          <w:sz w:val="28"/>
        </w:rPr>
        <w:t>Возможные объекты воздействия. Основными объектами воздействия являются кассовое ПО, онлайн-касса, товароучетная база, сайт заказа, личный кабинет клиента, АРМ сотрудников, маршрутизатор, Wi-Fi, каналы связи с банком и ОФД, резервные копии, журналы событий и учетные записи пользователей.</w:t>
      </w:r>
    </w:p>
    <w:p>
      <w:pPr>
        <w:spacing w:line="360" w:lineRule="auto" w:after="120"/>
        <w:ind w:firstLine="709"/>
        <w:jc w:val="both"/>
      </w:pPr>
      <w:r>
        <w:rPr>
          <w:rFonts w:ascii="Times New Roman" w:hAnsi="Times New Roman" w:eastAsia="Times New Roman"/>
          <w:b w:val="0"/>
          <w:i w:val="0"/>
          <w:sz w:val="28"/>
        </w:rPr>
        <w:t>Источники угроз. Актуальными источниками являются внешний хакер, преступная группа, конкурент, клиент, сотрудник магазина, владелец или администратор при злоупотреблении правами, ИТ-подрядчик, поставщик облачных или коммуникационных услуг, бывший сотрудник и вредоносное ПО.</w:t>
      </w:r>
    </w:p>
    <w:p>
      <w:pPr>
        <w:spacing w:line="360" w:lineRule="auto" w:after="120"/>
        <w:ind w:firstLine="709"/>
        <w:jc w:val="both"/>
      </w:pPr>
      <w:r>
        <w:rPr>
          <w:rFonts w:ascii="Times New Roman" w:hAnsi="Times New Roman" w:eastAsia="Times New Roman"/>
          <w:b w:val="0"/>
          <w:i w:val="0"/>
          <w:sz w:val="28"/>
        </w:rPr>
        <w:t>Способы реализации угроз. Нарушитель может использовать фишинг, подбор паролей, повторное использование скомпрометированных учетных данных, эксплуатацию web-уязвимостей, небезопасный удаленный доступ, ошибки настройки сетевого оборудования, заражение АРМ вредоносным ПО, неправомерную выгрузку отчетов, изменение конфигурации, отказ в обслуживании и доступ к резервным копиям.</w:t>
      </w:r>
    </w:p>
    <w:p>
      <w:r>
        <w:br w:type="page"/>
      </w:r>
    </w:p>
    <w:p>
      <w:pPr>
        <w:keepNext/>
        <w:spacing w:line="360" w:lineRule="auto" w:after="80"/>
        <w:ind w:firstLine="0"/>
        <w:jc w:val="center"/>
      </w:pPr>
      <w:r>
        <w:rPr>
          <w:rFonts w:ascii="Times New Roman" w:hAnsi="Times New Roman" w:eastAsia="Times New Roman"/>
          <w:b w:val="0"/>
          <w:i w:val="0"/>
          <w:sz w:val="24"/>
        </w:rPr>
        <w:t>Таблица 5 - Уровни возможностей нарушителей</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trPr>
        <w:tc>
          <w:tcPr>
            <w:tcW w:type="dxa" w:w="850"/>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8"/>
              </w:rPr>
              <w:t>Уровень</w:t>
            </w:r>
          </w:p>
        </w:tc>
        <w:tc>
          <w:tcPr>
            <w:tcW w:type="dxa" w:w="260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8"/>
              </w:rPr>
              <w:t>Актуальные субъекты</w:t>
            </w:r>
          </w:p>
        </w:tc>
        <w:tc>
          <w:tcPr>
            <w:tcW w:type="dxa" w:w="3742"/>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8"/>
              </w:rPr>
              <w:t>Возможности</w:t>
            </w:r>
          </w:p>
        </w:tc>
        <w:tc>
          <w:tcPr>
            <w:tcW w:type="dxa" w:w="221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8"/>
              </w:rPr>
              <w:t>Связанные угрозы</w:t>
            </w:r>
          </w:p>
        </w:tc>
      </w:tr>
      <w:tr>
        <w:tc>
          <w:tcPr>
            <w:tcW w:type="dxa" w:w="850"/>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Н1</w:t>
            </w:r>
          </w:p>
        </w:tc>
        <w:tc>
          <w:tcPr>
            <w:tcW w:type="dxa" w:w="260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клиент, рядовой сотрудник, бывший сотрудник без действующих прав</w:t>
            </w:r>
          </w:p>
        </w:tc>
        <w:tc>
          <w:tcPr>
            <w:tcW w:type="dxa" w:w="374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использование штатного интерфейса, слабых паролей, ошибок бизнес-логики</w:t>
            </w:r>
          </w:p>
        </w:tc>
        <w:tc>
          <w:tcPr>
            <w:tcW w:type="dxa" w:w="221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УБИ.008, УБИ.031, УБИ.067, УБИ.068</w:t>
            </w:r>
          </w:p>
        </w:tc>
      </w:tr>
      <w:tr>
        <w:tc>
          <w:tcPr>
            <w:tcW w:type="dxa" w:w="850"/>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Н2</w:t>
            </w:r>
          </w:p>
        </w:tc>
        <w:tc>
          <w:tcPr>
            <w:tcW w:type="dxa" w:w="260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внешний хакер, конкурент, подрядчик, разработчик</w:t>
            </w:r>
          </w:p>
        </w:tc>
        <w:tc>
          <w:tcPr>
            <w:tcW w:type="dxa" w:w="374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сканирование, фишинг, эксплуатация типовых web-уязвимостей, доступ к настройкам или коду</w:t>
            </w:r>
          </w:p>
        </w:tc>
        <w:tc>
          <w:tcPr>
            <w:tcW w:type="dxa" w:w="221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УБИ.006, УБИ.015, УБИ.016, УБИ.017, УБИ.033, УБИ.034</w:t>
            </w:r>
          </w:p>
        </w:tc>
      </w:tr>
      <w:tr>
        <w:tc>
          <w:tcPr>
            <w:tcW w:type="dxa" w:w="850"/>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Н3</w:t>
            </w:r>
          </w:p>
        </w:tc>
        <w:tc>
          <w:tcPr>
            <w:tcW w:type="dxa" w:w="260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преступная группа, привилегированный администратор, провайдер инфраструктуры</w:t>
            </w:r>
          </w:p>
        </w:tc>
        <w:tc>
          <w:tcPr>
            <w:tcW w:type="dxa" w:w="374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комбинированная атака, обход контроля, изменение конфигурации, скрытое копирование базы</w:t>
            </w:r>
          </w:p>
        </w:tc>
        <w:tc>
          <w:tcPr>
            <w:tcW w:type="dxa" w:w="221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УБИ.007, УБИ.012, УБИ.023, УБИ.030, УБИ.069</w:t>
            </w:r>
          </w:p>
        </w:tc>
      </w:tr>
      <w:tr>
        <w:tc>
          <w:tcPr>
            <w:tcW w:type="dxa" w:w="850"/>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Н4</w:t>
            </w:r>
          </w:p>
        </w:tc>
        <w:tc>
          <w:tcPr>
            <w:tcW w:type="dxa" w:w="260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специальные службы или государственно поддерживаемые группы</w:t>
            </w:r>
          </w:p>
        </w:tc>
        <w:tc>
          <w:tcPr>
            <w:tcW w:type="dxa" w:w="374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высокоресурсные целевые атаки и сложная компрометация цепочек поставки</w:t>
            </w:r>
          </w:p>
        </w:tc>
        <w:tc>
          <w:tcPr>
            <w:tcW w:type="dxa" w:w="221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8"/>
              </w:rPr>
              <w:t>для данного объекта не принимается как основной актуальный нарушитель</w:t>
            </w:r>
          </w:p>
        </w:tc>
      </w:tr>
    </w:tbl>
    <w:p>
      <w:pPr>
        <w:spacing w:line="360" w:lineRule="auto" w:after="40"/>
        <w:ind w:firstLine="0"/>
        <w:jc w:val="both"/>
      </w:pPr>
    </w:p>
    <w:p>
      <w:pPr>
        <w:spacing w:line="360" w:lineRule="auto" w:after="120"/>
        <w:ind w:firstLine="709"/>
        <w:jc w:val="both"/>
      </w:pPr>
      <w:r>
        <w:rPr>
          <w:rFonts w:ascii="Times New Roman" w:hAnsi="Times New Roman" w:eastAsia="Times New Roman"/>
          <w:b w:val="0"/>
          <w:i w:val="0"/>
          <w:sz w:val="28"/>
        </w:rPr>
        <w:t>Вывод по модели нарушителя. Наиболее вероятный сценарий связан с внешним нарушителем уровня Н2-Н3: разведка публичных сервисов, фишинг сотрудника или эксплуатация уязвимости сайта заказа, получение первичного доступа, повышение привилегий, поиск конфигураций и выгрузок, копирование клиентской базы и попытка скрыть следы. Второй значимый сценарий связан с внутренним нарушителем уровня Н1-Н2: сотрудник или бывший сотрудник использует доступ к товароучетной системе, кассовому ПО или отчетам для неправомерного копирования данных либо изменения операций. Уровень Н4 зафиксирован как теоретически возможный, но для малого продовольственного магазина не считается основным при оценке актуальности угроз.</w:t>
      </w:r>
    </w:p>
    <w:p>
      <w:pPr>
        <w:keepNext/>
        <w:spacing w:line="360" w:lineRule="auto" w:before="240" w:after="120"/>
        <w:ind w:firstLine="0"/>
        <w:jc w:val="center"/>
      </w:pPr>
      <w:r>
        <w:rPr>
          <w:rFonts w:ascii="Times New Roman" w:hAnsi="Times New Roman" w:eastAsia="Times New Roman"/>
          <w:b/>
          <w:sz w:val="28"/>
        </w:rPr>
        <w:t>4. Дополнение моделирования угроз матрицами MITRE ATT&amp;CK</w:t>
      </w:r>
    </w:p>
    <w:p>
      <w:pPr>
        <w:spacing w:line="360" w:lineRule="auto" w:after="120"/>
        <w:ind w:firstLine="709"/>
        <w:jc w:val="both"/>
      </w:pPr>
      <w:r>
        <w:rPr>
          <w:rFonts w:ascii="Times New Roman" w:hAnsi="Times New Roman" w:eastAsia="Times New Roman"/>
          <w:b w:val="0"/>
          <w:i w:val="0"/>
          <w:sz w:val="28"/>
        </w:rPr>
        <w:t>Методика ФСТЭК России позволяет определить актуальные угрозы, объекты воздействия, источники угроз и негативные последствия. MITRE ATT&amp;CK дополняет этот подход описанием тактик и техник поведения нарушителя. За счет этого модель угроз можно использовать не только для формального выбора УБИ, но и для построения сценариев атак, требований к журналированию, мониторингу, обнаружению и проверке защищенности.</w:t>
      </w:r>
    </w:p>
    <w:p>
      <w:pPr>
        <w:spacing w:line="360" w:lineRule="auto" w:after="120"/>
        <w:ind w:firstLine="709"/>
        <w:jc w:val="both"/>
      </w:pPr>
      <w:r>
        <w:rPr>
          <w:rFonts w:ascii="Times New Roman" w:hAnsi="Times New Roman" w:eastAsia="Times New Roman"/>
          <w:b w:val="0"/>
          <w:i w:val="0"/>
          <w:sz w:val="28"/>
        </w:rPr>
        <w:t>Для объекта продовольственного магазина применима матрица MITRE ATT&amp;CK Enterprise, поскольку атака может затрагивать рабочие станции, сервер учета, web-приложение, облачный сервис и каналы связи. Ниже приведен пример соответствия техник MITRE выбранным угрозам ФСТЭК.</w:t>
      </w:r>
    </w:p>
    <w:p>
      <w:pPr>
        <w:keepNext/>
        <w:spacing w:line="360" w:lineRule="auto" w:after="80"/>
        <w:ind w:firstLine="0"/>
        <w:jc w:val="center"/>
      </w:pPr>
      <w:r>
        <w:rPr>
          <w:rFonts w:ascii="Times New Roman" w:hAnsi="Times New Roman" w:eastAsia="Times New Roman"/>
          <w:b w:val="0"/>
          <w:i w:val="0"/>
          <w:sz w:val="24"/>
        </w:rPr>
        <w:t>Таблица 6 - Пример дополнения модели угроз техниками MITRE ATT&amp;CK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trPr>
        <w:tc>
          <w:tcPr>
            <w:tcW w:type="dxa" w:w="170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Тактика MITRE</w:t>
            </w:r>
          </w:p>
        </w:tc>
        <w:tc>
          <w:tcPr>
            <w:tcW w:type="dxa" w:w="2268"/>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Техника</w:t>
            </w:r>
          </w:p>
        </w:tc>
        <w:tc>
          <w:tcPr>
            <w:tcW w:type="dxa" w:w="3402"/>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Проявление для объекта</w:t>
            </w:r>
          </w:p>
        </w:tc>
        <w:tc>
          <w:tcPr>
            <w:tcW w:type="dxa" w:w="2041"/>
            <w:vAlign w:val="center"/>
            <w:tcMar>
              <w:top w:w="90" w:type="dxa"/>
              <w:start w:w="90" w:type="dxa"/>
              <w:bottom w:w="90" w:type="dxa"/>
              <w:end w:w="90" w:type="dxa"/>
            </w:tcMar>
            <w:shd w:fill="D9EAF7"/>
          </w:tcPr>
          <w:p>
            <w:pPr>
              <w:spacing w:after="0" w:line="240" w:lineRule="auto"/>
              <w:ind w:firstLine="0"/>
              <w:jc w:val="center"/>
            </w:pPr>
            <w:r>
              <w:rPr>
                <w:rFonts w:ascii="Times New Roman" w:hAnsi="Times New Roman" w:eastAsia="Times New Roman"/>
                <w:b/>
                <w:sz w:val="16"/>
              </w:rPr>
              <w:t>Связь с УБИ</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Reconnaissance</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T1595 Active Scanning</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поиск открытых сервисов сайта заказа, VPN, удаленного администрирования</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УБИ.036, УБИ.037</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Initial Access</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T1190 Exploit Public-Facing Application</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эксплуатация уязвимости формы заказа или API</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УБИ.006, УБИ.033, УБИ.068</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Initial Access</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T1566 Phishing</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письмо кассиру или владельцу ИП от имени банка, поставщика или ОФД</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УБИ.008, УБИ.167</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Credential Access</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T1555 Credentials from Password Stores</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получение сохраненных паролей с АРМ сотрудника</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УБИ.008, УБИ.046</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Persistence</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T1505.003 Web Shell</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размещение web-shell после компрометации сайта заказа</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УБИ.023, УБИ.012</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Privilege Escalation</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T1068 Exploitation for Privilege Escalation</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повышение прав на сервере или АРМ</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УБИ.007, УБИ.031</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Discovery</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T1083 File and Directory Discovery</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поиск выгрузок клиентов, резервных копий, конфигураций и ключей</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УБИ.015, УБИ.016</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Collection</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T1005 Data from Local System</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сбор базы клиентов, заказов, отчетов и документов поставщиков</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УБИ.067</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Exfiltration</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T1041 Exfiltration Over C2 Channel</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вывод архива данных через сетевой канал управления</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УБИ.069</w:t>
            </w:r>
          </w:p>
        </w:tc>
      </w:tr>
      <w:tr>
        <w:tc>
          <w:tcPr>
            <w:tcW w:type="dxa" w:w="170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Impact</w:t>
            </w:r>
          </w:p>
        </w:tc>
        <w:tc>
          <w:tcPr>
            <w:tcW w:type="dxa" w:w="2268"/>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T1499 Endpoint Denial of Service</w:t>
            </w:r>
          </w:p>
        </w:tc>
        <w:tc>
          <w:tcPr>
            <w:tcW w:type="dxa" w:w="3402"/>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нарушение работы сайта заказа или кассового рабочего места</w:t>
            </w:r>
          </w:p>
        </w:tc>
        <w:tc>
          <w:tcPr>
            <w:tcW w:type="dxa" w:w="2041"/>
            <w:vAlign w:val="center"/>
            <w:tcMar>
              <w:top w:w="90" w:type="dxa"/>
              <w:start w:w="90" w:type="dxa"/>
              <w:bottom w:w="90" w:type="dxa"/>
              <w:end w:w="90" w:type="dxa"/>
            </w:tcMar>
          </w:tcPr>
          <w:p>
            <w:pPr>
              <w:spacing w:after="0" w:line="240" w:lineRule="auto"/>
              <w:ind w:firstLine="0"/>
              <w:jc w:val="left"/>
            </w:pPr>
            <w:r>
              <w:rPr>
                <w:rFonts w:ascii="Times New Roman" w:hAnsi="Times New Roman" w:eastAsia="Times New Roman"/>
                <w:sz w:val="16"/>
              </w:rPr>
              <w:t>УБИ.014, УБИ.022</w:t>
            </w:r>
          </w:p>
        </w:tc>
      </w:tr>
    </w:tbl>
    <w:p>
      <w:pPr>
        <w:spacing w:line="360" w:lineRule="auto" w:after="40"/>
        <w:ind w:firstLine="0"/>
        <w:jc w:val="both"/>
      </w:pPr>
    </w:p>
    <w:p>
      <w:pPr>
        <w:spacing w:line="360" w:lineRule="auto" w:after="120"/>
        <w:ind w:firstLine="709"/>
        <w:jc w:val="both"/>
      </w:pPr>
      <w:r>
        <w:rPr>
          <w:rFonts w:ascii="Times New Roman" w:hAnsi="Times New Roman" w:eastAsia="Times New Roman"/>
          <w:b w:val="0"/>
          <w:i w:val="0"/>
          <w:sz w:val="28"/>
        </w:rPr>
        <w:t>Пример сценария для презентации: нарушитель выполняет активное сканирование сайта заказа и удаленного доступа, направляет сотруднику фишинговое письмо от имени поставщика, получает учетные данные, входит в административный интерфейс, ищет конфигурационные файлы и выгрузки клиентов, копирует базу программы лояльности, после чего создает нагрузку на сайт или кассовый сервер для отвлечения внимания. Сценарий связывает УБИ.006, УБИ.008, УБИ.033, УБИ.067 и УБИ.069 с техниками T1595, T1566, T1190, T1083, T1005 и T1041.</w:t>
      </w:r>
    </w:p>
    <w:p>
      <w:pPr>
        <w:spacing w:line="360" w:lineRule="auto" w:after="120"/>
        <w:ind w:firstLine="709"/>
        <w:jc w:val="both"/>
      </w:pPr>
      <w:r>
        <w:rPr>
          <w:rFonts w:ascii="Times New Roman" w:hAnsi="Times New Roman" w:eastAsia="Times New Roman"/>
          <w:b w:val="0"/>
          <w:i w:val="0"/>
          <w:sz w:val="28"/>
        </w:rPr>
        <w:t>Практический результат такого дополнения - получение проверяемых индикаторов. Для T1190 контролируются ошибки web-приложения и сигнатуры атак на входные параметры; для T1566 - подозрительные вложения и домены в почте; для T1083 - массовое перечисление файлов; для T1041 - нетипичные исходящие соединения и объемы передачи данных; для T1499 - резкий рост запросов и отказ сервисов.</w:t>
      </w:r>
    </w:p>
    <w:p>
      <w:pPr>
        <w:keepNext/>
        <w:spacing w:line="360" w:lineRule="auto" w:before="240" w:after="120"/>
        <w:ind w:firstLine="0"/>
        <w:jc w:val="center"/>
      </w:pPr>
      <w:r>
        <w:rPr>
          <w:rFonts w:ascii="Times New Roman" w:hAnsi="Times New Roman" w:eastAsia="Times New Roman"/>
          <w:b/>
          <w:sz w:val="28"/>
        </w:rPr>
        <w:t>Заключение</w:t>
      </w:r>
    </w:p>
    <w:p>
      <w:pPr>
        <w:spacing w:line="360" w:lineRule="auto" w:after="120"/>
        <w:ind w:firstLine="709"/>
        <w:jc w:val="both"/>
      </w:pPr>
      <w:r>
        <w:rPr>
          <w:rFonts w:ascii="Times New Roman" w:hAnsi="Times New Roman" w:eastAsia="Times New Roman"/>
          <w:b w:val="0"/>
          <w:i w:val="0"/>
          <w:sz w:val="28"/>
        </w:rPr>
        <w:t>В ходе лабораторной работы описана информационная система ИП «Продовольственный магазин» как объект защиты информации, определены ключевые активы, назначение и актуальность защиты. Выделены 23 актуальные угрозы из банка данных угроз ФСТЭК России, классифицированы характер происхождения угроз и источники их появления.</w:t>
      </w:r>
    </w:p>
    <w:p>
      <w:pPr>
        <w:spacing w:line="360" w:lineRule="auto" w:after="120"/>
        <w:ind w:firstLine="709"/>
        <w:jc w:val="both"/>
      </w:pPr>
      <w:r>
        <w:rPr>
          <w:rFonts w:ascii="Times New Roman" w:hAnsi="Times New Roman" w:eastAsia="Times New Roman"/>
          <w:b w:val="0"/>
          <w:i w:val="0"/>
          <w:sz w:val="28"/>
        </w:rPr>
        <w:t>Сформирована модель нарушителя по структуре Приложения 3 к Методике ФСТЭК России. Для объекта наиболее актуальны внешние нарушители уровня Н2-Н3, внутренние пользователи уровня Н1-Н2, привилегированные администраторы и обслуживающие подрядчики уровня Н3. Наиболее существенные сценарии связаны с компрометацией учетных данных, эксплуатацией web-уязвимостей, заражением рабочих мест, неправомерной выгрузкой ПДн, изменением конфигурации и нарушением доступности кассового или товароучетного контура.</w:t>
      </w:r>
    </w:p>
    <w:p>
      <w:pPr>
        <w:spacing w:line="360" w:lineRule="auto" w:after="120"/>
        <w:ind w:firstLine="709"/>
        <w:jc w:val="both"/>
      </w:pPr>
      <w:r>
        <w:rPr>
          <w:rFonts w:ascii="Times New Roman" w:hAnsi="Times New Roman" w:eastAsia="Times New Roman"/>
          <w:b w:val="0"/>
          <w:i w:val="0"/>
          <w:sz w:val="28"/>
        </w:rPr>
        <w:t>Дополнение анализа матрицами MITRE ATT&amp;CK делает модель более прикладной: выбранные угрозы связываются с конкретными тактиками и техниками атаки, что позволяет формировать требования к мониторингу, журналированию, обнаружению и проверке защищенности.</w:t>
      </w:r>
    </w:p>
    <w:p>
      <w:pPr>
        <w:keepNext/>
        <w:spacing w:line="360" w:lineRule="auto" w:before="240" w:after="120"/>
        <w:ind w:firstLine="0"/>
        <w:jc w:val="center"/>
      </w:pPr>
      <w:r>
        <w:rPr>
          <w:rFonts w:ascii="Times New Roman" w:hAnsi="Times New Roman" w:eastAsia="Times New Roman"/>
          <w:b/>
          <w:sz w:val="28"/>
        </w:rPr>
        <w:t>Список использованных источников</w:t>
      </w:r>
    </w:p>
    <w:p>
      <w:pPr>
        <w:spacing w:line="360" w:lineRule="auto" w:after="0"/>
        <w:ind w:firstLine="0"/>
        <w:jc w:val="both"/>
      </w:pPr>
      <w:r>
        <w:rPr>
          <w:rFonts w:ascii="Times New Roman" w:hAnsi="Times New Roman" w:eastAsia="Times New Roman"/>
          <w:b w:val="0"/>
          <w:i w:val="0"/>
          <w:sz w:val="26"/>
        </w:rPr>
        <w:t>1. Лабораторная работа № 2 «Анализ современных угроз ИБ». Исходный файл: Lab_2.pdf.</w:t>
      </w:r>
    </w:p>
    <w:p>
      <w:pPr>
        <w:spacing w:line="360" w:lineRule="auto" w:after="0"/>
        <w:ind w:firstLine="0"/>
        <w:jc w:val="both"/>
      </w:pPr>
      <w:r>
        <w:rPr>
          <w:rFonts w:ascii="Times New Roman" w:hAnsi="Times New Roman" w:eastAsia="Times New Roman"/>
          <w:b w:val="0"/>
          <w:i w:val="0"/>
          <w:sz w:val="26"/>
        </w:rPr>
        <w:t>2. ФСТЭК России. Методический документ «Методика оценки угроз безопасности информации», утвержден 5 февраля 2021 г.</w:t>
      </w:r>
    </w:p>
    <w:p>
      <w:pPr>
        <w:spacing w:line="360" w:lineRule="auto" w:after="0"/>
        <w:ind w:firstLine="0"/>
        <w:jc w:val="both"/>
      </w:pPr>
      <w:r>
        <w:rPr>
          <w:rFonts w:ascii="Times New Roman" w:hAnsi="Times New Roman" w:eastAsia="Times New Roman"/>
          <w:b w:val="0"/>
          <w:i w:val="0"/>
          <w:sz w:val="26"/>
        </w:rPr>
        <w:t>3. Банк данных угроз безопасности информации ФСТЭК России. URL: https://bdu.fstec.ru/threat</w:t>
      </w:r>
    </w:p>
    <w:p>
      <w:pPr>
        <w:spacing w:line="360" w:lineRule="auto" w:after="0"/>
        <w:ind w:firstLine="0"/>
        <w:jc w:val="both"/>
      </w:pPr>
      <w:r>
        <w:rPr>
          <w:rFonts w:ascii="Times New Roman" w:hAnsi="Times New Roman" w:eastAsia="Times New Roman"/>
          <w:b w:val="0"/>
          <w:i w:val="0"/>
          <w:sz w:val="26"/>
        </w:rPr>
        <w:t>4. MITRE ATT&amp;CK Enterprise Matrix. URL: https://attack.mitre.org/matrices/enterprise/</w:t>
      </w:r>
    </w:p>
    <w:p>
      <w:pPr>
        <w:spacing w:line="360" w:lineRule="auto" w:after="0"/>
        <w:ind w:firstLine="0"/>
        <w:jc w:val="both"/>
      </w:pPr>
      <w:r>
        <w:rPr>
          <w:rFonts w:ascii="Times New Roman" w:hAnsi="Times New Roman" w:eastAsia="Times New Roman"/>
          <w:b w:val="0"/>
          <w:i w:val="0"/>
          <w:sz w:val="26"/>
        </w:rPr>
        <w:t>5. Федеральный закон от 27.07.2006 № 152-ФЗ «О персональных данных».</w:t>
      </w:r>
    </w:p>
    <w:p>
      <w:pPr>
        <w:spacing w:line="360" w:lineRule="auto" w:after="0"/>
        <w:ind w:firstLine="0"/>
        <w:jc w:val="both"/>
      </w:pPr>
      <w:r>
        <w:rPr>
          <w:rFonts w:ascii="Times New Roman" w:hAnsi="Times New Roman" w:eastAsia="Times New Roman"/>
          <w:b w:val="0"/>
          <w:i w:val="0"/>
          <w:sz w:val="26"/>
        </w:rPr>
        <w:t>6. Федеральный закон от 22.05.2003 № 54-ФЗ «О применении контрольно-кассовой техники при осуществлении расчетов в Российской Федерации».</w:t>
      </w:r>
    </w:p>
    <w:sectPr w:rsidR="00FC693F" w:rsidRPr="0006063C" w:rsidSect="00034616">
      <w:foot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