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5036" w14:textId="416B3727" w:rsidR="003154A9" w:rsidRDefault="00D82263" w:rsidP="00F676DF">
      <w:pPr>
        <w:pStyle w:val="NormalWeb"/>
        <w:spacing w:before="0" w:beforeAutospacing="0" w:after="0" w:afterAutospacing="0" w:line="360" w:lineRule="auto"/>
        <w:contextualSpacing/>
        <w:jc w:val="center"/>
        <w:rPr>
          <w:b/>
          <w:bCs/>
          <w:lang w:val="es-ES"/>
        </w:rPr>
      </w:pPr>
      <w:r>
        <w:rPr>
          <w:b/>
          <w:bCs/>
          <w:lang w:val="es-ES"/>
        </w:rPr>
        <w:t xml:space="preserve">La expresión </w:t>
      </w:r>
      <w:r w:rsidR="00E1433F">
        <w:rPr>
          <w:b/>
          <w:bCs/>
          <w:lang w:val="es-ES"/>
        </w:rPr>
        <w:t>político-espacial</w:t>
      </w:r>
      <w:r>
        <w:rPr>
          <w:b/>
          <w:bCs/>
          <w:lang w:val="es-ES"/>
        </w:rPr>
        <w:t xml:space="preserve"> de la</w:t>
      </w:r>
      <w:r w:rsidR="003154A9">
        <w:rPr>
          <w:b/>
          <w:bCs/>
          <w:lang w:val="es-ES"/>
        </w:rPr>
        <w:t xml:space="preserve"> “</w:t>
      </w:r>
      <w:proofErr w:type="spellStart"/>
      <w:r w:rsidR="003154A9">
        <w:rPr>
          <w:b/>
          <w:bCs/>
          <w:lang w:val="es-ES"/>
        </w:rPr>
        <w:t>securitización</w:t>
      </w:r>
      <w:proofErr w:type="spellEnd"/>
      <w:r w:rsidR="003154A9">
        <w:rPr>
          <w:b/>
          <w:bCs/>
          <w:lang w:val="es-ES"/>
        </w:rPr>
        <w:t xml:space="preserve">” en el norte de África: </w:t>
      </w:r>
    </w:p>
    <w:p w14:paraId="1AAF60FB" w14:textId="5F416D45" w:rsidR="003154A9" w:rsidRDefault="003154A9" w:rsidP="00F676DF">
      <w:pPr>
        <w:pStyle w:val="NormalWeb"/>
        <w:spacing w:before="0" w:beforeAutospacing="0" w:after="0" w:afterAutospacing="0" w:line="360" w:lineRule="auto"/>
        <w:contextualSpacing/>
        <w:jc w:val="center"/>
        <w:rPr>
          <w:b/>
          <w:bCs/>
          <w:lang w:val="es-ES"/>
        </w:rPr>
      </w:pPr>
      <w:r>
        <w:rPr>
          <w:b/>
          <w:bCs/>
          <w:lang w:val="es-ES"/>
        </w:rPr>
        <w:t xml:space="preserve">el caso de Libia </w:t>
      </w:r>
      <w:r w:rsidR="00477988">
        <w:rPr>
          <w:b/>
          <w:bCs/>
          <w:lang w:val="es-ES"/>
        </w:rPr>
        <w:t>en las dos primeras décadas</w:t>
      </w:r>
      <w:r>
        <w:rPr>
          <w:b/>
          <w:bCs/>
          <w:lang w:val="es-ES"/>
        </w:rPr>
        <w:t xml:space="preserve"> del siglo XXI</w:t>
      </w:r>
    </w:p>
    <w:p w14:paraId="05ED4662" w14:textId="7C9621DB" w:rsidR="003154A9" w:rsidRDefault="003154A9" w:rsidP="00F676DF">
      <w:pPr>
        <w:pStyle w:val="NormalWeb"/>
        <w:spacing w:before="0" w:beforeAutospacing="0" w:after="0" w:afterAutospacing="0" w:line="360" w:lineRule="auto"/>
        <w:contextualSpacing/>
        <w:jc w:val="right"/>
        <w:rPr>
          <w:lang w:val="es-ES"/>
        </w:rPr>
      </w:pPr>
      <w:r>
        <w:rPr>
          <w:lang w:val="es-ES"/>
        </w:rPr>
        <w:t xml:space="preserve">Luciana L. </w:t>
      </w:r>
      <w:proofErr w:type="spellStart"/>
      <w:r>
        <w:rPr>
          <w:lang w:val="es-ES"/>
        </w:rPr>
        <w:t>Contarino</w:t>
      </w:r>
      <w:proofErr w:type="spellEnd"/>
      <w:r>
        <w:rPr>
          <w:lang w:val="es-ES"/>
        </w:rPr>
        <w:t xml:space="preserve"> </w:t>
      </w:r>
      <w:proofErr w:type="spellStart"/>
      <w:r>
        <w:rPr>
          <w:lang w:val="es-ES"/>
        </w:rPr>
        <w:t>Sparta</w:t>
      </w:r>
      <w:proofErr w:type="spellEnd"/>
    </w:p>
    <w:p w14:paraId="269DBC41" w14:textId="74E0015F" w:rsidR="003154A9" w:rsidRDefault="003154A9" w:rsidP="00F676DF">
      <w:pPr>
        <w:pStyle w:val="NormalWeb"/>
        <w:spacing w:before="0" w:beforeAutospacing="0" w:after="0" w:afterAutospacing="0" w:line="360" w:lineRule="auto"/>
        <w:contextualSpacing/>
        <w:jc w:val="right"/>
        <w:rPr>
          <w:lang w:val="es-ES"/>
        </w:rPr>
      </w:pPr>
      <w:r>
        <w:rPr>
          <w:lang w:val="es-ES"/>
        </w:rPr>
        <w:t>UBA/UNSAM</w:t>
      </w:r>
    </w:p>
    <w:p w14:paraId="50A193A5" w14:textId="5A980DB5" w:rsidR="00D82263" w:rsidRDefault="00000000" w:rsidP="00F676DF">
      <w:pPr>
        <w:pStyle w:val="NormalWeb"/>
        <w:spacing w:before="0" w:beforeAutospacing="0" w:after="0" w:afterAutospacing="0" w:line="360" w:lineRule="auto"/>
        <w:contextualSpacing/>
        <w:jc w:val="right"/>
        <w:rPr>
          <w:rStyle w:val="Hipervnculo"/>
          <w:lang w:val="es-ES"/>
        </w:rPr>
      </w:pPr>
      <w:hyperlink r:id="rId7" w:history="1">
        <w:r w:rsidR="00322EE1" w:rsidRPr="00AB392A">
          <w:rPr>
            <w:rStyle w:val="Hipervnculo"/>
            <w:lang w:val="es-ES"/>
          </w:rPr>
          <w:t>llcontarinosparta@hotmail.com</w:t>
        </w:r>
      </w:hyperlink>
    </w:p>
    <w:p w14:paraId="1652B884" w14:textId="7E7D58AC" w:rsidR="000F18B0" w:rsidRDefault="000F18B0" w:rsidP="00F676DF">
      <w:pPr>
        <w:pStyle w:val="NormalWeb"/>
        <w:spacing w:before="0" w:beforeAutospacing="0" w:after="0" w:afterAutospacing="0" w:line="360" w:lineRule="auto"/>
        <w:contextualSpacing/>
        <w:jc w:val="right"/>
        <w:rPr>
          <w:rStyle w:val="Hipervnculo"/>
          <w:lang w:val="es-ES"/>
        </w:rPr>
      </w:pPr>
    </w:p>
    <w:p w14:paraId="712694F5" w14:textId="2223961E" w:rsidR="000F18B0" w:rsidRPr="000F18B0" w:rsidRDefault="000F18B0" w:rsidP="000F18B0">
      <w:pPr>
        <w:pStyle w:val="NormalWeb"/>
        <w:spacing w:before="0" w:beforeAutospacing="0" w:after="0" w:afterAutospacing="0" w:line="360" w:lineRule="auto"/>
        <w:contextualSpacing/>
        <w:rPr>
          <w:b/>
          <w:bCs/>
          <w:lang w:val="es-ES"/>
        </w:rPr>
      </w:pPr>
      <w:proofErr w:type="spellStart"/>
      <w:r>
        <w:rPr>
          <w:b/>
          <w:bCs/>
          <w:lang w:val="es-ES"/>
        </w:rPr>
        <w:t>Abstract</w:t>
      </w:r>
      <w:proofErr w:type="spellEnd"/>
    </w:p>
    <w:p w14:paraId="39263897" w14:textId="18615408" w:rsidR="000F18B0" w:rsidRPr="000F18B0" w:rsidRDefault="000F18B0" w:rsidP="000F18B0">
      <w:pPr>
        <w:pStyle w:val="NormalWeb"/>
        <w:spacing w:before="0" w:beforeAutospacing="0" w:after="0" w:afterAutospacing="0" w:line="360" w:lineRule="auto"/>
        <w:contextualSpacing/>
        <w:jc w:val="both"/>
        <w:rPr>
          <w:lang w:val="es-ES"/>
        </w:rPr>
      </w:pPr>
      <w:r w:rsidRPr="000F18B0">
        <w:rPr>
          <w:lang w:val="es-ES"/>
        </w:rPr>
        <w:t>Cuando transcurría el año 2008, el líder libio, Muamar el Gadafi, y el primer ministro italiano, Silvio Berlusconi, firmaron un acuerdo de cooperación. Públicamente, este tratado fue definido como un pacto de amistad entre ambos países por el cual Roma pagaría al gobierno de Libia cinco mil millones de euros en un período de 20 años como forma de compensación por los perjuicios infligidos al pueblo de este país en el transcurso de tres décadas de colonización. A pesar de este objetivo manifiesto, el tratado debe interpretarse dentro del marco de las políticas europeas crecientemente restrictivas con respecto a los migrantes, dentro de las cuales uno de los hitos principales fue el establecimiento de FRONTEX, la Agencia Europea de Guardia de Fronteras y Costas, en el año 2004. Este sistema fue puesto en práctica con el fin de reforzar la protección de las fronteras exteriores de los países de la Unión Europea y los asociados al Espacio Schengen, pero con una particularidad: el control sería gestionado en gran parte por los gobiernos de los propios países de expulsión de inmigrantes, ya fueran territorios de origen de los desplazados o de paso para alcanzar su destino final. Y esto fue, en realidad, lo que trajo consigo el acercamiento entre Libia e Italia, ya que a cambio de miles de millones de euros y el reconocimiento de su legitimidad política, Gadafi asumió el compromiso de impedir la salida de los potenciales migrantes que pretendieran ingresar a Europa utilizando al territorio de Libia como “trampolín”.  Por ello la Guardia Costera libia fue entrenada y provista con equipamiento y patrullas, mientras que el interior del país se transformó en un corredor al que muchos de los desplazados pudieron ingresar, pero difícilmente salir, ya que quedaron atrapados en una red de centros de detención para inmigrantes o en cárceles financiadas con el dinero recibido de Italia. Aunque Gadafi fue derrocado y asesinado en el año 2011, en el contexto de las revoluciones de la Primavera Árabe, el escenario no cambió. La asunción del Consejo Nacional de Transición (CNT) no trajo consigo modificaciones en lo que hace a la situación de los extranjeros ingresados en Libia para buscar trabajo en su interior o para llegar a territorio europeo a través del Mediterráneo. Es propósito de este trabajo analizar el papel cumplido por Libia durante las dos primeras décadas del siglo XXI en el marco del reforzamiento de la política europea de “</w:t>
      </w:r>
      <w:proofErr w:type="spellStart"/>
      <w:r w:rsidRPr="000F18B0">
        <w:rPr>
          <w:lang w:val="es-ES"/>
        </w:rPr>
        <w:t>securitización</w:t>
      </w:r>
      <w:proofErr w:type="spellEnd"/>
      <w:r w:rsidRPr="000F18B0">
        <w:rPr>
          <w:lang w:val="es-ES"/>
        </w:rPr>
        <w:t xml:space="preserve">”, examinando </w:t>
      </w:r>
      <w:r w:rsidR="00C559C5">
        <w:rPr>
          <w:lang w:val="es-ES"/>
        </w:rPr>
        <w:t>cómo</w:t>
      </w:r>
      <w:r w:rsidRPr="000F18B0">
        <w:rPr>
          <w:lang w:val="es-ES"/>
        </w:rPr>
        <w:t>, a pesar de la inestabilidad política, la difusión de los abusos y la ausencia de garantías, se constituyó en uno de los espacios de tránsito migratorio principales en el norte de África.</w:t>
      </w:r>
    </w:p>
    <w:p w14:paraId="0A55BAF2" w14:textId="4CACA32E" w:rsidR="000F18B0" w:rsidRPr="000F18B0" w:rsidRDefault="000F18B0" w:rsidP="000F18B0">
      <w:pPr>
        <w:pStyle w:val="NormalWeb"/>
        <w:spacing w:before="0" w:beforeAutospacing="0" w:after="0" w:afterAutospacing="0" w:line="360" w:lineRule="auto"/>
        <w:contextualSpacing/>
        <w:jc w:val="both"/>
        <w:rPr>
          <w:lang w:val="es-ES"/>
        </w:rPr>
      </w:pPr>
      <w:r w:rsidRPr="000F18B0">
        <w:rPr>
          <w:lang w:val="es-ES"/>
        </w:rPr>
        <w:t xml:space="preserve">MIGRACIONES – ÁFRICA – </w:t>
      </w:r>
      <w:r w:rsidR="00693C30">
        <w:rPr>
          <w:lang w:val="es-ES"/>
        </w:rPr>
        <w:t>UNIÓN EUROPEA</w:t>
      </w:r>
      <w:r w:rsidRPr="000F18B0">
        <w:rPr>
          <w:lang w:val="es-ES"/>
        </w:rPr>
        <w:t xml:space="preserve"> – SECURITIZACIÓN</w:t>
      </w:r>
    </w:p>
    <w:p w14:paraId="29BFAB95" w14:textId="31C08FD8" w:rsidR="000F18B0" w:rsidRDefault="00C559C5" w:rsidP="000F18B0">
      <w:pPr>
        <w:pStyle w:val="NormalWeb"/>
        <w:spacing w:before="0" w:beforeAutospacing="0" w:after="0" w:afterAutospacing="0" w:line="360" w:lineRule="auto"/>
        <w:contextualSpacing/>
        <w:jc w:val="both"/>
        <w:rPr>
          <w:lang w:val="es-ES"/>
        </w:rPr>
      </w:pPr>
      <w:r>
        <w:rPr>
          <w:lang w:val="es-ES"/>
        </w:rPr>
        <w:lastRenderedPageBreak/>
        <w:t>----------------------------------------------------------------------------------------------------------------------------</w:t>
      </w:r>
    </w:p>
    <w:p w14:paraId="1B8509C4" w14:textId="30AB7723" w:rsidR="004F4792" w:rsidRDefault="004F4792" w:rsidP="00F676DF">
      <w:pPr>
        <w:pStyle w:val="NormalWeb"/>
        <w:spacing w:line="360" w:lineRule="auto"/>
        <w:contextualSpacing/>
        <w:jc w:val="both"/>
        <w:rPr>
          <w:b/>
          <w:bCs/>
          <w:lang w:val="es-ES"/>
        </w:rPr>
      </w:pPr>
    </w:p>
    <w:p w14:paraId="3D063B47" w14:textId="56AF872A" w:rsidR="009F7A28" w:rsidRPr="009F7A28" w:rsidRDefault="009F7A28" w:rsidP="00F676DF">
      <w:pPr>
        <w:pStyle w:val="NormalWeb"/>
        <w:spacing w:line="360" w:lineRule="auto"/>
        <w:contextualSpacing/>
        <w:jc w:val="both"/>
        <w:rPr>
          <w:b/>
          <w:bCs/>
          <w:lang w:val="es-ES"/>
        </w:rPr>
      </w:pPr>
      <w:r>
        <w:rPr>
          <w:b/>
          <w:bCs/>
          <w:lang w:val="es-ES"/>
        </w:rPr>
        <w:t>Los antecedentes</w:t>
      </w:r>
    </w:p>
    <w:p w14:paraId="790014BF" w14:textId="34D43223" w:rsidR="00253C30" w:rsidRDefault="00253C30" w:rsidP="00F676DF">
      <w:pPr>
        <w:pStyle w:val="NormalWeb"/>
        <w:spacing w:line="360" w:lineRule="auto"/>
        <w:contextualSpacing/>
        <w:jc w:val="both"/>
        <w:rPr>
          <w:lang w:val="es-ES"/>
        </w:rPr>
      </w:pPr>
      <w:r>
        <w:rPr>
          <w:lang w:val="es-ES"/>
        </w:rPr>
        <w:tab/>
      </w:r>
      <w:r w:rsidR="002C6A37">
        <w:rPr>
          <w:lang w:val="es-ES"/>
        </w:rPr>
        <w:t xml:space="preserve">Entre </w:t>
      </w:r>
      <w:r w:rsidR="00E62268">
        <w:rPr>
          <w:lang w:val="es-ES"/>
        </w:rPr>
        <w:t xml:space="preserve">los años </w:t>
      </w:r>
      <w:r w:rsidR="002C6A37">
        <w:rPr>
          <w:lang w:val="es-ES"/>
        </w:rPr>
        <w:t xml:space="preserve">2005 y 2006 comenzó a </w:t>
      </w:r>
      <w:r w:rsidR="006177CF">
        <w:rPr>
          <w:lang w:val="es-ES"/>
        </w:rPr>
        <w:t>difundirse</w:t>
      </w:r>
      <w:r w:rsidR="002C6A37">
        <w:rPr>
          <w:lang w:val="es-ES"/>
        </w:rPr>
        <w:t xml:space="preserve"> la palabra “crisis” </w:t>
      </w:r>
      <w:r w:rsidR="006177CF">
        <w:rPr>
          <w:lang w:val="es-ES"/>
        </w:rPr>
        <w:t>en referencia</w:t>
      </w:r>
      <w:r w:rsidR="002C6A37">
        <w:rPr>
          <w:lang w:val="es-ES"/>
        </w:rPr>
        <w:t xml:space="preserve"> a los movimientos migratorios </w:t>
      </w:r>
      <w:r w:rsidR="00D93D3C">
        <w:rPr>
          <w:lang w:val="es-ES"/>
        </w:rPr>
        <w:t>de</w:t>
      </w:r>
      <w:r w:rsidR="006177CF">
        <w:rPr>
          <w:lang w:val="es-ES"/>
        </w:rPr>
        <w:t xml:space="preserve"> </w:t>
      </w:r>
      <w:r w:rsidR="002C6A37">
        <w:rPr>
          <w:lang w:val="es-ES"/>
        </w:rPr>
        <w:t xml:space="preserve">África </w:t>
      </w:r>
      <w:r w:rsidR="00D93D3C">
        <w:rPr>
          <w:lang w:val="es-ES"/>
        </w:rPr>
        <w:t>hacia el</w:t>
      </w:r>
      <w:r w:rsidR="002C6A37">
        <w:rPr>
          <w:lang w:val="es-ES"/>
        </w:rPr>
        <w:t xml:space="preserve"> continente europeo. </w:t>
      </w:r>
      <w:r w:rsidR="00D93D3C">
        <w:rPr>
          <w:lang w:val="es-ES"/>
        </w:rPr>
        <w:t xml:space="preserve">Este término se aplicó a </w:t>
      </w:r>
      <w:r w:rsidR="00E62268">
        <w:rPr>
          <w:lang w:val="es-ES"/>
        </w:rPr>
        <w:t>los intentos</w:t>
      </w:r>
      <w:r w:rsidR="00FD292F">
        <w:rPr>
          <w:lang w:val="es-ES"/>
        </w:rPr>
        <w:t xml:space="preserve"> de saltar la valla </w:t>
      </w:r>
      <w:r w:rsidR="00781F6E">
        <w:rPr>
          <w:lang w:val="es-ES"/>
        </w:rPr>
        <w:t xml:space="preserve">que separa a la ciudad española de </w:t>
      </w:r>
      <w:r w:rsidR="00FD292F">
        <w:rPr>
          <w:lang w:val="es-ES"/>
        </w:rPr>
        <w:t>Ceuta</w:t>
      </w:r>
      <w:r w:rsidR="00781F6E">
        <w:rPr>
          <w:lang w:val="es-ES"/>
        </w:rPr>
        <w:t xml:space="preserve"> del territorio de Marruecos, donde est</w:t>
      </w:r>
      <w:r w:rsidR="00B5594E">
        <w:rPr>
          <w:lang w:val="es-ES"/>
        </w:rPr>
        <w:t>á</w:t>
      </w:r>
      <w:r w:rsidR="00781F6E">
        <w:rPr>
          <w:lang w:val="es-ES"/>
        </w:rPr>
        <w:t xml:space="preserve"> físicamente inserta, </w:t>
      </w:r>
      <w:r w:rsidR="00D93D3C">
        <w:rPr>
          <w:lang w:val="es-ES"/>
        </w:rPr>
        <w:t xml:space="preserve">los cuales fueron </w:t>
      </w:r>
      <w:r w:rsidR="00781F6E">
        <w:rPr>
          <w:lang w:val="es-ES"/>
        </w:rPr>
        <w:t>protagonizado</w:t>
      </w:r>
      <w:r w:rsidR="00E62268">
        <w:rPr>
          <w:lang w:val="es-ES"/>
        </w:rPr>
        <w:t>s</w:t>
      </w:r>
      <w:r w:rsidR="00781F6E">
        <w:rPr>
          <w:lang w:val="es-ES"/>
        </w:rPr>
        <w:t xml:space="preserve"> por varios cientos de africanos</w:t>
      </w:r>
      <w:r w:rsidR="00E62268">
        <w:rPr>
          <w:lang w:val="es-ES"/>
        </w:rPr>
        <w:t xml:space="preserve"> en septiembre de 2005</w:t>
      </w:r>
      <w:r w:rsidR="00D93D3C">
        <w:rPr>
          <w:lang w:val="es-ES"/>
        </w:rPr>
        <w:t xml:space="preserve">. Tales circunstancias </w:t>
      </w:r>
      <w:r w:rsidR="006C53FE">
        <w:rPr>
          <w:lang w:val="es-ES"/>
        </w:rPr>
        <w:t>se vi</w:t>
      </w:r>
      <w:r w:rsidR="00D93D3C">
        <w:rPr>
          <w:lang w:val="es-ES"/>
        </w:rPr>
        <w:t>eron</w:t>
      </w:r>
      <w:r w:rsidR="00781F6E">
        <w:rPr>
          <w:lang w:val="es-ES"/>
        </w:rPr>
        <w:t xml:space="preserve"> replicad</w:t>
      </w:r>
      <w:r w:rsidR="00D93D3C">
        <w:rPr>
          <w:lang w:val="es-ES"/>
        </w:rPr>
        <w:t>as</w:t>
      </w:r>
      <w:r w:rsidR="00781F6E">
        <w:rPr>
          <w:lang w:val="es-ES"/>
        </w:rPr>
        <w:t xml:space="preserve"> </w:t>
      </w:r>
      <w:r w:rsidR="0013134B">
        <w:rPr>
          <w:lang w:val="es-ES"/>
        </w:rPr>
        <w:t xml:space="preserve">al mes siguiente en </w:t>
      </w:r>
      <w:r w:rsidR="00D93D3C">
        <w:rPr>
          <w:lang w:val="es-ES"/>
        </w:rPr>
        <w:t>la</w:t>
      </w:r>
      <w:r w:rsidR="0013134B">
        <w:rPr>
          <w:lang w:val="es-ES"/>
        </w:rPr>
        <w:t xml:space="preserve"> ciudad autónoma de Melilla</w:t>
      </w:r>
      <w:r w:rsidR="00C00F9F">
        <w:rPr>
          <w:lang w:val="es-ES"/>
        </w:rPr>
        <w:t xml:space="preserve">. </w:t>
      </w:r>
      <w:r w:rsidR="00D93D3C">
        <w:rPr>
          <w:lang w:val="es-ES"/>
        </w:rPr>
        <w:t xml:space="preserve">También se describió como “crisis” a </w:t>
      </w:r>
      <w:r w:rsidR="00FB6830">
        <w:rPr>
          <w:lang w:val="es-ES"/>
        </w:rPr>
        <w:t>la llegada de 31.678</w:t>
      </w:r>
      <w:r w:rsidR="00C51F60">
        <w:rPr>
          <w:lang w:val="es-ES"/>
        </w:rPr>
        <w:t xml:space="preserve"> desplazados a bordo de cayucos desde el continente africano</w:t>
      </w:r>
      <w:r w:rsidR="00FB6830">
        <w:rPr>
          <w:lang w:val="es-ES"/>
        </w:rPr>
        <w:t xml:space="preserve"> a las islas Canarias </w:t>
      </w:r>
      <w:r w:rsidR="00C51F60">
        <w:rPr>
          <w:lang w:val="es-ES"/>
        </w:rPr>
        <w:t>a lo largo del año 2006</w:t>
      </w:r>
      <w:r w:rsidR="00FB6830">
        <w:rPr>
          <w:lang w:val="es-ES"/>
        </w:rPr>
        <w:t>.</w:t>
      </w:r>
    </w:p>
    <w:p w14:paraId="66CE1E04" w14:textId="03E1B883" w:rsidR="00FB6830" w:rsidRDefault="00FB6830" w:rsidP="00F676DF">
      <w:pPr>
        <w:pStyle w:val="NormalWeb"/>
        <w:spacing w:line="360" w:lineRule="auto"/>
        <w:contextualSpacing/>
        <w:jc w:val="both"/>
        <w:rPr>
          <w:lang w:val="es-ES"/>
        </w:rPr>
      </w:pPr>
      <w:r>
        <w:rPr>
          <w:lang w:val="es-ES"/>
        </w:rPr>
        <w:tab/>
        <w:t xml:space="preserve">Con grandes titulares </w:t>
      </w:r>
      <w:r w:rsidR="001C532D">
        <w:rPr>
          <w:lang w:val="es-ES"/>
        </w:rPr>
        <w:t>se publicaron</w:t>
      </w:r>
      <w:r>
        <w:rPr>
          <w:lang w:val="es-ES"/>
        </w:rPr>
        <w:t xml:space="preserve"> </w:t>
      </w:r>
      <w:r w:rsidR="006C53FE">
        <w:rPr>
          <w:lang w:val="es-ES"/>
        </w:rPr>
        <w:t>en los medios las noticias sobre las llamadas</w:t>
      </w:r>
      <w:r>
        <w:rPr>
          <w:lang w:val="es-ES"/>
        </w:rPr>
        <w:t xml:space="preserve"> </w:t>
      </w:r>
      <w:r w:rsidR="0092662A">
        <w:rPr>
          <w:lang w:val="es-ES"/>
        </w:rPr>
        <w:t>“crisis de las vallas” y “crisis de los cayucos”</w:t>
      </w:r>
      <w:r w:rsidR="006C53FE">
        <w:rPr>
          <w:lang w:val="es-ES"/>
        </w:rPr>
        <w:t xml:space="preserve">. </w:t>
      </w:r>
      <w:r w:rsidR="007B1207">
        <w:rPr>
          <w:lang w:val="es-ES"/>
        </w:rPr>
        <w:t xml:space="preserve"> </w:t>
      </w:r>
      <w:r w:rsidR="00D93D3C">
        <w:rPr>
          <w:lang w:val="es-ES"/>
        </w:rPr>
        <w:t xml:space="preserve">Sin embargo, </w:t>
      </w:r>
      <w:r w:rsidR="009B73D7">
        <w:rPr>
          <w:lang w:val="es-ES"/>
        </w:rPr>
        <w:t xml:space="preserve">¿puede considerarse un término apropiado? </w:t>
      </w:r>
      <w:r w:rsidR="00701F34">
        <w:rPr>
          <w:lang w:val="es-ES"/>
        </w:rPr>
        <w:t xml:space="preserve"> </w:t>
      </w:r>
      <w:r w:rsidR="007B1207">
        <w:rPr>
          <w:lang w:val="es-ES"/>
        </w:rPr>
        <w:t xml:space="preserve">En lo que respecta a </w:t>
      </w:r>
      <w:r w:rsidR="00E62268">
        <w:rPr>
          <w:lang w:val="es-ES"/>
        </w:rPr>
        <w:t xml:space="preserve">los arribos </w:t>
      </w:r>
      <w:r w:rsidR="007B1207">
        <w:rPr>
          <w:lang w:val="es-ES"/>
        </w:rPr>
        <w:t xml:space="preserve">a las islas Canarias, </w:t>
      </w:r>
      <w:r w:rsidR="001C532D">
        <w:rPr>
          <w:lang w:val="es-ES"/>
        </w:rPr>
        <w:t>es cierto que</w:t>
      </w:r>
      <w:r w:rsidR="007B1207">
        <w:rPr>
          <w:lang w:val="es-ES"/>
        </w:rPr>
        <w:t xml:space="preserve"> se regis</w:t>
      </w:r>
      <w:r w:rsidR="005913B2">
        <w:rPr>
          <w:lang w:val="es-ES"/>
        </w:rPr>
        <w:t>t</w:t>
      </w:r>
      <w:r w:rsidR="007B1207">
        <w:rPr>
          <w:lang w:val="es-ES"/>
        </w:rPr>
        <w:t xml:space="preserve">ró un incremento </w:t>
      </w:r>
      <w:r w:rsidR="005913B2">
        <w:rPr>
          <w:lang w:val="es-ES"/>
        </w:rPr>
        <w:t>significativo</w:t>
      </w:r>
      <w:r w:rsidR="009919DD">
        <w:rPr>
          <w:lang w:val="es-ES"/>
        </w:rPr>
        <w:t xml:space="preserve"> de migrantes irregulares</w:t>
      </w:r>
      <w:r w:rsidR="005913B2">
        <w:rPr>
          <w:lang w:val="es-ES"/>
        </w:rPr>
        <w:t xml:space="preserve"> con relación al año anterior, cuando </w:t>
      </w:r>
      <w:r w:rsidR="002019E3">
        <w:rPr>
          <w:lang w:val="es-ES"/>
        </w:rPr>
        <w:t>habían ingresado</w:t>
      </w:r>
      <w:r w:rsidR="00E62268">
        <w:rPr>
          <w:lang w:val="es-ES"/>
        </w:rPr>
        <w:t xml:space="preserve"> al archipiélago</w:t>
      </w:r>
      <w:r w:rsidR="005913B2">
        <w:rPr>
          <w:lang w:val="es-ES"/>
        </w:rPr>
        <w:t xml:space="preserve"> 4.715</w:t>
      </w:r>
      <w:r w:rsidR="002019E3">
        <w:rPr>
          <w:lang w:val="es-ES"/>
        </w:rPr>
        <w:t xml:space="preserve"> personas</w:t>
      </w:r>
      <w:r w:rsidR="009B73D7">
        <w:rPr>
          <w:lang w:val="es-ES"/>
        </w:rPr>
        <w:t>.</w:t>
      </w:r>
      <w:r w:rsidR="005913B2">
        <w:rPr>
          <w:rStyle w:val="Refdenotaalpie"/>
          <w:lang w:val="es-ES"/>
        </w:rPr>
        <w:footnoteReference w:id="1"/>
      </w:r>
      <w:r w:rsidR="005913B2">
        <w:rPr>
          <w:lang w:val="es-ES"/>
        </w:rPr>
        <w:t xml:space="preserve"> </w:t>
      </w:r>
      <w:r w:rsidR="00B631EC">
        <w:rPr>
          <w:lang w:val="es-ES"/>
        </w:rPr>
        <w:t xml:space="preserve">De todos modos, se trató de una cifra inferior al 5% de la totalidad de los inmigrantes </w:t>
      </w:r>
      <w:r w:rsidR="00E62268">
        <w:rPr>
          <w:lang w:val="es-ES"/>
        </w:rPr>
        <w:t xml:space="preserve">que llegaron </w:t>
      </w:r>
      <w:r w:rsidR="00B631EC">
        <w:rPr>
          <w:lang w:val="es-ES"/>
        </w:rPr>
        <w:t xml:space="preserve">en 2006 </w:t>
      </w:r>
      <w:r w:rsidR="00E62268">
        <w:rPr>
          <w:lang w:val="es-ES"/>
        </w:rPr>
        <w:t>a</w:t>
      </w:r>
      <w:r w:rsidR="00B631EC">
        <w:rPr>
          <w:lang w:val="es-ES"/>
        </w:rPr>
        <w:t xml:space="preserve"> España, </w:t>
      </w:r>
      <w:r w:rsidR="00E62268">
        <w:rPr>
          <w:lang w:val="es-ES"/>
        </w:rPr>
        <w:t xml:space="preserve">donde </w:t>
      </w:r>
      <w:r w:rsidR="002019E3">
        <w:rPr>
          <w:lang w:val="es-ES"/>
        </w:rPr>
        <w:t xml:space="preserve">ese año </w:t>
      </w:r>
      <w:r w:rsidR="00701F34">
        <w:rPr>
          <w:lang w:val="es-ES"/>
        </w:rPr>
        <w:t>ingresaron</w:t>
      </w:r>
      <w:r w:rsidR="00B631EC">
        <w:rPr>
          <w:lang w:val="es-ES"/>
        </w:rPr>
        <w:t xml:space="preserve"> 840.844 </w:t>
      </w:r>
      <w:r w:rsidR="002019E3">
        <w:rPr>
          <w:lang w:val="es-ES"/>
        </w:rPr>
        <w:t>migrantes</w:t>
      </w:r>
      <w:r w:rsidR="00B631EC">
        <w:rPr>
          <w:rStyle w:val="Refdenotaalpie"/>
          <w:lang w:val="es-ES"/>
        </w:rPr>
        <w:footnoteReference w:id="2"/>
      </w:r>
      <w:r w:rsidR="007773B5">
        <w:rPr>
          <w:lang w:val="es-ES"/>
        </w:rPr>
        <w:t xml:space="preserve">. </w:t>
      </w:r>
      <w:r w:rsidR="00ED5D8C">
        <w:rPr>
          <w:lang w:val="es-ES"/>
        </w:rPr>
        <w:t xml:space="preserve">Y, en lo que </w:t>
      </w:r>
      <w:r w:rsidR="00701F34">
        <w:rPr>
          <w:lang w:val="es-ES"/>
        </w:rPr>
        <w:t>hace</w:t>
      </w:r>
      <w:r w:rsidR="00ED5D8C">
        <w:rPr>
          <w:lang w:val="es-ES"/>
        </w:rPr>
        <w:t xml:space="preserve"> </w:t>
      </w:r>
      <w:r w:rsidR="00167DE5">
        <w:rPr>
          <w:lang w:val="es-ES"/>
        </w:rPr>
        <w:t xml:space="preserve">a los casos </w:t>
      </w:r>
      <w:r w:rsidR="0032288C">
        <w:rPr>
          <w:lang w:val="es-ES"/>
        </w:rPr>
        <w:t>de las comunidades autónomas españolas</w:t>
      </w:r>
      <w:r w:rsidR="009B73D7">
        <w:rPr>
          <w:lang w:val="es-ES"/>
        </w:rPr>
        <w:t xml:space="preserve"> </w:t>
      </w:r>
      <w:r w:rsidR="00701F34">
        <w:rPr>
          <w:lang w:val="es-ES"/>
        </w:rPr>
        <w:t>insertas en el territorio de Marruecos</w:t>
      </w:r>
      <w:r w:rsidR="009B73D7">
        <w:rPr>
          <w:lang w:val="es-ES"/>
        </w:rPr>
        <w:t>,</w:t>
      </w:r>
      <w:r w:rsidR="0032288C">
        <w:rPr>
          <w:lang w:val="es-ES"/>
        </w:rPr>
        <w:t xml:space="preserve"> </w:t>
      </w:r>
      <w:r w:rsidR="00167DE5">
        <w:rPr>
          <w:lang w:val="es-ES"/>
        </w:rPr>
        <w:t xml:space="preserve">se calcula que las llamadas </w:t>
      </w:r>
      <w:r w:rsidR="00167DE5" w:rsidRPr="00C51F60">
        <w:rPr>
          <w:i/>
          <w:iCs/>
          <w:lang w:val="es-ES"/>
        </w:rPr>
        <w:t>“avalanchas”</w:t>
      </w:r>
      <w:r w:rsidR="00701F34">
        <w:rPr>
          <w:i/>
          <w:iCs/>
          <w:lang w:val="es-ES"/>
        </w:rPr>
        <w:t xml:space="preserve"> </w:t>
      </w:r>
      <w:r w:rsidR="00376ED8">
        <w:rPr>
          <w:lang w:val="es-ES"/>
        </w:rPr>
        <w:t xml:space="preserve">(Abad y Rodríguez: 29-09-2005) </w:t>
      </w:r>
      <w:r w:rsidR="00701F34">
        <w:rPr>
          <w:lang w:val="es-ES"/>
        </w:rPr>
        <w:t>consistieron en</w:t>
      </w:r>
      <w:r w:rsidR="005E1C87">
        <w:rPr>
          <w:lang w:val="es-ES"/>
        </w:rPr>
        <w:t xml:space="preserve"> unos seiscientos africanos subsaharianos que buscaron ingresar a Ceuta en septiembre de 2005, cinco de los cuales fueron asesinados por la guardia marroquí (El Mundo: 24-09-1005), y otros mil</w:t>
      </w:r>
      <w:r w:rsidR="0032288C">
        <w:rPr>
          <w:lang w:val="es-ES"/>
        </w:rPr>
        <w:t xml:space="preserve"> </w:t>
      </w:r>
      <w:r w:rsidR="00701F34">
        <w:rPr>
          <w:lang w:val="es-ES"/>
        </w:rPr>
        <w:t xml:space="preserve">que </w:t>
      </w:r>
      <w:r w:rsidR="005E1C87">
        <w:rPr>
          <w:lang w:val="es-ES"/>
        </w:rPr>
        <w:t>intentaron saltar la valla</w:t>
      </w:r>
      <w:r w:rsidR="00E62268">
        <w:rPr>
          <w:lang w:val="es-ES"/>
        </w:rPr>
        <w:t xml:space="preserve"> </w:t>
      </w:r>
      <w:r w:rsidR="002019E3">
        <w:rPr>
          <w:lang w:val="es-ES"/>
        </w:rPr>
        <w:t xml:space="preserve">de </w:t>
      </w:r>
      <w:r w:rsidR="0032288C">
        <w:rPr>
          <w:lang w:val="es-ES"/>
        </w:rPr>
        <w:t>Melilla</w:t>
      </w:r>
      <w:r w:rsidR="005C4187">
        <w:rPr>
          <w:lang w:val="es-ES"/>
        </w:rPr>
        <w:t xml:space="preserve"> </w:t>
      </w:r>
      <w:r w:rsidR="0032288C">
        <w:rPr>
          <w:lang w:val="es-ES"/>
        </w:rPr>
        <w:t xml:space="preserve">a lo largo de dos semanas del mes de octubre </w:t>
      </w:r>
      <w:r w:rsidR="005E1C87">
        <w:rPr>
          <w:lang w:val="es-ES"/>
        </w:rPr>
        <w:t>de ese mismo año</w:t>
      </w:r>
      <w:r w:rsidR="00C62A9B">
        <w:rPr>
          <w:lang w:val="es-ES"/>
        </w:rPr>
        <w:t xml:space="preserve">, </w:t>
      </w:r>
      <w:r w:rsidR="00623860">
        <w:rPr>
          <w:lang w:val="es-ES"/>
        </w:rPr>
        <w:t xml:space="preserve">catorce </w:t>
      </w:r>
      <w:r w:rsidR="002019E3">
        <w:rPr>
          <w:lang w:val="es-ES"/>
        </w:rPr>
        <w:t>de los cuales fueron abatidos</w:t>
      </w:r>
      <w:r w:rsidR="005E1C87">
        <w:rPr>
          <w:lang w:val="es-ES"/>
        </w:rPr>
        <w:t xml:space="preserve"> (González García, 2006: 264)</w:t>
      </w:r>
      <w:r w:rsidR="00623860">
        <w:rPr>
          <w:lang w:val="es-ES"/>
        </w:rPr>
        <w:t>.</w:t>
      </w:r>
      <w:r w:rsidR="00C237D0">
        <w:rPr>
          <w:lang w:val="es-ES"/>
        </w:rPr>
        <w:t xml:space="preserve"> </w:t>
      </w:r>
      <w:r w:rsidR="005E1C87">
        <w:rPr>
          <w:lang w:val="es-ES"/>
        </w:rPr>
        <w:t xml:space="preserve">Estas exiguas cifras muestran que, en lugar de </w:t>
      </w:r>
      <w:r w:rsidR="008952E3">
        <w:rPr>
          <w:lang w:val="es-ES"/>
        </w:rPr>
        <w:t>“crisis”, se trató de</w:t>
      </w:r>
      <w:r w:rsidR="0092662A">
        <w:rPr>
          <w:lang w:val="es-ES"/>
        </w:rPr>
        <w:t xml:space="preserve"> </w:t>
      </w:r>
      <w:r w:rsidR="008952E3">
        <w:rPr>
          <w:lang w:val="es-ES"/>
        </w:rPr>
        <w:t>desplazamientos que</w:t>
      </w:r>
      <w:r w:rsidR="0092662A">
        <w:rPr>
          <w:lang w:val="es-ES"/>
        </w:rPr>
        <w:t xml:space="preserve"> alimentaron el llamado </w:t>
      </w:r>
      <w:r w:rsidR="0092662A" w:rsidRPr="00FD7500">
        <w:rPr>
          <w:i/>
          <w:iCs/>
          <w:lang w:val="es-ES"/>
        </w:rPr>
        <w:t>“mito de la invasión”</w:t>
      </w:r>
      <w:r w:rsidR="0092662A">
        <w:rPr>
          <w:lang w:val="es-ES"/>
        </w:rPr>
        <w:t xml:space="preserve">, </w:t>
      </w:r>
      <w:r w:rsidR="008327F5">
        <w:rPr>
          <w:lang w:val="es-ES"/>
        </w:rPr>
        <w:t>basado en</w:t>
      </w:r>
      <w:r w:rsidR="0092662A">
        <w:rPr>
          <w:lang w:val="es-ES"/>
        </w:rPr>
        <w:t xml:space="preserve"> </w:t>
      </w:r>
      <w:r w:rsidR="0092662A" w:rsidRPr="00FD7500">
        <w:rPr>
          <w:i/>
          <w:iCs/>
          <w:lang w:val="es-ES"/>
        </w:rPr>
        <w:t>“representaciones apocalípticas</w:t>
      </w:r>
      <w:r w:rsidR="003F176C" w:rsidRPr="00FD7500">
        <w:rPr>
          <w:i/>
          <w:iCs/>
          <w:lang w:val="es-ES"/>
        </w:rPr>
        <w:t>, básicamente erróneas,</w:t>
      </w:r>
      <w:r w:rsidR="0092662A" w:rsidRPr="00FD7500">
        <w:rPr>
          <w:i/>
          <w:iCs/>
          <w:lang w:val="es-ES"/>
        </w:rPr>
        <w:t xml:space="preserve"> de éxodos masivos de africanos desesperados empujados fuera del continente por la pobreza, la guerra </w:t>
      </w:r>
      <w:r w:rsidR="008327F5" w:rsidRPr="00FD7500">
        <w:rPr>
          <w:i/>
          <w:iCs/>
          <w:lang w:val="es-ES"/>
        </w:rPr>
        <w:t>y las sequías”</w:t>
      </w:r>
      <w:r w:rsidR="00E62268">
        <w:rPr>
          <w:lang w:val="es-ES"/>
        </w:rPr>
        <w:t xml:space="preserve"> </w:t>
      </w:r>
      <w:r w:rsidR="00EA41C7">
        <w:rPr>
          <w:lang w:val="es-ES"/>
        </w:rPr>
        <w:t>(De Haas, 200</w:t>
      </w:r>
      <w:r w:rsidR="00E32835">
        <w:rPr>
          <w:lang w:val="es-ES"/>
        </w:rPr>
        <w:t>7: 1317</w:t>
      </w:r>
      <w:r w:rsidR="00EA41C7">
        <w:rPr>
          <w:lang w:val="es-ES"/>
        </w:rPr>
        <w:t>)</w:t>
      </w:r>
      <w:r w:rsidR="00E32835">
        <w:rPr>
          <w:lang w:val="es-ES"/>
        </w:rPr>
        <w:t>.</w:t>
      </w:r>
    </w:p>
    <w:p w14:paraId="1D30ABEB" w14:textId="1A915C42" w:rsidR="00564059" w:rsidRPr="00456023" w:rsidRDefault="00914843" w:rsidP="00F676DF">
      <w:pPr>
        <w:pStyle w:val="NormalWeb"/>
        <w:spacing w:line="360" w:lineRule="auto"/>
        <w:contextualSpacing/>
        <w:jc w:val="both"/>
        <w:rPr>
          <w:lang w:val="es-ES"/>
        </w:rPr>
      </w:pPr>
      <w:r>
        <w:rPr>
          <w:lang w:val="es-ES"/>
        </w:rPr>
        <w:tab/>
      </w:r>
      <w:r w:rsidR="00DC0CF7">
        <w:rPr>
          <w:lang w:val="es-ES"/>
        </w:rPr>
        <w:t>Estas imágenes</w:t>
      </w:r>
      <w:r w:rsidR="008952E3">
        <w:rPr>
          <w:lang w:val="es-ES"/>
        </w:rPr>
        <w:t xml:space="preserve"> </w:t>
      </w:r>
      <w:r w:rsidR="00DC0CF7">
        <w:rPr>
          <w:lang w:val="es-ES"/>
        </w:rPr>
        <w:t>forma</w:t>
      </w:r>
      <w:r w:rsidR="003F176C">
        <w:rPr>
          <w:lang w:val="es-ES"/>
        </w:rPr>
        <w:t>ron</w:t>
      </w:r>
      <w:r w:rsidR="00DC0CF7">
        <w:rPr>
          <w:lang w:val="es-ES"/>
        </w:rPr>
        <w:t xml:space="preserve"> parte de los presupuestos ideológicos que avalaron la cons</w:t>
      </w:r>
      <w:r w:rsidR="003F176C">
        <w:rPr>
          <w:lang w:val="es-ES"/>
        </w:rPr>
        <w:t>t</w:t>
      </w:r>
      <w:r w:rsidR="00DC0CF7">
        <w:rPr>
          <w:lang w:val="es-ES"/>
        </w:rPr>
        <w:t>rucción</w:t>
      </w:r>
      <w:r>
        <w:rPr>
          <w:lang w:val="es-ES"/>
        </w:rPr>
        <w:t xml:space="preserve"> </w:t>
      </w:r>
      <w:r w:rsidR="00DC0CF7">
        <w:rPr>
          <w:lang w:val="es-ES"/>
        </w:rPr>
        <w:t>de la llamada “Europa Fortaleza”</w:t>
      </w:r>
      <w:r w:rsidR="006E23FA">
        <w:rPr>
          <w:lang w:val="es-ES"/>
        </w:rPr>
        <w:t xml:space="preserve">, </w:t>
      </w:r>
      <w:r w:rsidR="004B3D55">
        <w:rPr>
          <w:lang w:val="es-ES"/>
        </w:rPr>
        <w:t xml:space="preserve">o sea, </w:t>
      </w:r>
      <w:r w:rsidR="00B73436">
        <w:rPr>
          <w:lang w:val="es-ES"/>
        </w:rPr>
        <w:t>de un continente</w:t>
      </w:r>
      <w:r w:rsidR="004B3D55">
        <w:rPr>
          <w:lang w:val="es-ES"/>
        </w:rPr>
        <w:t xml:space="preserve"> cerra</w:t>
      </w:r>
      <w:r w:rsidR="00B73436">
        <w:rPr>
          <w:lang w:val="es-ES"/>
        </w:rPr>
        <w:t>do</w:t>
      </w:r>
      <w:r w:rsidR="004B3D55">
        <w:rPr>
          <w:lang w:val="es-ES"/>
        </w:rPr>
        <w:t xml:space="preserve"> o, al menos, </w:t>
      </w:r>
      <w:r w:rsidR="00B73436">
        <w:rPr>
          <w:lang w:val="es-ES"/>
        </w:rPr>
        <w:t>de</w:t>
      </w:r>
      <w:r w:rsidR="004B3D55">
        <w:rPr>
          <w:lang w:val="es-ES"/>
        </w:rPr>
        <w:t xml:space="preserve"> muy difícil </w:t>
      </w:r>
      <w:r w:rsidR="00B73436">
        <w:rPr>
          <w:lang w:val="es-ES"/>
        </w:rPr>
        <w:t>acceso para</w:t>
      </w:r>
      <w:r w:rsidR="004B3D55">
        <w:rPr>
          <w:lang w:val="es-ES"/>
        </w:rPr>
        <w:t xml:space="preserve"> los potenciales migrantes</w:t>
      </w:r>
      <w:r w:rsidR="00B73436">
        <w:rPr>
          <w:lang w:val="es-ES"/>
        </w:rPr>
        <w:t xml:space="preserve"> extranjeros</w:t>
      </w:r>
      <w:r w:rsidR="00F977F2">
        <w:rPr>
          <w:lang w:val="es-ES"/>
        </w:rPr>
        <w:t xml:space="preserve">. Frente a la difundida idea de </w:t>
      </w:r>
      <w:r w:rsidR="00456023" w:rsidRPr="00456023">
        <w:rPr>
          <w:i/>
          <w:iCs/>
          <w:lang w:val="es-ES"/>
        </w:rPr>
        <w:t>“</w:t>
      </w:r>
      <w:r w:rsidR="00456023" w:rsidRPr="00456023">
        <w:rPr>
          <w:i/>
          <w:iCs/>
        </w:rPr>
        <w:t>una Europa abierta y respetuosa con los derechos humanos</w:t>
      </w:r>
      <w:r w:rsidR="00F977F2">
        <w:rPr>
          <w:i/>
          <w:iCs/>
          <w:lang w:val="es-ES"/>
        </w:rPr>
        <w:t>”</w:t>
      </w:r>
      <w:r w:rsidR="00456023" w:rsidRPr="00456023">
        <w:rPr>
          <w:i/>
          <w:iCs/>
        </w:rPr>
        <w:t xml:space="preserve">, </w:t>
      </w:r>
      <w:r w:rsidR="00F977F2">
        <w:rPr>
          <w:lang w:val="es-ES"/>
        </w:rPr>
        <w:t xml:space="preserve">en la práctica se puso en evidencia </w:t>
      </w:r>
      <w:r w:rsidR="00F977F2">
        <w:rPr>
          <w:i/>
          <w:iCs/>
          <w:lang w:val="es-ES"/>
        </w:rPr>
        <w:t>“</w:t>
      </w:r>
      <w:r w:rsidR="00456023" w:rsidRPr="00456023">
        <w:rPr>
          <w:i/>
          <w:iCs/>
        </w:rPr>
        <w:t>la victoria de una Europa falsamente supranacional</w:t>
      </w:r>
      <w:r w:rsidR="00456023" w:rsidRPr="00456023">
        <w:rPr>
          <w:i/>
          <w:iCs/>
          <w:lang w:val="es-ES"/>
        </w:rPr>
        <w:t xml:space="preserve">” </w:t>
      </w:r>
      <w:r w:rsidR="00456023" w:rsidRPr="00456023">
        <w:rPr>
          <w:lang w:val="es-ES"/>
        </w:rPr>
        <w:t>(</w:t>
      </w:r>
      <w:proofErr w:type="spellStart"/>
      <w:r w:rsidR="00456023" w:rsidRPr="00456023">
        <w:rPr>
          <w:lang w:val="es-ES"/>
        </w:rPr>
        <w:t>Cerigioni</w:t>
      </w:r>
      <w:proofErr w:type="spellEnd"/>
      <w:r w:rsidR="00456023" w:rsidRPr="00456023">
        <w:rPr>
          <w:lang w:val="es-ES"/>
        </w:rPr>
        <w:t>, 2004: 3)</w:t>
      </w:r>
      <w:r w:rsidR="00B73436">
        <w:rPr>
          <w:lang w:val="es-ES"/>
        </w:rPr>
        <w:t>.</w:t>
      </w:r>
      <w:r w:rsidR="00456023">
        <w:rPr>
          <w:lang w:val="es-ES"/>
        </w:rPr>
        <w:t xml:space="preserve"> En torno a esta</w:t>
      </w:r>
      <w:r w:rsidR="004B3D55">
        <w:rPr>
          <w:lang w:val="es-ES"/>
        </w:rPr>
        <w:t xml:space="preserve"> </w:t>
      </w:r>
      <w:r w:rsidR="00BC5FC2">
        <w:rPr>
          <w:lang w:val="es-ES"/>
        </w:rPr>
        <w:t xml:space="preserve">idea </w:t>
      </w:r>
      <w:r w:rsidR="00B73436">
        <w:rPr>
          <w:lang w:val="es-ES"/>
        </w:rPr>
        <w:t>se gestó</w:t>
      </w:r>
      <w:r w:rsidR="00BC5FC2">
        <w:rPr>
          <w:lang w:val="es-ES"/>
        </w:rPr>
        <w:t xml:space="preserve"> el concepto de </w:t>
      </w:r>
      <w:r w:rsidR="00E2253E" w:rsidRPr="009919DD">
        <w:rPr>
          <w:i/>
          <w:iCs/>
          <w:lang w:val="es-ES"/>
        </w:rPr>
        <w:t>“</w:t>
      </w:r>
      <w:proofErr w:type="spellStart"/>
      <w:r w:rsidR="00E2253E" w:rsidRPr="009919DD">
        <w:rPr>
          <w:i/>
          <w:iCs/>
          <w:lang w:val="es-ES"/>
        </w:rPr>
        <w:t>securitización</w:t>
      </w:r>
      <w:proofErr w:type="spellEnd"/>
      <w:r w:rsidR="00E2253E" w:rsidRPr="009919DD">
        <w:rPr>
          <w:i/>
          <w:iCs/>
          <w:lang w:val="es-ES"/>
        </w:rPr>
        <w:t>”</w:t>
      </w:r>
      <w:r w:rsidR="00E2253E">
        <w:rPr>
          <w:lang w:val="es-ES"/>
        </w:rPr>
        <w:t xml:space="preserve">, </w:t>
      </w:r>
      <w:r w:rsidR="00E2176C">
        <w:rPr>
          <w:lang w:val="es-ES"/>
        </w:rPr>
        <w:t>por el cual se justificó</w:t>
      </w:r>
      <w:r w:rsidR="00E00D71">
        <w:rPr>
          <w:lang w:val="es-ES"/>
        </w:rPr>
        <w:t xml:space="preserve"> la aplicación de políticas </w:t>
      </w:r>
      <w:r w:rsidR="00E02E8E">
        <w:rPr>
          <w:lang w:val="es-ES"/>
        </w:rPr>
        <w:t>que consideraron a</w:t>
      </w:r>
      <w:r w:rsidR="00677AAA">
        <w:rPr>
          <w:lang w:val="es-ES"/>
        </w:rPr>
        <w:t xml:space="preserve"> la migración internacional </w:t>
      </w:r>
      <w:r w:rsidR="00677AAA" w:rsidRPr="00456023">
        <w:rPr>
          <w:i/>
          <w:iCs/>
          <w:lang w:val="es-ES"/>
        </w:rPr>
        <w:t>“como un asunto de seguridad por representar una amenaza”</w:t>
      </w:r>
      <w:r w:rsidR="00456023" w:rsidRPr="00456023">
        <w:rPr>
          <w:i/>
          <w:iCs/>
          <w:lang w:val="es-ES"/>
        </w:rPr>
        <w:t xml:space="preserve"> </w:t>
      </w:r>
      <w:r w:rsidR="00456023">
        <w:rPr>
          <w:lang w:val="es-ES"/>
        </w:rPr>
        <w:t>(Treviño Rangel, 2016: 254)</w:t>
      </w:r>
      <w:r w:rsidR="00E2176C">
        <w:rPr>
          <w:lang w:val="es-ES"/>
        </w:rPr>
        <w:t xml:space="preserve">. </w:t>
      </w:r>
      <w:r w:rsidR="00C67CAE">
        <w:rPr>
          <w:lang w:val="es-ES"/>
        </w:rPr>
        <w:t xml:space="preserve">Esto se tradujo </w:t>
      </w:r>
      <w:r w:rsidR="00893EE2">
        <w:rPr>
          <w:lang w:val="es-ES"/>
        </w:rPr>
        <w:lastRenderedPageBreak/>
        <w:t xml:space="preserve">legalmente en el </w:t>
      </w:r>
      <w:r w:rsidR="001D7D79">
        <w:rPr>
          <w:lang w:val="es-ES"/>
        </w:rPr>
        <w:t>llamado</w:t>
      </w:r>
      <w:r w:rsidR="006E23FA">
        <w:rPr>
          <w:lang w:val="es-ES"/>
        </w:rPr>
        <w:t xml:space="preserve"> </w:t>
      </w:r>
      <w:r w:rsidR="001D7D79">
        <w:rPr>
          <w:lang w:val="es-ES"/>
        </w:rPr>
        <w:t>E</w:t>
      </w:r>
      <w:r w:rsidR="006E23FA">
        <w:rPr>
          <w:lang w:val="es-ES"/>
        </w:rPr>
        <w:t>spacio Schengen</w:t>
      </w:r>
      <w:r w:rsidR="00893EE2">
        <w:rPr>
          <w:lang w:val="es-ES"/>
        </w:rPr>
        <w:t xml:space="preserve">, </w:t>
      </w:r>
      <w:r w:rsidR="001D7D79">
        <w:rPr>
          <w:lang w:val="es-ES"/>
        </w:rPr>
        <w:t>nacido como resultado del acuerdo homónimo firmado en</w:t>
      </w:r>
      <w:r w:rsidR="00C67CAE">
        <w:rPr>
          <w:lang w:val="es-ES"/>
        </w:rPr>
        <w:t xml:space="preserve"> dicha ciudad luxemburguesa en</w:t>
      </w:r>
      <w:r w:rsidR="001D7D79">
        <w:rPr>
          <w:lang w:val="es-ES"/>
        </w:rPr>
        <w:t xml:space="preserve"> 1985 y que entró en vigor </w:t>
      </w:r>
      <w:r w:rsidR="003F176C">
        <w:rPr>
          <w:lang w:val="es-ES"/>
        </w:rPr>
        <w:t>diez años después, en</w:t>
      </w:r>
      <w:r w:rsidR="001D7D79">
        <w:rPr>
          <w:lang w:val="es-ES"/>
        </w:rPr>
        <w:t xml:space="preserve"> 1995, por el cual se abolieron las restricciones de desplazamiento inter</w:t>
      </w:r>
      <w:r w:rsidR="00A86E45">
        <w:rPr>
          <w:lang w:val="es-ES"/>
        </w:rPr>
        <w:t xml:space="preserve"> </w:t>
      </w:r>
      <w:r w:rsidR="001D7D79">
        <w:rPr>
          <w:lang w:val="es-ES"/>
        </w:rPr>
        <w:t xml:space="preserve">fronterizo entre </w:t>
      </w:r>
      <w:r w:rsidR="00C67CAE">
        <w:rPr>
          <w:lang w:val="es-ES"/>
        </w:rPr>
        <w:t xml:space="preserve">los </w:t>
      </w:r>
      <w:r w:rsidR="008C5981">
        <w:rPr>
          <w:lang w:val="es-ES"/>
        </w:rPr>
        <w:t xml:space="preserve">veintisiete Estados </w:t>
      </w:r>
      <w:r w:rsidR="003F176C">
        <w:rPr>
          <w:lang w:val="es-ES"/>
        </w:rPr>
        <w:t>miembros de la Unión Europea</w:t>
      </w:r>
      <w:r w:rsidR="008C5981">
        <w:rPr>
          <w:lang w:val="es-ES"/>
        </w:rPr>
        <w:t>. De todos modos, este espaci</w:t>
      </w:r>
      <w:r w:rsidR="00FD7500">
        <w:rPr>
          <w:lang w:val="es-ES"/>
        </w:rPr>
        <w:t>o</w:t>
      </w:r>
      <w:r w:rsidR="008C5981">
        <w:rPr>
          <w:lang w:val="es-ES"/>
        </w:rPr>
        <w:t xml:space="preserve"> de supuesta “libertad” de </w:t>
      </w:r>
      <w:r w:rsidR="00C023EE">
        <w:rPr>
          <w:lang w:val="es-ES"/>
        </w:rPr>
        <w:t>movimiento</w:t>
      </w:r>
      <w:r w:rsidR="008C5981">
        <w:rPr>
          <w:lang w:val="es-ES"/>
        </w:rPr>
        <w:t xml:space="preserve"> en realidad se constituyó en un </w:t>
      </w:r>
      <w:r w:rsidR="00C023EE">
        <w:rPr>
          <w:lang w:val="es-ES"/>
        </w:rPr>
        <w:t>ámbito de “exclusividad” para sus miembros</w:t>
      </w:r>
      <w:r w:rsidR="00B73436">
        <w:rPr>
          <w:lang w:val="es-ES"/>
        </w:rPr>
        <w:t>, lo que</w:t>
      </w:r>
      <w:r w:rsidR="00C023EE">
        <w:rPr>
          <w:lang w:val="es-ES"/>
        </w:rPr>
        <w:t xml:space="preserve"> se hizo plenamente evidente en los años posteriores</w:t>
      </w:r>
      <w:r w:rsidR="00747E79">
        <w:rPr>
          <w:lang w:val="es-ES"/>
        </w:rPr>
        <w:t>, en particular con la firma del Tratado de Ámsterdam</w:t>
      </w:r>
      <w:r w:rsidR="004A29D5">
        <w:rPr>
          <w:lang w:val="es-ES"/>
        </w:rPr>
        <w:t xml:space="preserve">, en vigencia desde </w:t>
      </w:r>
      <w:r w:rsidR="00747E79">
        <w:rPr>
          <w:lang w:val="es-ES"/>
        </w:rPr>
        <w:t>1999</w:t>
      </w:r>
      <w:r w:rsidR="00C023EE">
        <w:rPr>
          <w:lang w:val="es-ES"/>
        </w:rPr>
        <w:t>,</w:t>
      </w:r>
      <w:r w:rsidR="004A29D5">
        <w:rPr>
          <w:lang w:val="es-ES"/>
        </w:rPr>
        <w:t xml:space="preserve">  </w:t>
      </w:r>
      <w:r w:rsidR="00147031">
        <w:rPr>
          <w:lang w:val="es-ES"/>
        </w:rPr>
        <w:t xml:space="preserve">el cual modificó el </w:t>
      </w:r>
      <w:r w:rsidR="00564059">
        <w:rPr>
          <w:lang w:val="es-ES"/>
        </w:rPr>
        <w:t xml:space="preserve">Tratado de la Unión Europea y dispuso en su </w:t>
      </w:r>
      <w:r w:rsidR="004A29D5">
        <w:rPr>
          <w:lang w:val="es-ES"/>
        </w:rPr>
        <w:t xml:space="preserve">título VI, </w:t>
      </w:r>
      <w:r w:rsidR="004A29D5" w:rsidRPr="004A29D5">
        <w:rPr>
          <w:i/>
          <w:iCs/>
          <w:lang w:val="es-ES"/>
        </w:rPr>
        <w:t>“</w:t>
      </w:r>
      <w:r w:rsidR="004A29D5" w:rsidRPr="004A29D5">
        <w:rPr>
          <w:i/>
          <w:iCs/>
        </w:rPr>
        <w:t>ofrecer a los ciudadanos un alto grado de seguridad dentro de un espacio de libertad, seguridad y justicia elaborando una acción en común entre los Estados miembros en los ámbitos de cooperación policial y judicial en materia penal y mediante la prevención y la lucha contra el racismo y la xenofobia</w:t>
      </w:r>
      <w:r w:rsidR="004A29D5">
        <w:rPr>
          <w:i/>
          <w:iCs/>
          <w:lang w:val="es-ES"/>
        </w:rPr>
        <w:t>”</w:t>
      </w:r>
      <w:r w:rsidR="00147031">
        <w:rPr>
          <w:rStyle w:val="Refdenotaalpie"/>
          <w:i/>
          <w:iCs/>
          <w:lang w:val="es-ES"/>
        </w:rPr>
        <w:footnoteReference w:id="3"/>
      </w:r>
      <w:r w:rsidR="004A29D5" w:rsidRPr="004A29D5">
        <w:rPr>
          <w:i/>
          <w:iCs/>
        </w:rPr>
        <w:t>.</w:t>
      </w:r>
    </w:p>
    <w:p w14:paraId="64D3AD75" w14:textId="4527D5AD" w:rsidR="00F500A9" w:rsidRDefault="00564059" w:rsidP="00F676DF">
      <w:pPr>
        <w:pStyle w:val="NormalWeb"/>
        <w:spacing w:line="360" w:lineRule="auto"/>
        <w:ind w:firstLine="708"/>
        <w:contextualSpacing/>
        <w:jc w:val="both"/>
        <w:rPr>
          <w:lang w:val="es-ES"/>
        </w:rPr>
      </w:pPr>
      <w:r>
        <w:rPr>
          <w:lang w:val="es-ES"/>
        </w:rPr>
        <w:t>Lo que trajo esto consigo fue la conformación</w:t>
      </w:r>
      <w:r w:rsidR="00747E79">
        <w:rPr>
          <w:lang w:val="es-ES"/>
        </w:rPr>
        <w:t xml:space="preserve"> </w:t>
      </w:r>
      <w:r>
        <w:rPr>
          <w:lang w:val="es-ES"/>
        </w:rPr>
        <w:t>d</w:t>
      </w:r>
      <w:r w:rsidR="00747E79">
        <w:rPr>
          <w:lang w:val="es-ES"/>
        </w:rPr>
        <w:t xml:space="preserve">el espacio </w:t>
      </w:r>
      <w:r w:rsidR="00B35757">
        <w:rPr>
          <w:lang w:val="es-ES"/>
        </w:rPr>
        <w:t>denominado “</w:t>
      </w:r>
      <w:r w:rsidR="00747E79">
        <w:rPr>
          <w:lang w:val="es-ES"/>
        </w:rPr>
        <w:t>Área de Libertad, Seguridad y Justicia</w:t>
      </w:r>
      <w:r w:rsidR="00B35757">
        <w:rPr>
          <w:lang w:val="es-ES"/>
        </w:rPr>
        <w:t>”</w:t>
      </w:r>
      <w:r w:rsidR="00C023EE">
        <w:rPr>
          <w:lang w:val="es-ES"/>
        </w:rPr>
        <w:t xml:space="preserve"> </w:t>
      </w:r>
      <w:r>
        <w:rPr>
          <w:lang w:val="es-ES"/>
        </w:rPr>
        <w:t>(AFSJ)</w:t>
      </w:r>
      <w:r w:rsidR="00937296">
        <w:rPr>
          <w:lang w:val="es-ES"/>
        </w:rPr>
        <w:t xml:space="preserve"> para los ciudadanos europeos, mientras que, paralelamente, se concentra</w:t>
      </w:r>
      <w:r w:rsidR="004D2D64">
        <w:rPr>
          <w:lang w:val="es-ES"/>
        </w:rPr>
        <w:t>ron</w:t>
      </w:r>
      <w:r w:rsidR="00B30931">
        <w:rPr>
          <w:lang w:val="es-ES"/>
        </w:rPr>
        <w:t xml:space="preserve"> los esfuerzos en el control de las fronteras exteriores.</w:t>
      </w:r>
      <w:r w:rsidR="008758F3">
        <w:rPr>
          <w:lang w:val="es-ES"/>
        </w:rPr>
        <w:t xml:space="preserve"> Un instrumento fundamental </w:t>
      </w:r>
      <w:r w:rsidR="00476345">
        <w:rPr>
          <w:lang w:val="es-ES"/>
        </w:rPr>
        <w:t xml:space="preserve">creado con esta finalidad fue la Agencia Europea para la Gestión de la Cooperación Operativa en las Fronteras Externas de los Estados Miembros de la Unión Europea, mejor conocida como FRONTEX, </w:t>
      </w:r>
      <w:r w:rsidR="006877AA">
        <w:rPr>
          <w:lang w:val="es-ES"/>
        </w:rPr>
        <w:t>que comenzó a funcionar efectivamente en el año 2005 con el objetivo de</w:t>
      </w:r>
      <w:r w:rsidR="0015263A">
        <w:rPr>
          <w:lang w:val="es-ES"/>
        </w:rPr>
        <w:t xml:space="preserve"> </w:t>
      </w:r>
      <w:r w:rsidR="00F96653">
        <w:rPr>
          <w:lang w:val="es-ES"/>
        </w:rPr>
        <w:t>coordinar acciones de cooperación entre esos Estados para el control y la supervisión de las fronteras externas, la asistencia en materia de entrenamiento de guardias de frontera y la coordinación de acciones de retorno para aquellos considerados migrantes ilegales</w:t>
      </w:r>
      <w:r w:rsidR="003557FB">
        <w:rPr>
          <w:lang w:val="es-ES"/>
        </w:rPr>
        <w:t xml:space="preserve">, como lo expone el </w:t>
      </w:r>
      <w:r w:rsidR="00F500A9">
        <w:rPr>
          <w:lang w:val="es-ES"/>
        </w:rPr>
        <w:t>art</w:t>
      </w:r>
      <w:r w:rsidR="003557FB">
        <w:rPr>
          <w:lang w:val="es-ES"/>
        </w:rPr>
        <w:t>ículo</w:t>
      </w:r>
      <w:r w:rsidR="00F500A9">
        <w:rPr>
          <w:lang w:val="es-ES"/>
        </w:rPr>
        <w:t xml:space="preserve"> 2, </w:t>
      </w:r>
      <w:r w:rsidR="0091718D">
        <w:rPr>
          <w:lang w:val="es-ES"/>
        </w:rPr>
        <w:t xml:space="preserve"> punto 1,</w:t>
      </w:r>
      <w:r w:rsidR="00F500A9">
        <w:rPr>
          <w:lang w:val="es-ES"/>
        </w:rPr>
        <w:t xml:space="preserve"> de</w:t>
      </w:r>
      <w:r w:rsidR="003557FB">
        <w:rPr>
          <w:lang w:val="es-ES"/>
        </w:rPr>
        <w:t xml:space="preserve"> </w:t>
      </w:r>
      <w:r w:rsidR="00F500A9">
        <w:rPr>
          <w:lang w:val="es-ES"/>
        </w:rPr>
        <w:t>l</w:t>
      </w:r>
      <w:r w:rsidR="003557FB">
        <w:rPr>
          <w:lang w:val="es-ES"/>
        </w:rPr>
        <w:t>a</w:t>
      </w:r>
      <w:r w:rsidR="00F500A9">
        <w:rPr>
          <w:lang w:val="es-ES"/>
        </w:rPr>
        <w:t xml:space="preserve"> </w:t>
      </w:r>
      <w:r w:rsidR="00F500A9">
        <w:rPr>
          <w:i/>
          <w:iCs/>
          <w:lang w:val="es-ES"/>
        </w:rPr>
        <w:t xml:space="preserve">Council </w:t>
      </w:r>
      <w:proofErr w:type="spellStart"/>
      <w:r w:rsidR="00F500A9">
        <w:rPr>
          <w:i/>
          <w:iCs/>
          <w:lang w:val="es-ES"/>
        </w:rPr>
        <w:t>Regulation</w:t>
      </w:r>
      <w:proofErr w:type="spellEnd"/>
      <w:r w:rsidR="00F500A9">
        <w:rPr>
          <w:i/>
          <w:iCs/>
          <w:lang w:val="es-ES"/>
        </w:rPr>
        <w:t xml:space="preserve"> (EC)</w:t>
      </w:r>
      <w:r w:rsidR="00D65341">
        <w:rPr>
          <w:i/>
          <w:iCs/>
          <w:lang w:val="es-ES"/>
        </w:rPr>
        <w:t xml:space="preserve"> </w:t>
      </w:r>
      <w:r w:rsidR="00F500A9">
        <w:rPr>
          <w:lang w:val="es-ES"/>
        </w:rPr>
        <w:t xml:space="preserve">2007/2004. En </w:t>
      </w:r>
      <w:r w:rsidR="0091718D">
        <w:rPr>
          <w:lang w:val="es-ES"/>
        </w:rPr>
        <w:t xml:space="preserve">el punto 2 de ese mismo artículo, se indica además que </w:t>
      </w:r>
      <w:r w:rsidR="0091718D" w:rsidRPr="003F176C">
        <w:rPr>
          <w:i/>
          <w:iCs/>
          <w:lang w:val="es-ES"/>
        </w:rPr>
        <w:t>“sin perjuicio de las competencias de la Agencia, los Estados Miembros pueden continuar con la cooperación al nivel operativo con otros Estados Miembros y/o terceros países en las fronteras externas, donde tal cooperación complementa la acción de la Agencia”</w:t>
      </w:r>
      <w:r w:rsidR="0091718D">
        <w:rPr>
          <w:rStyle w:val="Refdenotaalpie"/>
          <w:lang w:val="es-ES"/>
        </w:rPr>
        <w:footnoteReference w:id="4"/>
      </w:r>
      <w:r w:rsidR="00B35757">
        <w:rPr>
          <w:lang w:val="es-ES"/>
        </w:rPr>
        <w:t xml:space="preserve">. </w:t>
      </w:r>
    </w:p>
    <w:p w14:paraId="2F619B9B" w14:textId="77777777" w:rsidR="00E2176C" w:rsidRDefault="00E2176C" w:rsidP="00F676DF">
      <w:pPr>
        <w:pStyle w:val="NormalWeb"/>
        <w:spacing w:line="360" w:lineRule="auto"/>
        <w:ind w:firstLine="708"/>
        <w:contextualSpacing/>
        <w:jc w:val="both"/>
        <w:rPr>
          <w:lang w:val="es-ES"/>
        </w:rPr>
      </w:pPr>
    </w:p>
    <w:p w14:paraId="52DD29B5" w14:textId="50491BAB" w:rsidR="00E00D71" w:rsidRPr="00E00D71" w:rsidRDefault="00E00D71" w:rsidP="00F676DF">
      <w:pPr>
        <w:pStyle w:val="NormalWeb"/>
        <w:spacing w:line="360" w:lineRule="auto"/>
        <w:contextualSpacing/>
        <w:jc w:val="both"/>
        <w:rPr>
          <w:b/>
          <w:bCs/>
          <w:lang w:val="es-ES"/>
        </w:rPr>
      </w:pPr>
      <w:r>
        <w:rPr>
          <w:b/>
          <w:bCs/>
          <w:lang w:val="es-ES"/>
        </w:rPr>
        <w:t>La “</w:t>
      </w:r>
      <w:proofErr w:type="spellStart"/>
      <w:r>
        <w:rPr>
          <w:b/>
          <w:bCs/>
          <w:lang w:val="es-ES"/>
        </w:rPr>
        <w:t>securitización</w:t>
      </w:r>
      <w:proofErr w:type="spellEnd"/>
      <w:r>
        <w:rPr>
          <w:b/>
          <w:bCs/>
          <w:lang w:val="es-ES"/>
        </w:rPr>
        <w:t>” en la práctica</w:t>
      </w:r>
    </w:p>
    <w:p w14:paraId="39BFB601" w14:textId="3DEF14EB" w:rsidR="00555ABE" w:rsidRPr="00FE3AFF" w:rsidRDefault="006877AA" w:rsidP="00F676DF">
      <w:pPr>
        <w:pStyle w:val="NormalWeb"/>
        <w:spacing w:line="360" w:lineRule="auto"/>
        <w:ind w:firstLine="708"/>
        <w:contextualSpacing/>
        <w:jc w:val="both"/>
        <w:rPr>
          <w:lang w:val="es-ES"/>
        </w:rPr>
      </w:pPr>
      <w:r>
        <w:rPr>
          <w:lang w:val="es-ES"/>
        </w:rPr>
        <w:t xml:space="preserve">Las llamadas “crisis” de las vallas y de los cayucos deben analizarse </w:t>
      </w:r>
      <w:r w:rsidR="00954D94">
        <w:rPr>
          <w:lang w:val="es-ES"/>
        </w:rPr>
        <w:t xml:space="preserve">teniendo en cuenta este programa de acción europeo y, </w:t>
      </w:r>
      <w:r w:rsidR="00E00D71">
        <w:rPr>
          <w:lang w:val="es-ES"/>
        </w:rPr>
        <w:t>en el caso de las rutas del África occidental y noroccidental</w:t>
      </w:r>
      <w:r w:rsidR="00954D94">
        <w:rPr>
          <w:lang w:val="es-ES"/>
        </w:rPr>
        <w:t xml:space="preserve">, </w:t>
      </w:r>
      <w:r w:rsidR="00B305A3">
        <w:rPr>
          <w:lang w:val="es-ES"/>
        </w:rPr>
        <w:t>en las disposiciones del gobierno español</w:t>
      </w:r>
      <w:r w:rsidR="00954D94">
        <w:rPr>
          <w:lang w:val="es-ES"/>
        </w:rPr>
        <w:t xml:space="preserve">, </w:t>
      </w:r>
      <w:r w:rsidR="002573B0">
        <w:rPr>
          <w:lang w:val="es-ES"/>
        </w:rPr>
        <w:t>que creó en el</w:t>
      </w:r>
      <w:r w:rsidR="00954D94">
        <w:rPr>
          <w:lang w:val="es-ES"/>
        </w:rPr>
        <w:t xml:space="preserve"> año 2002 el Sistema de Vigilancia Exterior (SIVE)</w:t>
      </w:r>
      <w:r w:rsidR="00B305A3">
        <w:rPr>
          <w:lang w:val="es-ES"/>
        </w:rPr>
        <w:t xml:space="preserve"> de la Guardia Civil</w:t>
      </w:r>
      <w:r w:rsidR="00E00D71">
        <w:rPr>
          <w:lang w:val="es-ES"/>
        </w:rPr>
        <w:t xml:space="preserve">. </w:t>
      </w:r>
      <w:r w:rsidR="00D36553">
        <w:rPr>
          <w:lang w:val="es-ES"/>
        </w:rPr>
        <w:t>La</w:t>
      </w:r>
      <w:r w:rsidR="00CF6802">
        <w:rPr>
          <w:lang w:val="es-ES"/>
        </w:rPr>
        <w:t>s</w:t>
      </w:r>
      <w:r w:rsidR="00D36553">
        <w:rPr>
          <w:lang w:val="es-ES"/>
        </w:rPr>
        <w:t xml:space="preserve"> funci</w:t>
      </w:r>
      <w:r w:rsidR="00CF6802">
        <w:rPr>
          <w:lang w:val="es-ES"/>
        </w:rPr>
        <w:t>ones</w:t>
      </w:r>
      <w:r w:rsidR="00D36553">
        <w:rPr>
          <w:lang w:val="es-ES"/>
        </w:rPr>
        <w:t xml:space="preserve"> principal</w:t>
      </w:r>
      <w:r w:rsidR="00CF6802">
        <w:rPr>
          <w:lang w:val="es-ES"/>
        </w:rPr>
        <w:t>es</w:t>
      </w:r>
      <w:r w:rsidR="00D36553">
        <w:rPr>
          <w:lang w:val="es-ES"/>
        </w:rPr>
        <w:t xml:space="preserve"> para la</w:t>
      </w:r>
      <w:r w:rsidR="00CF6802">
        <w:rPr>
          <w:lang w:val="es-ES"/>
        </w:rPr>
        <w:t>s</w:t>
      </w:r>
      <w:r w:rsidR="00D36553">
        <w:rPr>
          <w:lang w:val="es-ES"/>
        </w:rPr>
        <w:t xml:space="preserve"> que fue creado consisti</w:t>
      </w:r>
      <w:r w:rsidR="00CF6802">
        <w:rPr>
          <w:lang w:val="es-ES"/>
        </w:rPr>
        <w:t>eron</w:t>
      </w:r>
      <w:r w:rsidR="00D36553">
        <w:rPr>
          <w:lang w:val="es-ES"/>
        </w:rPr>
        <w:t xml:space="preserve"> en</w:t>
      </w:r>
      <w:r w:rsidR="00B305A3">
        <w:rPr>
          <w:lang w:val="es-ES"/>
        </w:rPr>
        <w:t xml:space="preserve"> detectar a larga distancia las embarcaciones que se aproxim</w:t>
      </w:r>
      <w:r w:rsidR="00F036DB">
        <w:rPr>
          <w:lang w:val="es-ES"/>
        </w:rPr>
        <w:t>aran</w:t>
      </w:r>
      <w:r w:rsidR="00B305A3">
        <w:rPr>
          <w:lang w:val="es-ES"/>
        </w:rPr>
        <w:t xml:space="preserve"> a las costas </w:t>
      </w:r>
      <w:r w:rsidR="001507BD">
        <w:rPr>
          <w:lang w:val="es-ES"/>
        </w:rPr>
        <w:t>hispanas</w:t>
      </w:r>
      <w:r w:rsidR="00F036DB">
        <w:rPr>
          <w:lang w:val="es-ES"/>
        </w:rPr>
        <w:t xml:space="preserve"> e</w:t>
      </w:r>
      <w:r w:rsidR="001507BD">
        <w:rPr>
          <w:lang w:val="es-ES"/>
        </w:rPr>
        <w:t xml:space="preserve"> identificar a sus tripulantes con </w:t>
      </w:r>
      <w:r w:rsidR="001507BD">
        <w:rPr>
          <w:lang w:val="es-ES"/>
        </w:rPr>
        <w:lastRenderedPageBreak/>
        <w:t>el fin de comprobar su posible actuación ilegal, coordinando en tal caso su seguimiento a través de medios marítimos, aéreos y terrestre</w:t>
      </w:r>
      <w:r w:rsidR="00F036DB">
        <w:rPr>
          <w:lang w:val="es-ES"/>
        </w:rPr>
        <w:t>s</w:t>
      </w:r>
      <w:r w:rsidR="001507BD">
        <w:rPr>
          <w:lang w:val="es-ES"/>
        </w:rPr>
        <w:t xml:space="preserve"> para interceptar a los presuntos delincuentes o auxiliar a los inmigrantes irregulares</w:t>
      </w:r>
      <w:r w:rsidR="001507BD">
        <w:rPr>
          <w:rStyle w:val="Refdenotaalpie"/>
          <w:lang w:val="es-ES"/>
        </w:rPr>
        <w:footnoteReference w:id="5"/>
      </w:r>
      <w:r w:rsidR="00F87E61">
        <w:rPr>
          <w:lang w:val="es-ES"/>
        </w:rPr>
        <w:t xml:space="preserve">. </w:t>
      </w:r>
      <w:r w:rsidR="00D36553">
        <w:rPr>
          <w:lang w:val="es-ES"/>
        </w:rPr>
        <w:t xml:space="preserve">Su </w:t>
      </w:r>
      <w:r w:rsidR="00044AAC">
        <w:rPr>
          <w:lang w:val="es-ES"/>
        </w:rPr>
        <w:t>radio</w:t>
      </w:r>
      <w:r w:rsidR="00D36553">
        <w:rPr>
          <w:lang w:val="es-ES"/>
        </w:rPr>
        <w:t xml:space="preserve"> de acción eran </w:t>
      </w:r>
      <w:r w:rsidR="00F87E61">
        <w:rPr>
          <w:lang w:val="es-ES"/>
        </w:rPr>
        <w:t xml:space="preserve">el </w:t>
      </w:r>
      <w:r w:rsidR="001E1442">
        <w:rPr>
          <w:lang w:val="es-ES"/>
        </w:rPr>
        <w:t xml:space="preserve">sur de la península y el área </w:t>
      </w:r>
      <w:r w:rsidR="00044AAC">
        <w:rPr>
          <w:lang w:val="es-ES"/>
        </w:rPr>
        <w:t>de</w:t>
      </w:r>
      <w:r w:rsidR="001E1442">
        <w:rPr>
          <w:lang w:val="es-ES"/>
        </w:rPr>
        <w:t xml:space="preserve"> las islas Canarias</w:t>
      </w:r>
      <w:r w:rsidR="00754316">
        <w:rPr>
          <w:lang w:val="es-ES"/>
        </w:rPr>
        <w:t xml:space="preserve">, en donde </w:t>
      </w:r>
      <w:r w:rsidR="00417173">
        <w:rPr>
          <w:lang w:val="es-ES"/>
        </w:rPr>
        <w:t xml:space="preserve">se </w:t>
      </w:r>
      <w:r w:rsidR="00754316">
        <w:rPr>
          <w:lang w:val="es-ES"/>
        </w:rPr>
        <w:t>puso en funcionamiento un sistema de radares y cámaras de vigilancia.</w:t>
      </w:r>
      <w:r w:rsidR="00417173">
        <w:rPr>
          <w:lang w:val="es-ES"/>
        </w:rPr>
        <w:t xml:space="preserve"> Los intentos de saltar las vallas en Ceuta y Melilla del año 2005 y </w:t>
      </w:r>
      <w:r w:rsidR="004820A1">
        <w:rPr>
          <w:lang w:val="es-ES"/>
        </w:rPr>
        <w:t>el incremento de arribos</w:t>
      </w:r>
      <w:r w:rsidR="00417173">
        <w:rPr>
          <w:lang w:val="es-ES"/>
        </w:rPr>
        <w:t xml:space="preserve"> a las Canarias durante el 2006 se encuentran directamente relacionados con el despliegue de medidas en la zona</w:t>
      </w:r>
      <w:r w:rsidR="008B38D5">
        <w:rPr>
          <w:lang w:val="es-ES"/>
        </w:rPr>
        <w:t xml:space="preserve">, coordinadas con FRONTEX, </w:t>
      </w:r>
      <w:r w:rsidR="00F036DB">
        <w:rPr>
          <w:lang w:val="es-ES"/>
        </w:rPr>
        <w:t>frente a lo cual se multiplicaron los</w:t>
      </w:r>
      <w:r w:rsidR="00417173">
        <w:rPr>
          <w:lang w:val="es-ES"/>
        </w:rPr>
        <w:t xml:space="preserve"> intento</w:t>
      </w:r>
      <w:r w:rsidR="00F036DB">
        <w:rPr>
          <w:lang w:val="es-ES"/>
        </w:rPr>
        <w:t>s</w:t>
      </w:r>
      <w:r w:rsidR="00417173">
        <w:rPr>
          <w:lang w:val="es-ES"/>
        </w:rPr>
        <w:t xml:space="preserve"> de cruzar hacia territorio europeo desde África antes de un recrudecimiento de las </w:t>
      </w:r>
      <w:r w:rsidR="00F036DB">
        <w:rPr>
          <w:lang w:val="es-ES"/>
        </w:rPr>
        <w:t>restricciones</w:t>
      </w:r>
      <w:r w:rsidR="00417173">
        <w:rPr>
          <w:lang w:val="es-ES"/>
        </w:rPr>
        <w:t xml:space="preserve"> que hiciera imposible</w:t>
      </w:r>
      <w:r w:rsidR="008B38D5">
        <w:rPr>
          <w:lang w:val="es-ES"/>
        </w:rPr>
        <w:t xml:space="preserve"> el ingreso</w:t>
      </w:r>
      <w:r w:rsidR="00F036DB">
        <w:rPr>
          <w:lang w:val="es-ES"/>
        </w:rPr>
        <w:t xml:space="preserve"> en Europa</w:t>
      </w:r>
      <w:r w:rsidR="008B38D5">
        <w:rPr>
          <w:lang w:val="es-ES"/>
        </w:rPr>
        <w:t xml:space="preserve">. </w:t>
      </w:r>
      <w:r w:rsidR="00555ABE" w:rsidRPr="00555ABE">
        <w:rPr>
          <w:lang w:val="es-ES"/>
        </w:rPr>
        <w:t xml:space="preserve">Por un lado, el gobierno español </w:t>
      </w:r>
      <w:r w:rsidR="00555ABE">
        <w:rPr>
          <w:lang w:val="es-ES"/>
        </w:rPr>
        <w:t xml:space="preserve">comenzó con las tareas de reforzamiento de las vallas en Ceuta y Melilla </w:t>
      </w:r>
      <w:r w:rsidR="00DC7291">
        <w:rPr>
          <w:lang w:val="es-ES"/>
        </w:rPr>
        <w:t xml:space="preserve">tras los acontecimientos de </w:t>
      </w:r>
      <w:r w:rsidR="00555ABE">
        <w:rPr>
          <w:lang w:val="es-ES"/>
        </w:rPr>
        <w:t>2005</w:t>
      </w:r>
      <w:r w:rsidR="00555ABE" w:rsidRPr="00555ABE">
        <w:rPr>
          <w:lang w:val="es-ES"/>
        </w:rPr>
        <w:t xml:space="preserve"> </w:t>
      </w:r>
      <w:r w:rsidR="00DC7291" w:rsidRPr="0006215F">
        <w:rPr>
          <w:i/>
          <w:iCs/>
          <w:lang w:val="es-ES"/>
        </w:rPr>
        <w:t>“</w:t>
      </w:r>
      <w:r w:rsidR="00DC7291" w:rsidRPr="0006215F">
        <w:rPr>
          <w:i/>
          <w:iCs/>
        </w:rPr>
        <w:t>lo que se presume incidió en el desplazamiento de la presión migratoria hacia las Islas Canarias</w:t>
      </w:r>
      <w:r w:rsidR="00DC7291" w:rsidRPr="0006215F">
        <w:rPr>
          <w:i/>
          <w:iCs/>
          <w:lang w:val="es-ES"/>
        </w:rPr>
        <w:t>”</w:t>
      </w:r>
      <w:r w:rsidR="004E72AB">
        <w:rPr>
          <w:lang w:val="es-ES"/>
        </w:rPr>
        <w:t xml:space="preserve"> (Naranjo-Giraldo, 2014: 23)</w:t>
      </w:r>
      <w:r w:rsidR="00EA41C7">
        <w:rPr>
          <w:lang w:val="es-ES"/>
        </w:rPr>
        <w:t xml:space="preserve">, pero, por sobre todas las cosas, </w:t>
      </w:r>
      <w:r w:rsidR="00F036DB">
        <w:rPr>
          <w:lang w:val="es-ES"/>
        </w:rPr>
        <w:t xml:space="preserve">en 2006 </w:t>
      </w:r>
      <w:r w:rsidR="00E25C20">
        <w:rPr>
          <w:lang w:val="es-ES"/>
        </w:rPr>
        <w:t xml:space="preserve">FRONTEX </w:t>
      </w:r>
      <w:r w:rsidR="00715FE6">
        <w:rPr>
          <w:lang w:val="es-ES"/>
        </w:rPr>
        <w:t xml:space="preserve">puso en marcha HERA, una de las operaciones más amplias y duraderas dirigidas a detener las migraciones a lo largo de la ruta marítima del África occidental </w:t>
      </w:r>
      <w:r w:rsidR="006670DB">
        <w:rPr>
          <w:lang w:val="es-ES"/>
        </w:rPr>
        <w:t>hacia</w:t>
      </w:r>
      <w:r w:rsidR="0006215F">
        <w:rPr>
          <w:lang w:val="es-ES"/>
        </w:rPr>
        <w:t xml:space="preserve"> esas islas</w:t>
      </w:r>
      <w:r w:rsidR="00945312">
        <w:rPr>
          <w:lang w:val="es-ES"/>
        </w:rPr>
        <w:t>. D</w:t>
      </w:r>
      <w:r w:rsidR="00715FE6">
        <w:rPr>
          <w:lang w:val="es-ES"/>
        </w:rPr>
        <w:t xml:space="preserve">e acuerdo con el análisis </w:t>
      </w:r>
      <w:r w:rsidR="0006215F">
        <w:rPr>
          <w:lang w:val="es-ES"/>
        </w:rPr>
        <w:t>de los propios responsables de</w:t>
      </w:r>
      <w:r w:rsidR="00715FE6">
        <w:rPr>
          <w:lang w:val="es-ES"/>
        </w:rPr>
        <w:t xml:space="preserve"> FRONTEX, fue un verdadero éxito dado que </w:t>
      </w:r>
      <w:r w:rsidR="00715FE6" w:rsidRPr="0006215F">
        <w:rPr>
          <w:i/>
          <w:iCs/>
          <w:lang w:val="es-ES"/>
        </w:rPr>
        <w:t>“la escala de los cruces marítimos ilegales a lo largo de esta ruta se redujo de cinco dígitos a tres”</w:t>
      </w:r>
      <w:r w:rsidR="00715FE6">
        <w:rPr>
          <w:rStyle w:val="Refdenotaalpie"/>
          <w:lang w:val="es-ES"/>
        </w:rPr>
        <w:footnoteReference w:id="6"/>
      </w:r>
      <w:r w:rsidR="00FE3AFF">
        <w:rPr>
          <w:lang w:val="es-ES"/>
        </w:rPr>
        <w:t>.</w:t>
      </w:r>
    </w:p>
    <w:p w14:paraId="0DA98840" w14:textId="68E16908" w:rsidR="00F676DF" w:rsidRDefault="00FE3AFF" w:rsidP="005E536C">
      <w:pPr>
        <w:pStyle w:val="NormalWeb"/>
        <w:spacing w:line="360" w:lineRule="auto"/>
        <w:ind w:right="-7" w:firstLine="680"/>
        <w:contextualSpacing/>
        <w:jc w:val="both"/>
        <w:rPr>
          <w:lang w:val="es-ES"/>
        </w:rPr>
      </w:pPr>
      <w:r>
        <w:rPr>
          <w:lang w:val="es-ES"/>
        </w:rPr>
        <w:t xml:space="preserve">Sin embargo, </w:t>
      </w:r>
      <w:r w:rsidR="00BA3CAB">
        <w:rPr>
          <w:lang w:val="es-ES"/>
        </w:rPr>
        <w:t xml:space="preserve">este </w:t>
      </w:r>
      <w:r>
        <w:rPr>
          <w:lang w:val="es-ES"/>
        </w:rPr>
        <w:t xml:space="preserve">control </w:t>
      </w:r>
      <w:r w:rsidR="00BA3CAB">
        <w:rPr>
          <w:lang w:val="es-ES"/>
        </w:rPr>
        <w:t xml:space="preserve">reforzado </w:t>
      </w:r>
      <w:r w:rsidR="00D85CCC">
        <w:rPr>
          <w:lang w:val="es-ES"/>
        </w:rPr>
        <w:t>de los flujos migratorios en el área</w:t>
      </w:r>
      <w:r w:rsidR="00BA3CAB">
        <w:rPr>
          <w:lang w:val="es-ES"/>
        </w:rPr>
        <w:t xml:space="preserve"> llevó al desplazamiento de las rutas de cada vez más al sur</w:t>
      </w:r>
      <w:r w:rsidR="00D85CCC">
        <w:rPr>
          <w:lang w:val="es-ES"/>
        </w:rPr>
        <w:t xml:space="preserve">: </w:t>
      </w:r>
    </w:p>
    <w:p w14:paraId="0FD41A55" w14:textId="3BDCA4B7" w:rsidR="00F036DB" w:rsidRDefault="00D85CCC" w:rsidP="00F676DF">
      <w:pPr>
        <w:pStyle w:val="NormalWeb"/>
        <w:widowControl w:val="0"/>
        <w:adjustRightInd w:val="0"/>
        <w:spacing w:line="360" w:lineRule="auto"/>
        <w:ind w:left="680" w:right="680" w:firstLine="28"/>
        <w:contextualSpacing/>
        <w:jc w:val="both"/>
        <w:rPr>
          <w:lang w:val="es-ES"/>
        </w:rPr>
      </w:pPr>
      <w:r w:rsidRPr="00F036DB">
        <w:rPr>
          <w:i/>
          <w:iCs/>
          <w:sz w:val="22"/>
          <w:szCs w:val="22"/>
          <w:lang w:val="es-ES"/>
        </w:rPr>
        <w:t xml:space="preserve">“Podemos </w:t>
      </w:r>
      <w:r w:rsidR="00FC08B6" w:rsidRPr="00F036DB">
        <w:rPr>
          <w:i/>
          <w:iCs/>
          <w:sz w:val="22"/>
          <w:szCs w:val="22"/>
          <w:lang w:val="es-ES"/>
        </w:rPr>
        <w:t xml:space="preserve">hallar el origen de la crisis de los cayucos en la efectividad de las medidas adoptadas en el Estrecho de Gibraltar como ruta tradicional de la inmigración </w:t>
      </w:r>
      <w:r w:rsidRPr="00F036DB">
        <w:rPr>
          <w:i/>
          <w:iCs/>
          <w:sz w:val="22"/>
          <w:szCs w:val="22"/>
          <w:lang w:val="es-ES"/>
        </w:rPr>
        <w:t xml:space="preserve">ilegal. En efecto, la cooperación policial hispano-marroquí, traducida en patrullas conjuntas, y la operatividad del Servicio Integral de Vigilancia Exterior (SIVE), provocaron la marcha hacia el sur de las mafias de traficantes y con destino a las Islas Canarias. En primer lugar, desde las costas más cercanas del sur de Marruecos en torno a </w:t>
      </w:r>
      <w:proofErr w:type="spellStart"/>
      <w:r w:rsidRPr="00F036DB">
        <w:rPr>
          <w:i/>
          <w:iCs/>
          <w:sz w:val="22"/>
          <w:szCs w:val="22"/>
          <w:lang w:val="es-ES"/>
        </w:rPr>
        <w:t>Tarfaya</w:t>
      </w:r>
      <w:proofErr w:type="spellEnd"/>
      <w:r w:rsidRPr="00F036DB">
        <w:rPr>
          <w:i/>
          <w:iCs/>
          <w:sz w:val="22"/>
          <w:szCs w:val="22"/>
          <w:lang w:val="es-ES"/>
        </w:rPr>
        <w:t xml:space="preserve"> y el norte del territorio ocupado del Sahara occidental para después, una vez taponados estos puntos por las autoridades marroquíes, encontrar la salida cada vez más al sur. Primero Mauritania, después Cabo Verde y Senegal y luego probablemente Guinea Bissau, Guinea o Sierra Leona. De este modo, mayores distancias </w:t>
      </w:r>
      <w:r w:rsidR="00E16DEA" w:rsidRPr="00F036DB">
        <w:rPr>
          <w:i/>
          <w:iCs/>
          <w:sz w:val="22"/>
          <w:szCs w:val="22"/>
          <w:lang w:val="es-ES"/>
        </w:rPr>
        <w:t>que transitar aumentando la peligrosidad de la travesía”</w:t>
      </w:r>
      <w:r w:rsidR="00E16DEA" w:rsidRPr="00F036DB">
        <w:rPr>
          <w:sz w:val="22"/>
          <w:szCs w:val="22"/>
          <w:lang w:val="es-ES"/>
        </w:rPr>
        <w:t xml:space="preserve"> (</w:t>
      </w:r>
      <w:r w:rsidR="00D275C8" w:rsidRPr="00F036DB">
        <w:rPr>
          <w:sz w:val="22"/>
          <w:szCs w:val="22"/>
          <w:lang w:val="es-ES"/>
        </w:rPr>
        <w:t>Acosta Sánchez y Del Valle-Gálvez, 2006: 23)</w:t>
      </w:r>
      <w:r w:rsidR="00D275C8">
        <w:rPr>
          <w:lang w:val="es-ES"/>
        </w:rPr>
        <w:t xml:space="preserve">. </w:t>
      </w:r>
    </w:p>
    <w:p w14:paraId="1AA7D36E" w14:textId="77777777" w:rsidR="00F676DF" w:rsidRDefault="00F676DF" w:rsidP="00F676DF">
      <w:pPr>
        <w:pStyle w:val="NormalWeb"/>
        <w:widowControl w:val="0"/>
        <w:adjustRightInd w:val="0"/>
        <w:spacing w:line="360" w:lineRule="auto"/>
        <w:ind w:left="680" w:right="680" w:firstLine="28"/>
        <w:contextualSpacing/>
        <w:jc w:val="both"/>
        <w:rPr>
          <w:lang w:val="es-ES"/>
        </w:rPr>
      </w:pPr>
    </w:p>
    <w:p w14:paraId="60334AF4" w14:textId="18025F1A" w:rsidR="00F079F5" w:rsidRDefault="00BA3CAB" w:rsidP="00F676DF">
      <w:pPr>
        <w:pStyle w:val="NormalWeb"/>
        <w:spacing w:line="360" w:lineRule="auto"/>
        <w:ind w:right="-7" w:firstLine="709"/>
        <w:contextualSpacing/>
        <w:jc w:val="both"/>
        <w:rPr>
          <w:lang w:val="es-ES"/>
        </w:rPr>
      </w:pPr>
      <w:r>
        <w:rPr>
          <w:lang w:val="es-ES"/>
        </w:rPr>
        <w:t>Frente a esta dinámica</w:t>
      </w:r>
      <w:r w:rsidR="00377D22">
        <w:rPr>
          <w:lang w:val="es-ES"/>
        </w:rPr>
        <w:t xml:space="preserve">, el gobierno español </w:t>
      </w:r>
      <w:r>
        <w:rPr>
          <w:lang w:val="es-ES"/>
        </w:rPr>
        <w:t>apeló a</w:t>
      </w:r>
      <w:r w:rsidR="00377D22">
        <w:rPr>
          <w:lang w:val="es-ES"/>
        </w:rPr>
        <w:t xml:space="preserve"> la estrategia</w:t>
      </w:r>
      <w:r w:rsidR="00EC021B">
        <w:rPr>
          <w:lang w:val="es-ES"/>
        </w:rPr>
        <w:t xml:space="preserve"> de la “cooperación” </w:t>
      </w:r>
      <w:r>
        <w:rPr>
          <w:lang w:val="es-ES"/>
        </w:rPr>
        <w:t>prevista en el artículo 2</w:t>
      </w:r>
      <w:r w:rsidR="00E25C20">
        <w:rPr>
          <w:lang w:val="es-ES"/>
        </w:rPr>
        <w:t>º</w:t>
      </w:r>
      <w:r>
        <w:rPr>
          <w:lang w:val="es-ES"/>
        </w:rPr>
        <w:t xml:space="preserve"> </w:t>
      </w:r>
      <w:r w:rsidR="00945312">
        <w:rPr>
          <w:lang w:val="es-ES"/>
        </w:rPr>
        <w:t xml:space="preserve">de </w:t>
      </w:r>
      <w:r>
        <w:rPr>
          <w:lang w:val="es-ES"/>
        </w:rPr>
        <w:t>la regulación 2007/2004</w:t>
      </w:r>
      <w:r w:rsidR="00877B90">
        <w:rPr>
          <w:lang w:val="es-ES"/>
        </w:rPr>
        <w:t xml:space="preserve">, por la cual </w:t>
      </w:r>
      <w:r w:rsidR="00DE0F82">
        <w:rPr>
          <w:lang w:val="es-ES"/>
        </w:rPr>
        <w:t xml:space="preserve">lo </w:t>
      </w:r>
      <w:r w:rsidR="000C6D6F">
        <w:rPr>
          <w:lang w:val="es-ES"/>
        </w:rPr>
        <w:t xml:space="preserve">que </w:t>
      </w:r>
      <w:r w:rsidR="00E57C15">
        <w:rPr>
          <w:lang w:val="es-ES"/>
        </w:rPr>
        <w:t xml:space="preserve">se puso en práctica </w:t>
      </w:r>
      <w:r w:rsidR="003C4698">
        <w:rPr>
          <w:lang w:val="es-ES"/>
        </w:rPr>
        <w:t xml:space="preserve">no </w:t>
      </w:r>
      <w:r w:rsidR="000C6D6F">
        <w:rPr>
          <w:lang w:val="es-ES"/>
        </w:rPr>
        <w:t>f</w:t>
      </w:r>
      <w:r w:rsidR="003C4698">
        <w:rPr>
          <w:lang w:val="es-ES"/>
        </w:rPr>
        <w:t>ueron</w:t>
      </w:r>
      <w:r w:rsidR="000A68E3">
        <w:rPr>
          <w:lang w:val="es-ES"/>
        </w:rPr>
        <w:t xml:space="preserve"> simplemente </w:t>
      </w:r>
      <w:r w:rsidR="003C4698">
        <w:rPr>
          <w:lang w:val="es-ES"/>
        </w:rPr>
        <w:t>acciones de</w:t>
      </w:r>
      <w:r w:rsidR="000A68E3">
        <w:rPr>
          <w:lang w:val="es-ES"/>
        </w:rPr>
        <w:t xml:space="preserve"> control </w:t>
      </w:r>
      <w:r w:rsidR="006670DB">
        <w:rPr>
          <w:lang w:val="es-ES"/>
        </w:rPr>
        <w:t xml:space="preserve">y </w:t>
      </w:r>
      <w:r w:rsidR="00945312">
        <w:rPr>
          <w:lang w:val="es-ES"/>
        </w:rPr>
        <w:t>“</w:t>
      </w:r>
      <w:proofErr w:type="spellStart"/>
      <w:r w:rsidR="006670DB">
        <w:rPr>
          <w:lang w:val="es-ES"/>
        </w:rPr>
        <w:t>securitización</w:t>
      </w:r>
      <w:proofErr w:type="spellEnd"/>
      <w:r w:rsidR="00945312">
        <w:rPr>
          <w:lang w:val="es-ES"/>
        </w:rPr>
        <w:t>”</w:t>
      </w:r>
      <w:r w:rsidR="006670DB">
        <w:rPr>
          <w:lang w:val="es-ES"/>
        </w:rPr>
        <w:t xml:space="preserve"> </w:t>
      </w:r>
      <w:r w:rsidR="000A68E3">
        <w:rPr>
          <w:lang w:val="es-ES"/>
        </w:rPr>
        <w:t xml:space="preserve">de las fronteras externas a la comunidad europea, sino, además, </w:t>
      </w:r>
      <w:r w:rsidR="00170612">
        <w:rPr>
          <w:lang w:val="es-ES"/>
        </w:rPr>
        <w:t xml:space="preserve">se </w:t>
      </w:r>
      <w:r w:rsidR="000C6D6F">
        <w:rPr>
          <w:lang w:val="es-ES"/>
        </w:rPr>
        <w:t>“</w:t>
      </w:r>
      <w:r w:rsidR="000A68E3">
        <w:rPr>
          <w:lang w:val="es-ES"/>
        </w:rPr>
        <w:t>externaliz</w:t>
      </w:r>
      <w:r w:rsidR="006670DB">
        <w:rPr>
          <w:lang w:val="es-ES"/>
        </w:rPr>
        <w:t>aron</w:t>
      </w:r>
      <w:r w:rsidR="000C6D6F">
        <w:rPr>
          <w:lang w:val="es-ES"/>
        </w:rPr>
        <w:t>”</w:t>
      </w:r>
      <w:r w:rsidR="000A68E3">
        <w:rPr>
          <w:lang w:val="es-ES"/>
        </w:rPr>
        <w:t xml:space="preserve"> </w:t>
      </w:r>
      <w:r w:rsidR="006670DB">
        <w:rPr>
          <w:lang w:val="es-ES"/>
        </w:rPr>
        <w:t>dichas acciones</w:t>
      </w:r>
      <w:r w:rsidR="00170612">
        <w:rPr>
          <w:lang w:val="es-ES"/>
        </w:rPr>
        <w:t>,</w:t>
      </w:r>
      <w:r w:rsidR="000A68E3">
        <w:rPr>
          <w:lang w:val="es-ES"/>
        </w:rPr>
        <w:t xml:space="preserve"> </w:t>
      </w:r>
      <w:r w:rsidR="00842DC0">
        <w:rPr>
          <w:lang w:val="es-ES"/>
        </w:rPr>
        <w:t>lo que signific</w:t>
      </w:r>
      <w:r w:rsidR="00877B90">
        <w:rPr>
          <w:lang w:val="es-ES"/>
        </w:rPr>
        <w:t>ó</w:t>
      </w:r>
      <w:r w:rsidR="00842DC0">
        <w:rPr>
          <w:lang w:val="es-ES"/>
        </w:rPr>
        <w:t xml:space="preserve"> </w:t>
      </w:r>
      <w:r w:rsidR="00842DC0">
        <w:rPr>
          <w:i/>
          <w:iCs/>
          <w:lang w:val="es-ES"/>
        </w:rPr>
        <w:t>“</w:t>
      </w:r>
      <w:r w:rsidR="000C6D6F" w:rsidRPr="000C6D6F">
        <w:rPr>
          <w:i/>
          <w:iCs/>
          <w:lang w:val="es-ES_tradnl"/>
        </w:rPr>
        <w:t>comprometer a</w:t>
      </w:r>
      <w:r w:rsidR="00842DC0">
        <w:rPr>
          <w:lang w:val="es-ES"/>
        </w:rPr>
        <w:t xml:space="preserve"> </w:t>
      </w:r>
      <w:r w:rsidR="000C6D6F" w:rsidRPr="000C6D6F">
        <w:rPr>
          <w:i/>
          <w:iCs/>
          <w:lang w:val="es-ES_tradnl"/>
        </w:rPr>
        <w:t xml:space="preserve">los países emisores y de tránsito </w:t>
      </w:r>
      <w:r w:rsidR="000C6D6F" w:rsidRPr="000C6D6F">
        <w:rPr>
          <w:i/>
          <w:iCs/>
          <w:lang w:val="es-ES_tradnl"/>
        </w:rPr>
        <w:lastRenderedPageBreak/>
        <w:t>en el control de los</w:t>
      </w:r>
      <w:r w:rsidR="00842DC0">
        <w:rPr>
          <w:i/>
          <w:iCs/>
          <w:lang w:val="es-ES_tradnl"/>
        </w:rPr>
        <w:t xml:space="preserve"> </w:t>
      </w:r>
      <w:r w:rsidR="000C6D6F" w:rsidRPr="000C6D6F">
        <w:rPr>
          <w:i/>
          <w:iCs/>
          <w:lang w:val="es-ES_tradnl"/>
        </w:rPr>
        <w:t>flujos migratorio</w:t>
      </w:r>
      <w:r w:rsidR="00842DC0">
        <w:rPr>
          <w:i/>
          <w:iCs/>
          <w:lang w:val="es-ES_tradnl"/>
        </w:rPr>
        <w:t xml:space="preserve">s”, </w:t>
      </w:r>
      <w:r w:rsidR="00842DC0">
        <w:rPr>
          <w:lang w:val="es-ES_tradnl"/>
        </w:rPr>
        <w:t xml:space="preserve">cambiando </w:t>
      </w:r>
      <w:r w:rsidR="00842DC0">
        <w:rPr>
          <w:i/>
          <w:iCs/>
          <w:lang w:val="es-ES_tradnl"/>
        </w:rPr>
        <w:t>“</w:t>
      </w:r>
      <w:r w:rsidR="000C6D6F" w:rsidRPr="000C6D6F">
        <w:rPr>
          <w:i/>
          <w:iCs/>
          <w:lang w:val="es-ES_tradnl"/>
        </w:rPr>
        <w:t>el lugar</w:t>
      </w:r>
      <w:r w:rsidR="00842DC0">
        <w:rPr>
          <w:lang w:val="es-ES"/>
        </w:rPr>
        <w:t xml:space="preserve"> </w:t>
      </w:r>
      <w:r w:rsidR="000C6D6F" w:rsidRPr="000C6D6F">
        <w:rPr>
          <w:i/>
          <w:iCs/>
          <w:lang w:val="es-ES_tradnl"/>
        </w:rPr>
        <w:t>de control a un lugar más lejos del territorio nacional</w:t>
      </w:r>
      <w:r w:rsidR="00842DC0">
        <w:rPr>
          <w:i/>
          <w:iCs/>
          <w:lang w:val="es-ES_tradnl"/>
        </w:rPr>
        <w:t xml:space="preserve">” </w:t>
      </w:r>
      <w:r w:rsidR="00842DC0">
        <w:rPr>
          <w:lang w:val="es-ES_tradnl"/>
        </w:rPr>
        <w:t>(Zapata Barrero y Zaragoza Cristiani, 2009: 187).</w:t>
      </w:r>
      <w:r w:rsidR="00FB0D3F">
        <w:rPr>
          <w:lang w:val="es-ES"/>
        </w:rPr>
        <w:t xml:space="preserve"> </w:t>
      </w:r>
      <w:r w:rsidR="00877B90">
        <w:rPr>
          <w:lang w:val="es-ES"/>
        </w:rPr>
        <w:t>Para ello, se firmaron</w:t>
      </w:r>
      <w:r w:rsidR="00FB0D3F">
        <w:rPr>
          <w:lang w:val="es-ES"/>
        </w:rPr>
        <w:t xml:space="preserve"> acuerdos </w:t>
      </w:r>
      <w:r w:rsidR="00170612">
        <w:rPr>
          <w:lang w:val="es-ES"/>
        </w:rPr>
        <w:t>como resultado de los cuales</w:t>
      </w:r>
      <w:r w:rsidR="00FB0D3F">
        <w:rPr>
          <w:lang w:val="es-ES"/>
        </w:rPr>
        <w:t xml:space="preserve"> los </w:t>
      </w:r>
      <w:r w:rsidR="00915B61">
        <w:rPr>
          <w:lang w:val="es-ES"/>
        </w:rPr>
        <w:t xml:space="preserve">países </w:t>
      </w:r>
      <w:r w:rsidR="00FB0D3F">
        <w:rPr>
          <w:lang w:val="es-ES"/>
        </w:rPr>
        <w:t>signatarios</w:t>
      </w:r>
      <w:r w:rsidR="00877B90">
        <w:rPr>
          <w:lang w:val="es-ES"/>
        </w:rPr>
        <w:t xml:space="preserve">, todos ellos puntos de partida de emigrantes, </w:t>
      </w:r>
      <w:r w:rsidR="00FB0D3F">
        <w:rPr>
          <w:lang w:val="es-ES"/>
        </w:rPr>
        <w:t xml:space="preserve">asumieron </w:t>
      </w:r>
      <w:r w:rsidR="00915B61">
        <w:rPr>
          <w:lang w:val="es-ES"/>
        </w:rPr>
        <w:t>dichas funciones de control</w:t>
      </w:r>
      <w:r w:rsidR="00170612">
        <w:rPr>
          <w:lang w:val="es-ES"/>
        </w:rPr>
        <w:t xml:space="preserve"> y aceptaron </w:t>
      </w:r>
      <w:r w:rsidR="00915B61">
        <w:rPr>
          <w:lang w:val="es-ES"/>
        </w:rPr>
        <w:t xml:space="preserve">también </w:t>
      </w:r>
      <w:r w:rsidR="00660D42">
        <w:rPr>
          <w:lang w:val="es-ES"/>
        </w:rPr>
        <w:t>readmitir a los migrantes irregulares</w:t>
      </w:r>
      <w:r w:rsidR="00915B61">
        <w:rPr>
          <w:lang w:val="es-ES"/>
        </w:rPr>
        <w:t xml:space="preserve">, aunque no fueran nacionales, pero </w:t>
      </w:r>
      <w:r w:rsidR="00170612">
        <w:rPr>
          <w:lang w:val="es-ES"/>
        </w:rPr>
        <w:t xml:space="preserve">que </w:t>
      </w:r>
      <w:r w:rsidR="00915B61">
        <w:rPr>
          <w:lang w:val="es-ES"/>
        </w:rPr>
        <w:t xml:space="preserve">hubiesen </w:t>
      </w:r>
      <w:r w:rsidR="00170612">
        <w:rPr>
          <w:lang w:val="es-ES"/>
        </w:rPr>
        <w:t>salido</w:t>
      </w:r>
      <w:r w:rsidR="00915B61">
        <w:rPr>
          <w:lang w:val="es-ES"/>
        </w:rPr>
        <w:t xml:space="preserve"> de</w:t>
      </w:r>
      <w:r w:rsidR="00951FF2">
        <w:rPr>
          <w:lang w:val="es-ES"/>
        </w:rPr>
        <w:t xml:space="preserve"> su territorio</w:t>
      </w:r>
      <w:r w:rsidR="00660D42">
        <w:rPr>
          <w:lang w:val="es-ES"/>
        </w:rPr>
        <w:t xml:space="preserve">. La lista de los </w:t>
      </w:r>
      <w:r w:rsidR="00951FF2">
        <w:rPr>
          <w:lang w:val="es-ES"/>
        </w:rPr>
        <w:t>tratados</w:t>
      </w:r>
      <w:r w:rsidR="00660D42">
        <w:rPr>
          <w:lang w:val="es-ES"/>
        </w:rPr>
        <w:t xml:space="preserve"> firmados por España con esta finalidad es larga y tiene su punto de partida en el convenio relativo a la circulación de personas, el tránsito y la readmisión de extranjeros entrados </w:t>
      </w:r>
      <w:r w:rsidR="005E2D44">
        <w:rPr>
          <w:lang w:val="es-ES"/>
        </w:rPr>
        <w:t>ilegalmente que se suscribió con Marruecos en 1992</w:t>
      </w:r>
      <w:r w:rsidR="00F80F4B">
        <w:rPr>
          <w:lang w:val="es-ES"/>
        </w:rPr>
        <w:t xml:space="preserve">, aunque </w:t>
      </w:r>
      <w:r w:rsidR="008E3027">
        <w:rPr>
          <w:lang w:val="es-ES"/>
        </w:rPr>
        <w:t>este país aceptó cumplirlo recién a partir de 2003</w:t>
      </w:r>
      <w:r w:rsidR="008E3027">
        <w:rPr>
          <w:rStyle w:val="Refdenotaalpie"/>
          <w:lang w:val="es-ES"/>
        </w:rPr>
        <w:footnoteReference w:id="7"/>
      </w:r>
      <w:r w:rsidR="00F33E55">
        <w:rPr>
          <w:lang w:val="es-ES"/>
        </w:rPr>
        <w:t xml:space="preserve">, lo que implicó un aporte inicial de 50 millones de euros a favor de Marruecos, </w:t>
      </w:r>
      <w:r w:rsidR="00044AAC">
        <w:rPr>
          <w:lang w:val="es-ES"/>
        </w:rPr>
        <w:t xml:space="preserve">suma </w:t>
      </w:r>
      <w:r w:rsidR="00F33E55">
        <w:rPr>
          <w:lang w:val="es-ES"/>
        </w:rPr>
        <w:t>que se ampliaría a 500 millones en los años posteriores</w:t>
      </w:r>
      <w:r w:rsidR="00F80F4B">
        <w:rPr>
          <w:lang w:val="es-ES"/>
        </w:rPr>
        <w:t>.</w:t>
      </w:r>
      <w:r w:rsidR="005E2D44">
        <w:rPr>
          <w:lang w:val="es-ES"/>
        </w:rPr>
        <w:t xml:space="preserve"> Le siguieron los </w:t>
      </w:r>
      <w:r w:rsidR="00044AAC">
        <w:rPr>
          <w:lang w:val="es-ES"/>
        </w:rPr>
        <w:t xml:space="preserve">acuerdos </w:t>
      </w:r>
      <w:r w:rsidR="005E2D44">
        <w:rPr>
          <w:lang w:val="es-ES"/>
        </w:rPr>
        <w:t>firmados con Argelia (2003), con Guinea Bissau (2003) y con Mauritania (2003), también relativos a la readmisión de personas, y los celebrados con Gambia</w:t>
      </w:r>
      <w:r w:rsidR="00675BA3">
        <w:rPr>
          <w:lang w:val="es-ES"/>
        </w:rPr>
        <w:t xml:space="preserve"> (2006)</w:t>
      </w:r>
      <w:r w:rsidR="005E2D44">
        <w:rPr>
          <w:lang w:val="es-ES"/>
        </w:rPr>
        <w:t>, la República de Gu</w:t>
      </w:r>
      <w:r w:rsidR="00675BA3">
        <w:rPr>
          <w:lang w:val="es-ES"/>
        </w:rPr>
        <w:t>inea (2007) y la República de Cabo Verde (2008), de cooperación en materia migratoria</w:t>
      </w:r>
      <w:r w:rsidR="00F079F5">
        <w:rPr>
          <w:lang w:val="es-ES"/>
        </w:rPr>
        <w:t>. También</w:t>
      </w:r>
      <w:r w:rsidR="00675BA3">
        <w:rPr>
          <w:lang w:val="es-ES"/>
        </w:rPr>
        <w:t xml:space="preserve"> se </w:t>
      </w:r>
      <w:r w:rsidR="00833742">
        <w:rPr>
          <w:lang w:val="es-ES"/>
        </w:rPr>
        <w:t xml:space="preserve">suscribieron otros </w:t>
      </w:r>
      <w:r w:rsidR="00F079F5">
        <w:rPr>
          <w:lang w:val="es-ES"/>
        </w:rPr>
        <w:t xml:space="preserve">sobre readmisión </w:t>
      </w:r>
      <w:r w:rsidR="00833742">
        <w:rPr>
          <w:lang w:val="es-ES"/>
        </w:rPr>
        <w:t>con Ghana</w:t>
      </w:r>
      <w:r w:rsidR="00F079F5">
        <w:rPr>
          <w:lang w:val="es-ES"/>
        </w:rPr>
        <w:t xml:space="preserve"> </w:t>
      </w:r>
      <w:r w:rsidR="00833742">
        <w:rPr>
          <w:lang w:val="es-ES"/>
        </w:rPr>
        <w:t xml:space="preserve">(2005), Senegal (2006) y Malí (2007), </w:t>
      </w:r>
      <w:r w:rsidR="00F079F5">
        <w:rPr>
          <w:lang w:val="es-ES"/>
        </w:rPr>
        <w:t xml:space="preserve">pero que, </w:t>
      </w:r>
      <w:r w:rsidR="00F079F5" w:rsidRPr="00F079F5">
        <w:rPr>
          <w:i/>
          <w:iCs/>
          <w:lang w:val="es-ES"/>
        </w:rPr>
        <w:t>“a</w:t>
      </w:r>
      <w:r w:rsidR="00F079F5" w:rsidRPr="00F079F5">
        <w:rPr>
          <w:i/>
          <w:iCs/>
        </w:rPr>
        <w:t>l tratarse de documentos no publicados en el Boletín Oficial del Estado y cuya divulgación se suele realizar por medios extraoficiales, como por ejemplo la prensa, el acceso al contenido de los mismos es realmente difícil</w:t>
      </w:r>
      <w:bookmarkStart w:id="0" w:name="12"/>
      <w:bookmarkEnd w:id="0"/>
      <w:r w:rsidR="00F079F5" w:rsidRPr="00F079F5">
        <w:rPr>
          <w:i/>
          <w:iCs/>
          <w:lang w:val="es-ES"/>
        </w:rPr>
        <w:t>”</w:t>
      </w:r>
      <w:r w:rsidR="001A12BA">
        <w:rPr>
          <w:lang w:val="es-ES"/>
        </w:rPr>
        <w:t xml:space="preserve"> (Asín Cabrera, 2008:173).</w:t>
      </w:r>
    </w:p>
    <w:p w14:paraId="601F13E9" w14:textId="17A6706C" w:rsidR="008E3027" w:rsidRDefault="00566E2D" w:rsidP="00F676DF">
      <w:pPr>
        <w:pStyle w:val="NormalWeb"/>
        <w:spacing w:line="360" w:lineRule="auto"/>
        <w:ind w:firstLine="708"/>
        <w:contextualSpacing/>
        <w:jc w:val="both"/>
        <w:rPr>
          <w:lang w:val="es-ES"/>
        </w:rPr>
      </w:pPr>
      <w:r>
        <w:rPr>
          <w:lang w:val="es-ES"/>
        </w:rPr>
        <w:t>El efecto de las</w:t>
      </w:r>
      <w:r w:rsidR="00951FF2">
        <w:rPr>
          <w:lang w:val="es-ES"/>
        </w:rPr>
        <w:t xml:space="preserve"> acciones de</w:t>
      </w:r>
      <w:r w:rsidR="007302BD">
        <w:rPr>
          <w:lang w:val="es-ES"/>
        </w:rPr>
        <w:t xml:space="preserve"> patrullaje del</w:t>
      </w:r>
      <w:r w:rsidR="00951FF2">
        <w:rPr>
          <w:lang w:val="es-ES"/>
        </w:rPr>
        <w:t xml:space="preserve"> SIVE en forma </w:t>
      </w:r>
      <w:r w:rsidR="00DE0F82">
        <w:rPr>
          <w:lang w:val="es-ES"/>
        </w:rPr>
        <w:t>coordinada con FRONTEX y</w:t>
      </w:r>
      <w:r>
        <w:rPr>
          <w:lang w:val="es-ES"/>
        </w:rPr>
        <w:t xml:space="preserve"> la colaboración de Marruecos</w:t>
      </w:r>
      <w:r w:rsidR="00951FF2">
        <w:rPr>
          <w:lang w:val="es-ES"/>
        </w:rPr>
        <w:t xml:space="preserve"> llev</w:t>
      </w:r>
      <w:r>
        <w:rPr>
          <w:lang w:val="es-ES"/>
        </w:rPr>
        <w:t>ó</w:t>
      </w:r>
      <w:r w:rsidR="00951FF2">
        <w:rPr>
          <w:lang w:val="es-ES"/>
        </w:rPr>
        <w:t xml:space="preserve"> a una </w:t>
      </w:r>
      <w:r>
        <w:rPr>
          <w:lang w:val="es-ES"/>
        </w:rPr>
        <w:t>casi inmediata</w:t>
      </w:r>
      <w:r w:rsidR="00951FF2">
        <w:rPr>
          <w:lang w:val="es-ES"/>
        </w:rPr>
        <w:t xml:space="preserve"> </w:t>
      </w:r>
      <w:r w:rsidR="00D859AC">
        <w:rPr>
          <w:lang w:val="es-ES"/>
        </w:rPr>
        <w:t xml:space="preserve">reducción en el número </w:t>
      </w:r>
      <w:r w:rsidR="00951FF2">
        <w:rPr>
          <w:lang w:val="es-ES"/>
        </w:rPr>
        <w:t xml:space="preserve">de </w:t>
      </w:r>
      <w:r w:rsidR="007302BD">
        <w:rPr>
          <w:lang w:val="es-ES"/>
        </w:rPr>
        <w:t xml:space="preserve">las embarcaciones salidas de </w:t>
      </w:r>
      <w:r w:rsidR="00DE0F82">
        <w:rPr>
          <w:lang w:val="es-ES"/>
        </w:rPr>
        <w:t>este país</w:t>
      </w:r>
      <w:r w:rsidR="007302BD">
        <w:rPr>
          <w:lang w:val="es-ES"/>
        </w:rPr>
        <w:t xml:space="preserve"> hacia España, provocando que ya en agosto de 2006 la cantidad de personas que logr</w:t>
      </w:r>
      <w:r>
        <w:rPr>
          <w:lang w:val="es-ES"/>
        </w:rPr>
        <w:t>a</w:t>
      </w:r>
      <w:r w:rsidR="007302BD">
        <w:rPr>
          <w:lang w:val="es-ES"/>
        </w:rPr>
        <w:t xml:space="preserve">ron cruzar el estrecho de Gibraltar se redujeran </w:t>
      </w:r>
      <w:r w:rsidR="003A7D4F">
        <w:rPr>
          <w:lang w:val="es-ES"/>
        </w:rPr>
        <w:t xml:space="preserve">a 4.329, en comparación con las </w:t>
      </w:r>
      <w:r w:rsidR="007302BD">
        <w:rPr>
          <w:lang w:val="es-ES"/>
        </w:rPr>
        <w:t>6.287</w:t>
      </w:r>
      <w:r w:rsidR="00F33E55">
        <w:rPr>
          <w:lang w:val="es-ES"/>
        </w:rPr>
        <w:t xml:space="preserve"> que lo habían hecho</w:t>
      </w:r>
      <w:r w:rsidR="007302BD">
        <w:rPr>
          <w:lang w:val="es-ES"/>
        </w:rPr>
        <w:t xml:space="preserve"> en el mismo período del año anterior</w:t>
      </w:r>
      <w:r w:rsidR="00F45AF2">
        <w:rPr>
          <w:lang w:val="es-ES"/>
        </w:rPr>
        <w:t xml:space="preserve">. </w:t>
      </w:r>
      <w:r w:rsidR="00DE0F82">
        <w:rPr>
          <w:lang w:val="es-ES"/>
        </w:rPr>
        <w:t xml:space="preserve"> </w:t>
      </w:r>
      <w:r w:rsidR="00F45AF2">
        <w:rPr>
          <w:lang w:val="es-ES"/>
        </w:rPr>
        <w:t xml:space="preserve">Por su parte, </w:t>
      </w:r>
      <w:r w:rsidR="00D859AC">
        <w:rPr>
          <w:lang w:val="es-ES"/>
        </w:rPr>
        <w:t>con respecto</w:t>
      </w:r>
      <w:r w:rsidR="00F45AF2">
        <w:rPr>
          <w:lang w:val="es-ES"/>
        </w:rPr>
        <w:t xml:space="preserve"> </w:t>
      </w:r>
      <w:r w:rsidR="004A4CE9">
        <w:rPr>
          <w:lang w:val="es-ES"/>
        </w:rPr>
        <w:t xml:space="preserve">a </w:t>
      </w:r>
      <w:r w:rsidR="00F45AF2">
        <w:rPr>
          <w:lang w:val="es-ES"/>
        </w:rPr>
        <w:t>los llegados a las islas Canarias</w:t>
      </w:r>
      <w:r w:rsidR="00D859AC">
        <w:rPr>
          <w:lang w:val="es-ES"/>
        </w:rPr>
        <w:t xml:space="preserve">, mientras que en 2005 la </w:t>
      </w:r>
      <w:r w:rsidR="00170612">
        <w:rPr>
          <w:lang w:val="es-ES"/>
        </w:rPr>
        <w:t>mayoría</w:t>
      </w:r>
      <w:r w:rsidR="00D859AC">
        <w:rPr>
          <w:lang w:val="es-ES"/>
        </w:rPr>
        <w:t xml:space="preserve"> eran marroquíes, en el año de la llamada “crisis</w:t>
      </w:r>
      <w:r w:rsidR="00725086">
        <w:rPr>
          <w:lang w:val="es-ES"/>
        </w:rPr>
        <w:t xml:space="preserve"> de los cayucos</w:t>
      </w:r>
      <w:r w:rsidR="00D859AC">
        <w:rPr>
          <w:lang w:val="es-ES"/>
        </w:rPr>
        <w:t xml:space="preserve">”, 2006, solamente 338 </w:t>
      </w:r>
      <w:r w:rsidR="00B94B97">
        <w:rPr>
          <w:lang w:val="es-ES"/>
        </w:rPr>
        <w:t xml:space="preserve">de los 26.498 registrados en septiembre </w:t>
      </w:r>
      <w:r w:rsidR="00D859AC">
        <w:rPr>
          <w:lang w:val="es-ES"/>
        </w:rPr>
        <w:t>tenían esta nacionalidad</w:t>
      </w:r>
      <w:r w:rsidR="00DE0F82">
        <w:rPr>
          <w:lang w:val="es-ES"/>
        </w:rPr>
        <w:t>,</w:t>
      </w:r>
      <w:r w:rsidR="00B94B97">
        <w:rPr>
          <w:lang w:val="es-ES"/>
        </w:rPr>
        <w:t xml:space="preserve"> </w:t>
      </w:r>
      <w:r w:rsidR="00D859AC">
        <w:rPr>
          <w:lang w:val="es-ES"/>
        </w:rPr>
        <w:t>lo que muestra que Marruecos dejó de ser el país de salida por excelencia hacia España</w:t>
      </w:r>
      <w:r w:rsidR="004A4CE9">
        <w:rPr>
          <w:lang w:val="es-ES"/>
        </w:rPr>
        <w:t xml:space="preserve">, siendo reemplazado por otros Estados africanos ubicados más al sur, desde donde </w:t>
      </w:r>
      <w:r w:rsidR="00AB1243">
        <w:rPr>
          <w:lang w:val="es-ES"/>
        </w:rPr>
        <w:t xml:space="preserve">comenzaron a </w:t>
      </w:r>
      <w:r w:rsidR="00044AAC">
        <w:rPr>
          <w:lang w:val="es-ES"/>
        </w:rPr>
        <w:t>producirse</w:t>
      </w:r>
      <w:r w:rsidR="004A4CE9">
        <w:rPr>
          <w:lang w:val="es-ES"/>
        </w:rPr>
        <w:t xml:space="preserve"> los desplazamientos </w:t>
      </w:r>
      <w:r w:rsidR="00DE0F82">
        <w:rPr>
          <w:lang w:val="es-ES"/>
        </w:rPr>
        <w:t>a</w:t>
      </w:r>
      <w:r w:rsidR="00FB529B">
        <w:rPr>
          <w:lang w:val="es-ES"/>
        </w:rPr>
        <w:t xml:space="preserve"> las islas Canarias</w:t>
      </w:r>
      <w:r w:rsidR="00F80F4B">
        <w:rPr>
          <w:lang w:val="es-ES"/>
        </w:rPr>
        <w:t xml:space="preserve">. Sin embargo, la cooperación </w:t>
      </w:r>
      <w:r w:rsidR="00D13322">
        <w:rPr>
          <w:lang w:val="es-ES"/>
        </w:rPr>
        <w:t>en el patrullaje</w:t>
      </w:r>
      <w:r w:rsidR="00F80F4B">
        <w:rPr>
          <w:lang w:val="es-ES"/>
        </w:rPr>
        <w:t xml:space="preserve"> </w:t>
      </w:r>
      <w:r w:rsidR="004A4CE9">
        <w:rPr>
          <w:lang w:val="es-ES"/>
        </w:rPr>
        <w:t xml:space="preserve">de muchos de esos </w:t>
      </w:r>
      <w:r w:rsidR="00F80F4B">
        <w:rPr>
          <w:lang w:val="es-ES"/>
        </w:rPr>
        <w:t xml:space="preserve">países con salida al Atlántico </w:t>
      </w:r>
      <w:r w:rsidR="00D13322">
        <w:rPr>
          <w:lang w:val="es-ES"/>
        </w:rPr>
        <w:t>-</w:t>
      </w:r>
      <w:r w:rsidR="00F80F4B">
        <w:rPr>
          <w:lang w:val="es-ES"/>
        </w:rPr>
        <w:t xml:space="preserve">o </w:t>
      </w:r>
      <w:r w:rsidR="00D13322">
        <w:rPr>
          <w:lang w:val="es-ES"/>
        </w:rPr>
        <w:t xml:space="preserve">de tránsito hacia este océano como </w:t>
      </w:r>
      <w:r w:rsidR="004A4CE9">
        <w:rPr>
          <w:lang w:val="es-ES"/>
        </w:rPr>
        <w:t>fue</w:t>
      </w:r>
      <w:r w:rsidR="00D13322">
        <w:rPr>
          <w:lang w:val="es-ES"/>
        </w:rPr>
        <w:t xml:space="preserve"> el caso de Malí- llevaron a que en forma paulatina también se bloquearan las rutas con origen en </w:t>
      </w:r>
      <w:r w:rsidR="00AB1243">
        <w:rPr>
          <w:lang w:val="es-ES"/>
        </w:rPr>
        <w:t xml:space="preserve">estos </w:t>
      </w:r>
      <w:r w:rsidR="00D13322">
        <w:rPr>
          <w:lang w:val="es-ES"/>
        </w:rPr>
        <w:t>puertos</w:t>
      </w:r>
      <w:r w:rsidR="00B9607D">
        <w:rPr>
          <w:lang w:val="es-ES"/>
        </w:rPr>
        <w:t xml:space="preserve"> más meridionales,</w:t>
      </w:r>
      <w:r w:rsidR="00D13322">
        <w:rPr>
          <w:lang w:val="es-ES"/>
        </w:rPr>
        <w:t xml:space="preserve"> </w:t>
      </w:r>
      <w:r w:rsidR="0070362C">
        <w:rPr>
          <w:lang w:val="es-ES"/>
        </w:rPr>
        <w:t xml:space="preserve">tales </w:t>
      </w:r>
      <w:r w:rsidR="00D13322">
        <w:rPr>
          <w:lang w:val="es-ES"/>
        </w:rPr>
        <w:t xml:space="preserve">como </w:t>
      </w:r>
      <w:proofErr w:type="spellStart"/>
      <w:r w:rsidR="0070362C">
        <w:rPr>
          <w:lang w:val="es-ES"/>
        </w:rPr>
        <w:t>Nouad</w:t>
      </w:r>
      <w:r w:rsidR="00D45812">
        <w:rPr>
          <w:lang w:val="es-ES"/>
        </w:rPr>
        <w:t>h</w:t>
      </w:r>
      <w:r w:rsidR="0070362C">
        <w:rPr>
          <w:lang w:val="es-ES"/>
        </w:rPr>
        <w:t>ibou</w:t>
      </w:r>
      <w:proofErr w:type="spellEnd"/>
      <w:r w:rsidR="00D13322">
        <w:rPr>
          <w:lang w:val="es-ES"/>
        </w:rPr>
        <w:t xml:space="preserve"> </w:t>
      </w:r>
      <w:r w:rsidR="00D45812">
        <w:rPr>
          <w:lang w:val="es-ES"/>
        </w:rPr>
        <w:t>en</w:t>
      </w:r>
      <w:r w:rsidR="00D13322">
        <w:rPr>
          <w:lang w:val="es-ES"/>
        </w:rPr>
        <w:t xml:space="preserve"> Mauritania y Dakar o Saint-Louis en Senegal</w:t>
      </w:r>
      <w:r w:rsidR="00B9607D">
        <w:rPr>
          <w:lang w:val="es-ES"/>
        </w:rPr>
        <w:t xml:space="preserve">. En este contexto, </w:t>
      </w:r>
      <w:r w:rsidR="00B9607D">
        <w:rPr>
          <w:i/>
          <w:iCs/>
          <w:lang w:val="es-ES"/>
        </w:rPr>
        <w:t>“Libia se mantuvo como él único punto de partida realmente significativo para la emigración irregular por vía marítima hacia Europa”</w:t>
      </w:r>
      <w:r w:rsidR="00B9607D">
        <w:rPr>
          <w:lang w:val="es-ES"/>
        </w:rPr>
        <w:t xml:space="preserve"> (</w:t>
      </w:r>
      <w:proofErr w:type="spellStart"/>
      <w:r w:rsidR="00B9607D">
        <w:rPr>
          <w:lang w:val="es-ES"/>
        </w:rPr>
        <w:t>Coslovi</w:t>
      </w:r>
      <w:proofErr w:type="spellEnd"/>
      <w:r w:rsidR="00B9607D">
        <w:rPr>
          <w:lang w:val="es-ES"/>
        </w:rPr>
        <w:t>, 2007: 11)</w:t>
      </w:r>
      <w:r w:rsidR="00D55BB2">
        <w:rPr>
          <w:lang w:val="es-ES"/>
        </w:rPr>
        <w:t xml:space="preserve"> desde África.</w:t>
      </w:r>
    </w:p>
    <w:p w14:paraId="5E68F804" w14:textId="77777777" w:rsidR="00BC7CC9" w:rsidRPr="00BC7CC9" w:rsidRDefault="00BC7CC9" w:rsidP="00F676DF">
      <w:pPr>
        <w:pStyle w:val="NormalWeb"/>
        <w:spacing w:line="360" w:lineRule="auto"/>
        <w:ind w:firstLine="708"/>
        <w:contextualSpacing/>
        <w:jc w:val="both"/>
        <w:rPr>
          <w:lang w:val="es-ES"/>
        </w:rPr>
      </w:pPr>
    </w:p>
    <w:p w14:paraId="32773D79" w14:textId="7E0E00C8" w:rsidR="00974083" w:rsidRDefault="003A7D4F" w:rsidP="00F676DF">
      <w:pPr>
        <w:pStyle w:val="NormalWeb"/>
        <w:spacing w:line="360" w:lineRule="auto"/>
        <w:contextualSpacing/>
        <w:jc w:val="both"/>
        <w:rPr>
          <w:b/>
          <w:bCs/>
          <w:lang w:val="es-ES"/>
        </w:rPr>
      </w:pPr>
      <w:r>
        <w:rPr>
          <w:b/>
          <w:bCs/>
          <w:lang w:val="es-ES"/>
        </w:rPr>
        <w:lastRenderedPageBreak/>
        <w:t>El</w:t>
      </w:r>
      <w:r w:rsidR="00B52C0F">
        <w:rPr>
          <w:b/>
          <w:bCs/>
          <w:lang w:val="es-ES"/>
        </w:rPr>
        <w:t xml:space="preserve"> Mediterráneo central</w:t>
      </w:r>
    </w:p>
    <w:p w14:paraId="5E025CFD" w14:textId="58345E0E" w:rsidR="003928BB" w:rsidRDefault="003A7D4F" w:rsidP="00F676DF">
      <w:pPr>
        <w:pStyle w:val="NormalWeb"/>
        <w:spacing w:line="360" w:lineRule="auto"/>
        <w:contextualSpacing/>
        <w:jc w:val="both"/>
        <w:rPr>
          <w:lang w:val="es-ES"/>
        </w:rPr>
      </w:pPr>
      <w:r>
        <w:rPr>
          <w:b/>
          <w:bCs/>
          <w:lang w:val="es-ES"/>
        </w:rPr>
        <w:tab/>
      </w:r>
      <w:r w:rsidR="00A17FD9">
        <w:rPr>
          <w:lang w:val="es-ES"/>
        </w:rPr>
        <w:t>Históricamente, la importancia de Libia en el norte de África debe relacionarse con el descubrimiento de reservas petrolíferas y el alcance de su posición de</w:t>
      </w:r>
      <w:r w:rsidR="00553624">
        <w:rPr>
          <w:lang w:val="es-ES"/>
        </w:rPr>
        <w:t xml:space="preserve"> séptimo productor mundial de crudo en 1965, cuando aún se encontraba vigente la monarquía de</w:t>
      </w:r>
      <w:r w:rsidR="00D45812">
        <w:rPr>
          <w:lang w:val="es-ES"/>
        </w:rPr>
        <w:t>l rey</w:t>
      </w:r>
      <w:r w:rsidR="00553624">
        <w:rPr>
          <w:lang w:val="es-ES"/>
        </w:rPr>
        <w:t xml:space="preserve"> Idris I. </w:t>
      </w:r>
      <w:r w:rsidR="007E52E4">
        <w:rPr>
          <w:lang w:val="es-ES"/>
        </w:rPr>
        <w:t xml:space="preserve">Al asumir el poder </w:t>
      </w:r>
      <w:r w:rsidR="00553624">
        <w:rPr>
          <w:lang w:val="es-ES"/>
        </w:rPr>
        <w:t xml:space="preserve">Muamar el Gadafi tras la revolución del 1º de septiembre de 1969, las actividades en torno a la explotación petrolera se multiplicaron, por lo que empezó una demanda creciente de mano </w:t>
      </w:r>
      <w:r w:rsidR="00D55BB2">
        <w:rPr>
          <w:lang w:val="es-ES"/>
        </w:rPr>
        <w:t xml:space="preserve">de obra </w:t>
      </w:r>
      <w:r w:rsidR="00997ED9">
        <w:rPr>
          <w:lang w:val="es-ES"/>
        </w:rPr>
        <w:t xml:space="preserve">que, debido a lo escasamente poblado que se encontraba el país, se resolvió </w:t>
      </w:r>
      <w:r w:rsidR="007E52E4">
        <w:rPr>
          <w:lang w:val="es-ES"/>
        </w:rPr>
        <w:t xml:space="preserve">con </w:t>
      </w:r>
      <w:r w:rsidR="00A17FD9">
        <w:rPr>
          <w:lang w:val="es-ES"/>
        </w:rPr>
        <w:t xml:space="preserve">la absorción de </w:t>
      </w:r>
      <w:r w:rsidR="00D45812">
        <w:rPr>
          <w:lang w:val="es-ES"/>
        </w:rPr>
        <w:t xml:space="preserve">un </w:t>
      </w:r>
      <w:r w:rsidR="00A17FD9">
        <w:rPr>
          <w:lang w:val="es-ES"/>
        </w:rPr>
        <w:t>número creciente</w:t>
      </w:r>
      <w:r w:rsidR="007E52E4">
        <w:rPr>
          <w:lang w:val="es-ES"/>
        </w:rPr>
        <w:t xml:space="preserve"> de inmigrantes</w:t>
      </w:r>
      <w:r w:rsidR="00A17FD9">
        <w:rPr>
          <w:lang w:val="es-ES"/>
        </w:rPr>
        <w:t xml:space="preserve"> internacionales</w:t>
      </w:r>
      <w:r w:rsidR="007E52E4">
        <w:rPr>
          <w:lang w:val="es-ES"/>
        </w:rPr>
        <w:t>. Por ese entonces, los lugares de procedencia</w:t>
      </w:r>
      <w:r w:rsidR="00A17FD9">
        <w:rPr>
          <w:lang w:val="es-ES"/>
        </w:rPr>
        <w:t xml:space="preserve"> principales</w:t>
      </w:r>
      <w:r w:rsidR="007E52E4">
        <w:rPr>
          <w:lang w:val="es-ES"/>
        </w:rPr>
        <w:t xml:space="preserve"> fueron los</w:t>
      </w:r>
      <w:r w:rsidR="007A0ECF">
        <w:rPr>
          <w:lang w:val="es-ES"/>
        </w:rPr>
        <w:t xml:space="preserve"> países del norte de África, como Túnez y Egipto</w:t>
      </w:r>
      <w:r w:rsidR="00A966A4">
        <w:rPr>
          <w:lang w:val="es-ES"/>
        </w:rPr>
        <w:t xml:space="preserve"> (88.6% de los extranjeros residentes)</w:t>
      </w:r>
      <w:r w:rsidR="007A0ECF">
        <w:rPr>
          <w:lang w:val="es-ES"/>
        </w:rPr>
        <w:t xml:space="preserve">, pero también </w:t>
      </w:r>
      <w:r w:rsidR="00A17FD9">
        <w:rPr>
          <w:lang w:val="es-ES"/>
        </w:rPr>
        <w:t xml:space="preserve">se establecieron </w:t>
      </w:r>
      <w:r w:rsidR="007A0ECF">
        <w:rPr>
          <w:lang w:val="es-ES"/>
        </w:rPr>
        <w:t xml:space="preserve">asiáticos </w:t>
      </w:r>
      <w:r w:rsidR="002C3D6D">
        <w:rPr>
          <w:lang w:val="es-ES"/>
        </w:rPr>
        <w:t>e inclusive</w:t>
      </w:r>
      <w:r w:rsidR="007A0ECF">
        <w:rPr>
          <w:lang w:val="es-ES"/>
        </w:rPr>
        <w:t xml:space="preserve"> europeos</w:t>
      </w:r>
      <w:r w:rsidR="002C3D6D">
        <w:rPr>
          <w:lang w:val="es-ES"/>
        </w:rPr>
        <w:t>, qu</w:t>
      </w:r>
      <w:r w:rsidR="00A17FD9">
        <w:rPr>
          <w:lang w:val="es-ES"/>
        </w:rPr>
        <w:t>ienes</w:t>
      </w:r>
      <w:r w:rsidR="002C3D6D">
        <w:rPr>
          <w:lang w:val="es-ES"/>
        </w:rPr>
        <w:t xml:space="preserve"> llegaron a constituir casi el 20% de la </w:t>
      </w:r>
      <w:r w:rsidR="00D55BB2">
        <w:rPr>
          <w:lang w:val="es-ES"/>
        </w:rPr>
        <w:t>fuerza de trabajo</w:t>
      </w:r>
      <w:r w:rsidR="002C3D6D">
        <w:rPr>
          <w:lang w:val="es-ES"/>
        </w:rPr>
        <w:t>.</w:t>
      </w:r>
      <w:r w:rsidR="00116F8D">
        <w:rPr>
          <w:lang w:val="es-ES"/>
        </w:rPr>
        <w:t xml:space="preserve"> Se modific</w:t>
      </w:r>
      <w:r w:rsidR="00D52AD4">
        <w:rPr>
          <w:lang w:val="es-ES"/>
        </w:rPr>
        <w:t>ó</w:t>
      </w:r>
      <w:r w:rsidR="00116F8D">
        <w:rPr>
          <w:lang w:val="es-ES"/>
        </w:rPr>
        <w:t xml:space="preserve"> esta dinámica tras la caída del precio del petróleo a mediados de la década de 1980</w:t>
      </w:r>
      <w:r w:rsidR="00F64C10">
        <w:rPr>
          <w:lang w:val="es-ES"/>
        </w:rPr>
        <w:t xml:space="preserve">, cuando </w:t>
      </w:r>
      <w:r w:rsidR="00D52AD4">
        <w:rPr>
          <w:lang w:val="es-ES"/>
        </w:rPr>
        <w:t xml:space="preserve">estas circunstancias </w:t>
      </w:r>
      <w:r w:rsidR="00F64C10">
        <w:rPr>
          <w:lang w:val="es-ES"/>
        </w:rPr>
        <w:t>impulsa</w:t>
      </w:r>
      <w:r w:rsidR="00D52AD4">
        <w:rPr>
          <w:lang w:val="es-ES"/>
        </w:rPr>
        <w:t>ron</w:t>
      </w:r>
      <w:r w:rsidR="00F64C10">
        <w:rPr>
          <w:lang w:val="es-ES"/>
        </w:rPr>
        <w:t xml:space="preserve"> un proceso invers</w:t>
      </w:r>
      <w:r w:rsidR="007E52E4">
        <w:rPr>
          <w:lang w:val="es-ES"/>
        </w:rPr>
        <w:t xml:space="preserve">o que se tradujo en expulsiones </w:t>
      </w:r>
      <w:r w:rsidR="00EA0DDC">
        <w:rPr>
          <w:lang w:val="es-ES"/>
        </w:rPr>
        <w:t xml:space="preserve">de extranjeros </w:t>
      </w:r>
      <w:r w:rsidR="007E52E4">
        <w:rPr>
          <w:lang w:val="es-ES"/>
        </w:rPr>
        <w:t>dispuestas por el gobierno</w:t>
      </w:r>
      <w:r w:rsidR="00F64C10">
        <w:rPr>
          <w:lang w:val="es-ES"/>
        </w:rPr>
        <w:t xml:space="preserve">. </w:t>
      </w:r>
      <w:r w:rsidR="007E52E4">
        <w:rPr>
          <w:lang w:val="es-ES"/>
        </w:rPr>
        <w:t>El</w:t>
      </w:r>
      <w:r w:rsidR="001727AC">
        <w:rPr>
          <w:lang w:val="es-ES"/>
        </w:rPr>
        <w:t xml:space="preserve"> blanco de </w:t>
      </w:r>
      <w:r w:rsidR="00D45812">
        <w:rPr>
          <w:lang w:val="es-ES"/>
        </w:rPr>
        <w:t>tales</w:t>
      </w:r>
      <w:r w:rsidR="001727AC">
        <w:rPr>
          <w:lang w:val="es-ES"/>
        </w:rPr>
        <w:t xml:space="preserve"> medidas </w:t>
      </w:r>
      <w:r w:rsidR="00D52AD4">
        <w:rPr>
          <w:lang w:val="es-ES"/>
        </w:rPr>
        <w:t>fueron</w:t>
      </w:r>
      <w:r w:rsidR="001727AC">
        <w:rPr>
          <w:lang w:val="es-ES"/>
        </w:rPr>
        <w:t xml:space="preserve"> entonces los tunecinos y los egipcios</w:t>
      </w:r>
      <w:r w:rsidR="00E04781">
        <w:rPr>
          <w:lang w:val="es-ES"/>
        </w:rPr>
        <w:t xml:space="preserve">, lo que </w:t>
      </w:r>
      <w:r w:rsidR="00E07E32">
        <w:rPr>
          <w:lang w:val="es-ES"/>
        </w:rPr>
        <w:t>Gadafi justificó</w:t>
      </w:r>
      <w:r w:rsidR="00EA0DDC">
        <w:rPr>
          <w:lang w:val="es-ES"/>
        </w:rPr>
        <w:t xml:space="preserve"> ignorando las</w:t>
      </w:r>
      <w:r w:rsidR="00E07E32">
        <w:rPr>
          <w:lang w:val="es-ES"/>
        </w:rPr>
        <w:t xml:space="preserve"> razones económicas</w:t>
      </w:r>
      <w:r w:rsidR="00EA0DDC">
        <w:rPr>
          <w:lang w:val="es-ES"/>
        </w:rPr>
        <w:t xml:space="preserve"> y criticando el acercamiento de sus países de origen a la política de Estados Unidos</w:t>
      </w:r>
      <w:r w:rsidR="00E07E32">
        <w:rPr>
          <w:lang w:val="es-ES"/>
        </w:rPr>
        <w:t xml:space="preserve"> </w:t>
      </w:r>
      <w:r w:rsidR="00E04781">
        <w:rPr>
          <w:lang w:val="es-ES"/>
        </w:rPr>
        <w:t>(Pliez:2006).</w:t>
      </w:r>
      <w:r w:rsidR="003928BB">
        <w:rPr>
          <w:lang w:val="es-ES"/>
        </w:rPr>
        <w:t xml:space="preserve"> </w:t>
      </w:r>
    </w:p>
    <w:p w14:paraId="4B09C3A3" w14:textId="3F9F31F3" w:rsidR="000A4DC0" w:rsidRDefault="003928BB" w:rsidP="00EA0DDC">
      <w:pPr>
        <w:pStyle w:val="NormalWeb"/>
        <w:spacing w:line="360" w:lineRule="auto"/>
        <w:ind w:firstLine="708"/>
        <w:contextualSpacing/>
        <w:jc w:val="both"/>
        <w:rPr>
          <w:lang w:val="es-ES"/>
        </w:rPr>
      </w:pPr>
      <w:r>
        <w:rPr>
          <w:lang w:val="es-ES"/>
        </w:rPr>
        <w:t xml:space="preserve">En </w:t>
      </w:r>
      <w:r w:rsidR="00FC79C1">
        <w:rPr>
          <w:lang w:val="es-ES"/>
        </w:rPr>
        <w:t xml:space="preserve">esos años, </w:t>
      </w:r>
      <w:r>
        <w:rPr>
          <w:lang w:val="es-ES"/>
        </w:rPr>
        <w:t>la situación económica</w:t>
      </w:r>
      <w:r w:rsidR="00FC79C1">
        <w:rPr>
          <w:lang w:val="es-ES"/>
        </w:rPr>
        <w:t xml:space="preserve"> y diplomática</w:t>
      </w:r>
      <w:r>
        <w:rPr>
          <w:lang w:val="es-ES"/>
        </w:rPr>
        <w:t xml:space="preserve"> de Libia se agrav</w:t>
      </w:r>
      <w:r w:rsidR="00D52AD4">
        <w:rPr>
          <w:lang w:val="es-ES"/>
        </w:rPr>
        <w:t>ó</w:t>
      </w:r>
      <w:r>
        <w:rPr>
          <w:lang w:val="es-ES"/>
        </w:rPr>
        <w:t xml:space="preserve"> debido a las medidas que</w:t>
      </w:r>
      <w:r w:rsidR="00FC79C1">
        <w:rPr>
          <w:lang w:val="es-ES"/>
        </w:rPr>
        <w:t xml:space="preserve"> tom</w:t>
      </w:r>
      <w:r w:rsidR="00D52AD4">
        <w:rPr>
          <w:lang w:val="es-ES"/>
        </w:rPr>
        <w:t>ó</w:t>
      </w:r>
      <w:r w:rsidR="00FC79C1">
        <w:rPr>
          <w:lang w:val="es-ES"/>
        </w:rPr>
        <w:t xml:space="preserve"> a su respecto la comunidad internacional por su </w:t>
      </w:r>
      <w:r w:rsidR="00E07E32">
        <w:rPr>
          <w:lang w:val="es-ES"/>
        </w:rPr>
        <w:t>presunto i</w:t>
      </w:r>
      <w:r w:rsidR="00FC79C1">
        <w:rPr>
          <w:lang w:val="es-ES"/>
        </w:rPr>
        <w:t xml:space="preserve">nvolucramiento en actos de terrorismo. </w:t>
      </w:r>
      <w:r w:rsidR="00283427" w:rsidRPr="00283427">
        <w:rPr>
          <w:lang w:val="es-ES"/>
        </w:rPr>
        <w:t>Inclusive desde</w:t>
      </w:r>
      <w:r w:rsidR="00D45812">
        <w:rPr>
          <w:lang w:val="es-ES"/>
        </w:rPr>
        <w:t xml:space="preserve"> Italia,</w:t>
      </w:r>
      <w:r w:rsidR="00283427" w:rsidRPr="00283427">
        <w:rPr>
          <w:lang w:val="es-ES"/>
        </w:rPr>
        <w:t xml:space="preserve"> su antiguo colonizador, se alzaron voces responsabilizando a Libia del peor atentado en la historia del país desde la Segunda Guerra Mundial, la </w:t>
      </w:r>
      <w:proofErr w:type="spellStart"/>
      <w:r w:rsidR="00283427" w:rsidRPr="00283427">
        <w:rPr>
          <w:i/>
          <w:iCs/>
          <w:lang w:val="es-ES"/>
        </w:rPr>
        <w:t>strage</w:t>
      </w:r>
      <w:proofErr w:type="spellEnd"/>
      <w:r w:rsidR="00283427" w:rsidRPr="00283427">
        <w:rPr>
          <w:i/>
          <w:iCs/>
          <w:lang w:val="es-ES"/>
        </w:rPr>
        <w:t xml:space="preserve"> di </w:t>
      </w:r>
      <w:proofErr w:type="spellStart"/>
      <w:r w:rsidR="00283427" w:rsidRPr="00283427">
        <w:rPr>
          <w:i/>
          <w:iCs/>
          <w:lang w:val="es-ES"/>
        </w:rPr>
        <w:t>Bologna</w:t>
      </w:r>
      <w:proofErr w:type="spellEnd"/>
      <w:r w:rsidR="00283427" w:rsidRPr="00283427">
        <w:rPr>
          <w:lang w:val="es-ES"/>
        </w:rPr>
        <w:t xml:space="preserve">, que tuvo lugar el 2 de agosto de 1980 y dejó 85 muertos y 200 heridos. En el </w:t>
      </w:r>
      <w:r w:rsidR="00283427" w:rsidRPr="00283427">
        <w:rPr>
          <w:i/>
          <w:iCs/>
          <w:lang w:val="es-ES"/>
        </w:rPr>
        <w:t xml:space="preserve">Corriere </w:t>
      </w:r>
      <w:proofErr w:type="spellStart"/>
      <w:r w:rsidR="00283427" w:rsidRPr="00283427">
        <w:rPr>
          <w:i/>
          <w:iCs/>
          <w:lang w:val="es-ES"/>
        </w:rPr>
        <w:t>della</w:t>
      </w:r>
      <w:proofErr w:type="spellEnd"/>
      <w:r w:rsidR="00283427" w:rsidRPr="00283427">
        <w:rPr>
          <w:i/>
          <w:iCs/>
          <w:lang w:val="es-ES"/>
        </w:rPr>
        <w:t xml:space="preserve"> Sera</w:t>
      </w:r>
      <w:r w:rsidR="00283427" w:rsidRPr="00283427">
        <w:rPr>
          <w:lang w:val="es-ES"/>
        </w:rPr>
        <w:t xml:space="preserve"> se denunció la participación de Gadafi en el terrorismo dentro de Italia y en la organización de acciones de desestabilización a lo largo del Mediterráneo, tesis sostenida por el propio presidente italiano, Sandro </w:t>
      </w:r>
      <w:proofErr w:type="spellStart"/>
      <w:r w:rsidR="00283427" w:rsidRPr="00283427">
        <w:rPr>
          <w:lang w:val="es-ES"/>
        </w:rPr>
        <w:t>Pertini</w:t>
      </w:r>
      <w:proofErr w:type="spellEnd"/>
      <w:r w:rsidR="009C34EB">
        <w:rPr>
          <w:lang w:val="es-ES"/>
        </w:rPr>
        <w:t xml:space="preserve"> (Corriere </w:t>
      </w:r>
      <w:proofErr w:type="spellStart"/>
      <w:r w:rsidR="009C34EB">
        <w:rPr>
          <w:lang w:val="es-ES"/>
        </w:rPr>
        <w:t>della</w:t>
      </w:r>
      <w:proofErr w:type="spellEnd"/>
      <w:r w:rsidR="009C34EB">
        <w:rPr>
          <w:lang w:val="es-ES"/>
        </w:rPr>
        <w:t xml:space="preserve"> Sera, 13-08-1980)</w:t>
      </w:r>
      <w:r w:rsidR="00EA0DDC">
        <w:rPr>
          <w:lang w:val="es-ES"/>
        </w:rPr>
        <w:t xml:space="preserve">. </w:t>
      </w:r>
      <w:r w:rsidR="00283427">
        <w:rPr>
          <w:lang w:val="es-ES"/>
        </w:rPr>
        <w:t xml:space="preserve">De todos modos, </w:t>
      </w:r>
      <w:r w:rsidR="009C34EB">
        <w:rPr>
          <w:lang w:val="es-ES"/>
        </w:rPr>
        <w:t xml:space="preserve">fueron las acusaciones </w:t>
      </w:r>
      <w:r w:rsidR="00CB35F1">
        <w:rPr>
          <w:lang w:val="es-ES"/>
        </w:rPr>
        <w:t xml:space="preserve">relativas a </w:t>
      </w:r>
      <w:r w:rsidR="009C34EB">
        <w:rPr>
          <w:lang w:val="es-ES"/>
        </w:rPr>
        <w:t>otros</w:t>
      </w:r>
      <w:r w:rsidR="00B52882">
        <w:rPr>
          <w:lang w:val="es-ES"/>
        </w:rPr>
        <w:t xml:space="preserve"> actos de terrorismo</w:t>
      </w:r>
      <w:r w:rsidR="00283427">
        <w:rPr>
          <w:lang w:val="es-ES"/>
        </w:rPr>
        <w:t xml:space="preserve"> </w:t>
      </w:r>
      <w:r w:rsidR="009C34EB">
        <w:rPr>
          <w:lang w:val="es-ES"/>
        </w:rPr>
        <w:t xml:space="preserve">las </w:t>
      </w:r>
      <w:r w:rsidR="00283427">
        <w:rPr>
          <w:lang w:val="es-ES"/>
        </w:rPr>
        <w:t xml:space="preserve">que afectaron </w:t>
      </w:r>
      <w:r w:rsidR="00712A0A">
        <w:rPr>
          <w:lang w:val="es-ES"/>
        </w:rPr>
        <w:t>seriamente</w:t>
      </w:r>
      <w:r w:rsidR="00283427">
        <w:rPr>
          <w:lang w:val="es-ES"/>
        </w:rPr>
        <w:t xml:space="preserve"> al régimen. </w:t>
      </w:r>
      <w:r w:rsidR="00FC79C1">
        <w:rPr>
          <w:lang w:val="es-ES"/>
        </w:rPr>
        <w:t xml:space="preserve">Tras acusar a Libia de haber atacado </w:t>
      </w:r>
      <w:r w:rsidR="00176603">
        <w:rPr>
          <w:lang w:val="es-ES"/>
        </w:rPr>
        <w:t xml:space="preserve">a </w:t>
      </w:r>
      <w:r w:rsidR="00712A0A">
        <w:rPr>
          <w:lang w:val="es-ES"/>
        </w:rPr>
        <w:t>su</w:t>
      </w:r>
      <w:r w:rsidR="00176603">
        <w:rPr>
          <w:lang w:val="es-ES"/>
        </w:rPr>
        <w:t xml:space="preserve"> sexta flota marina en el Golfo de Sidra</w:t>
      </w:r>
      <w:r w:rsidR="00712A0A">
        <w:rPr>
          <w:lang w:val="es-ES"/>
        </w:rPr>
        <w:t xml:space="preserve"> en agosto de 1981</w:t>
      </w:r>
      <w:r w:rsidR="00176603">
        <w:rPr>
          <w:lang w:val="es-ES"/>
        </w:rPr>
        <w:t xml:space="preserve">, </w:t>
      </w:r>
      <w:r w:rsidR="00712A0A">
        <w:rPr>
          <w:lang w:val="es-ES"/>
        </w:rPr>
        <w:t>el gobierno de Estados Unidos</w:t>
      </w:r>
      <w:r w:rsidR="0000211C">
        <w:rPr>
          <w:lang w:val="es-ES"/>
        </w:rPr>
        <w:t xml:space="preserve"> </w:t>
      </w:r>
      <w:r w:rsidR="00FC79C1">
        <w:rPr>
          <w:lang w:val="es-ES"/>
        </w:rPr>
        <w:t xml:space="preserve">prohibió la importación de petróleo </w:t>
      </w:r>
      <w:r w:rsidR="0000211C">
        <w:rPr>
          <w:lang w:val="es-ES"/>
        </w:rPr>
        <w:t>libio</w:t>
      </w:r>
      <w:r w:rsidR="00FC79C1">
        <w:rPr>
          <w:lang w:val="es-ES"/>
        </w:rPr>
        <w:t xml:space="preserve"> y restringió la exportación de mercancías</w:t>
      </w:r>
      <w:r w:rsidR="00176603">
        <w:rPr>
          <w:lang w:val="es-ES"/>
        </w:rPr>
        <w:t xml:space="preserve">. El bloqueo económico estadounidense se endureció en 1986, al ser acusada Libia de </w:t>
      </w:r>
      <w:r w:rsidR="00FB3040">
        <w:rPr>
          <w:lang w:val="es-ES"/>
        </w:rPr>
        <w:t>participar</w:t>
      </w:r>
      <w:r w:rsidR="00176603">
        <w:rPr>
          <w:lang w:val="es-ES"/>
        </w:rPr>
        <w:t xml:space="preserve"> </w:t>
      </w:r>
      <w:r w:rsidR="0078201F">
        <w:rPr>
          <w:lang w:val="es-ES"/>
        </w:rPr>
        <w:t>en el atentado d</w:t>
      </w:r>
      <w:r w:rsidR="003A5072">
        <w:rPr>
          <w:lang w:val="es-ES"/>
        </w:rPr>
        <w:t xml:space="preserve">el 5 de abril de ese año </w:t>
      </w:r>
      <w:r w:rsidR="0078201F">
        <w:rPr>
          <w:lang w:val="es-ES"/>
        </w:rPr>
        <w:t>que se produjo en</w:t>
      </w:r>
      <w:r w:rsidR="007D0450">
        <w:rPr>
          <w:lang w:val="es-ES"/>
        </w:rPr>
        <w:t xml:space="preserve"> la discoteca </w:t>
      </w:r>
      <w:r w:rsidR="00712A0A">
        <w:rPr>
          <w:lang w:val="es-ES"/>
        </w:rPr>
        <w:t xml:space="preserve">La </w:t>
      </w:r>
      <w:r w:rsidR="007D0450">
        <w:rPr>
          <w:lang w:val="es-ES"/>
        </w:rPr>
        <w:t>Belle de Alemania, donde murieron dos soldados norteamericanos</w:t>
      </w:r>
      <w:r w:rsidR="00A9793D">
        <w:rPr>
          <w:lang w:val="es-ES"/>
        </w:rPr>
        <w:t xml:space="preserve"> y resultaron heridos 179</w:t>
      </w:r>
      <w:r w:rsidR="003A5072">
        <w:rPr>
          <w:lang w:val="es-ES"/>
        </w:rPr>
        <w:t xml:space="preserve">. </w:t>
      </w:r>
      <w:r w:rsidR="00471E41">
        <w:rPr>
          <w:lang w:val="es-ES"/>
        </w:rPr>
        <w:t xml:space="preserve">Por otra parte, </w:t>
      </w:r>
      <w:r w:rsidR="00712A0A">
        <w:rPr>
          <w:lang w:val="es-ES"/>
        </w:rPr>
        <w:t xml:space="preserve">se responsabilizó a ciudadanos libios </w:t>
      </w:r>
      <w:r w:rsidR="00471E41">
        <w:rPr>
          <w:lang w:val="es-ES"/>
        </w:rPr>
        <w:t>por</w:t>
      </w:r>
      <w:r w:rsidR="00471E41" w:rsidRPr="00471E41">
        <w:rPr>
          <w:lang w:val="es-ES"/>
        </w:rPr>
        <w:t xml:space="preserve"> el derribamiento del vuelo 103 de la compañía PAN AM</w:t>
      </w:r>
      <w:r w:rsidR="00FA3A17">
        <w:rPr>
          <w:lang w:val="es-ES"/>
        </w:rPr>
        <w:t xml:space="preserve">, el cual se produjo </w:t>
      </w:r>
      <w:r w:rsidR="00471E41" w:rsidRPr="00471E41">
        <w:rPr>
          <w:lang w:val="es-ES"/>
        </w:rPr>
        <w:t>el 21 de diciembre de 1988</w:t>
      </w:r>
      <w:r w:rsidR="00FA3A17">
        <w:rPr>
          <w:lang w:val="es-ES"/>
        </w:rPr>
        <w:t xml:space="preserve"> sobre la ciudad escocesa de </w:t>
      </w:r>
      <w:proofErr w:type="spellStart"/>
      <w:r w:rsidR="00FA3A17">
        <w:rPr>
          <w:lang w:val="es-ES"/>
        </w:rPr>
        <w:t>Lockerbie</w:t>
      </w:r>
      <w:proofErr w:type="spellEnd"/>
      <w:r w:rsidR="00FA3A17">
        <w:rPr>
          <w:lang w:val="es-ES"/>
        </w:rPr>
        <w:t xml:space="preserve"> y dejó</w:t>
      </w:r>
      <w:r w:rsidR="00471E41" w:rsidRPr="00471E41">
        <w:rPr>
          <w:lang w:val="es-ES"/>
        </w:rPr>
        <w:t xml:space="preserve"> un saldo de 270 muertos, </w:t>
      </w:r>
      <w:r w:rsidR="00712A0A">
        <w:rPr>
          <w:lang w:val="es-ES"/>
        </w:rPr>
        <w:t>como así también</w:t>
      </w:r>
      <w:r w:rsidR="00471E41" w:rsidRPr="00471E41">
        <w:rPr>
          <w:lang w:val="es-ES"/>
        </w:rPr>
        <w:t xml:space="preserve"> </w:t>
      </w:r>
      <w:r w:rsidR="00471E41">
        <w:rPr>
          <w:lang w:val="es-ES"/>
        </w:rPr>
        <w:t xml:space="preserve">por </w:t>
      </w:r>
      <w:r w:rsidR="00471E41" w:rsidRPr="00471E41">
        <w:rPr>
          <w:lang w:val="es-ES"/>
        </w:rPr>
        <w:t xml:space="preserve">el atentado contra el vuelo de la </w:t>
      </w:r>
      <w:proofErr w:type="spellStart"/>
      <w:r w:rsidR="00471E41" w:rsidRPr="00471E41">
        <w:rPr>
          <w:i/>
          <w:iCs/>
          <w:lang w:val="es-ES"/>
        </w:rPr>
        <w:t>Union</w:t>
      </w:r>
      <w:proofErr w:type="spellEnd"/>
      <w:r w:rsidR="00471E41" w:rsidRPr="00471E41">
        <w:rPr>
          <w:i/>
          <w:iCs/>
          <w:lang w:val="es-ES"/>
        </w:rPr>
        <w:t xml:space="preserve"> des </w:t>
      </w:r>
      <w:proofErr w:type="spellStart"/>
      <w:r w:rsidR="00471E41" w:rsidRPr="00471E41">
        <w:rPr>
          <w:i/>
          <w:iCs/>
          <w:lang w:val="es-ES"/>
        </w:rPr>
        <w:t>Transports</w:t>
      </w:r>
      <w:proofErr w:type="spellEnd"/>
      <w:r w:rsidR="00471E41" w:rsidRPr="00471E41">
        <w:rPr>
          <w:i/>
          <w:iCs/>
          <w:lang w:val="es-ES"/>
        </w:rPr>
        <w:t xml:space="preserve"> </w:t>
      </w:r>
      <w:proofErr w:type="spellStart"/>
      <w:r w:rsidR="00471E41" w:rsidRPr="00471E41">
        <w:rPr>
          <w:i/>
          <w:iCs/>
          <w:lang w:val="es-ES"/>
        </w:rPr>
        <w:t>Aériens</w:t>
      </w:r>
      <w:proofErr w:type="spellEnd"/>
      <w:r w:rsidR="00471E41" w:rsidRPr="00471E41">
        <w:rPr>
          <w:lang w:val="es-ES"/>
        </w:rPr>
        <w:t xml:space="preserve"> (UTA) del 19 de septiembre de 1989, como consecuencia del cual fallecieron 171 personas.</w:t>
      </w:r>
      <w:r w:rsidR="00471E41">
        <w:rPr>
          <w:lang w:val="es-ES"/>
        </w:rPr>
        <w:t xml:space="preserve"> </w:t>
      </w:r>
      <w:r w:rsidR="0043633B">
        <w:rPr>
          <w:lang w:val="es-ES"/>
        </w:rPr>
        <w:t>El</w:t>
      </w:r>
      <w:r>
        <w:rPr>
          <w:lang w:val="es-ES"/>
        </w:rPr>
        <w:t xml:space="preserve"> Consejo de Seguridad de las Naciones Unidas </w:t>
      </w:r>
      <w:r w:rsidR="006C1C4C">
        <w:rPr>
          <w:lang w:val="es-ES"/>
        </w:rPr>
        <w:t xml:space="preserve">estableció un </w:t>
      </w:r>
      <w:r w:rsidR="006C1C4C" w:rsidRPr="006C1C4C">
        <w:rPr>
          <w:lang w:val="es-ES"/>
        </w:rPr>
        <w:t>embargo aéreo por el cual qued</w:t>
      </w:r>
      <w:r w:rsidR="006C1C4C">
        <w:rPr>
          <w:lang w:val="es-ES"/>
        </w:rPr>
        <w:t>ó</w:t>
      </w:r>
      <w:r w:rsidR="006C1C4C" w:rsidRPr="006C1C4C">
        <w:rPr>
          <w:lang w:val="es-ES"/>
        </w:rPr>
        <w:t xml:space="preserve"> prohibida la actividad aeronáutica en y sobre el territorio </w:t>
      </w:r>
      <w:r w:rsidR="006C1C4C" w:rsidRPr="006C1C4C">
        <w:rPr>
          <w:lang w:val="es-ES"/>
        </w:rPr>
        <w:lastRenderedPageBreak/>
        <w:t>de Libia, como así también un embargo de armas</w:t>
      </w:r>
      <w:r w:rsidR="004258B9">
        <w:rPr>
          <w:lang w:val="es-ES"/>
        </w:rPr>
        <w:t xml:space="preserve"> ante la negativa de Trípoli de colaborar con la investigación y entregar a los libios </w:t>
      </w:r>
      <w:r w:rsidR="002D4430">
        <w:rPr>
          <w:lang w:val="es-ES"/>
        </w:rPr>
        <w:t xml:space="preserve">acusados </w:t>
      </w:r>
      <w:r w:rsidR="00283C89" w:rsidRPr="00283C89">
        <w:rPr>
          <w:lang w:val="es-ES"/>
        </w:rPr>
        <w:t>(López Martín</w:t>
      </w:r>
      <w:r w:rsidR="009C34EB">
        <w:rPr>
          <w:lang w:val="es-ES"/>
        </w:rPr>
        <w:t>,</w:t>
      </w:r>
      <w:r w:rsidR="00283C89" w:rsidRPr="00283C89">
        <w:rPr>
          <w:lang w:val="es-ES"/>
        </w:rPr>
        <w:t xml:space="preserve"> 1994</w:t>
      </w:r>
      <w:r w:rsidR="009C34EB">
        <w:rPr>
          <w:lang w:val="es-ES"/>
        </w:rPr>
        <w:t>:</w:t>
      </w:r>
      <w:r w:rsidR="00283C89" w:rsidRPr="00283C89">
        <w:rPr>
          <w:lang w:val="es-ES"/>
        </w:rPr>
        <w:t xml:space="preserve"> 47</w:t>
      </w:r>
      <w:r w:rsidR="00283C89">
        <w:rPr>
          <w:lang w:val="es-ES"/>
        </w:rPr>
        <w:t>-53)</w:t>
      </w:r>
      <w:r w:rsidR="008D74F9">
        <w:rPr>
          <w:lang w:val="es-ES"/>
        </w:rPr>
        <w:t xml:space="preserve">. </w:t>
      </w:r>
    </w:p>
    <w:p w14:paraId="0091B492" w14:textId="2A87459A" w:rsidR="001D0D4E" w:rsidRDefault="00D52AD4" w:rsidP="005E536C">
      <w:pPr>
        <w:pStyle w:val="NormalWeb"/>
        <w:spacing w:line="360" w:lineRule="auto"/>
        <w:ind w:firstLine="708"/>
        <w:contextualSpacing/>
        <w:jc w:val="both"/>
        <w:rPr>
          <w:lang w:val="es-ES"/>
        </w:rPr>
      </w:pPr>
      <w:r>
        <w:rPr>
          <w:lang w:val="es-ES"/>
        </w:rPr>
        <w:t>Fue por ese entonces cuando comenzó</w:t>
      </w:r>
      <w:r w:rsidR="00283C89" w:rsidRPr="00283C89">
        <w:rPr>
          <w:lang w:val="es-ES"/>
        </w:rPr>
        <w:t xml:space="preserve"> a darse</w:t>
      </w:r>
      <w:r w:rsidR="00283C89">
        <w:rPr>
          <w:lang w:val="es-ES"/>
        </w:rPr>
        <w:t xml:space="preserve"> un viraje ideológico en Gadafi</w:t>
      </w:r>
      <w:r w:rsidR="00743EB2">
        <w:rPr>
          <w:lang w:val="es-ES"/>
        </w:rPr>
        <w:t xml:space="preserve">. </w:t>
      </w:r>
      <w:r w:rsidR="00D348E9">
        <w:rPr>
          <w:lang w:val="es-ES"/>
        </w:rPr>
        <w:t xml:space="preserve">Este líder había </w:t>
      </w:r>
      <w:r w:rsidR="00743EB2">
        <w:rPr>
          <w:lang w:val="es-ES"/>
        </w:rPr>
        <w:t xml:space="preserve">abrazado la causa del panarabismo </w:t>
      </w:r>
      <w:r w:rsidR="00FE3B4C">
        <w:rPr>
          <w:lang w:val="es-ES"/>
        </w:rPr>
        <w:t xml:space="preserve">alineándose </w:t>
      </w:r>
      <w:r w:rsidR="00BA6EEA">
        <w:rPr>
          <w:lang w:val="es-ES"/>
        </w:rPr>
        <w:t>con los principios promovidos por</w:t>
      </w:r>
      <w:r w:rsidR="00FE3B4C">
        <w:rPr>
          <w:lang w:val="es-ES"/>
        </w:rPr>
        <w:t xml:space="preserve"> </w:t>
      </w:r>
      <w:r w:rsidR="00BA6EEA">
        <w:rPr>
          <w:lang w:val="es-ES"/>
        </w:rPr>
        <w:t xml:space="preserve">Gamal Abdel </w:t>
      </w:r>
      <w:r w:rsidR="00FE3B4C">
        <w:rPr>
          <w:lang w:val="es-ES"/>
        </w:rPr>
        <w:t>Nasser</w:t>
      </w:r>
      <w:r w:rsidR="00BA6EEA">
        <w:rPr>
          <w:lang w:val="es-ES"/>
        </w:rPr>
        <w:t xml:space="preserve"> en Egipto: </w:t>
      </w:r>
      <w:r w:rsidR="003C1415">
        <w:rPr>
          <w:lang w:val="es-ES"/>
        </w:rPr>
        <w:t>libertad</w:t>
      </w:r>
      <w:r w:rsidR="00BA6EEA">
        <w:rPr>
          <w:lang w:val="es-ES"/>
        </w:rPr>
        <w:t xml:space="preserve"> </w:t>
      </w:r>
      <w:r w:rsidR="003C1415">
        <w:rPr>
          <w:lang w:val="es-ES"/>
        </w:rPr>
        <w:t>con respecto a</w:t>
      </w:r>
      <w:r w:rsidR="00BA6EEA">
        <w:rPr>
          <w:lang w:val="es-ES"/>
        </w:rPr>
        <w:t xml:space="preserve"> Occidente, unidad del mundo árabe y revolución socialista</w:t>
      </w:r>
      <w:r w:rsidR="003C1415">
        <w:rPr>
          <w:lang w:val="es-ES"/>
        </w:rPr>
        <w:t xml:space="preserve"> (</w:t>
      </w:r>
      <w:proofErr w:type="spellStart"/>
      <w:r w:rsidR="003C1415">
        <w:rPr>
          <w:lang w:val="es-ES"/>
        </w:rPr>
        <w:t>Hagger</w:t>
      </w:r>
      <w:proofErr w:type="spellEnd"/>
      <w:r w:rsidR="003C1415">
        <w:rPr>
          <w:lang w:val="es-ES"/>
        </w:rPr>
        <w:t xml:space="preserve">, </w:t>
      </w:r>
      <w:r w:rsidR="00686834">
        <w:rPr>
          <w:lang w:val="es-ES"/>
        </w:rPr>
        <w:t>2009: 94).</w:t>
      </w:r>
      <w:r w:rsidR="00FE3B4C">
        <w:rPr>
          <w:lang w:val="es-ES"/>
        </w:rPr>
        <w:t xml:space="preserve"> </w:t>
      </w:r>
      <w:r w:rsidR="00870924">
        <w:rPr>
          <w:lang w:val="es-ES"/>
        </w:rPr>
        <w:t>La</w:t>
      </w:r>
      <w:r w:rsidR="00D348E9">
        <w:rPr>
          <w:lang w:val="es-ES"/>
        </w:rPr>
        <w:t xml:space="preserve"> derrota sufrida </w:t>
      </w:r>
      <w:r w:rsidR="006C7833">
        <w:rPr>
          <w:lang w:val="es-ES"/>
        </w:rPr>
        <w:t>en la Guerra de los Seis Días en 1967</w:t>
      </w:r>
      <w:r w:rsidR="00870924">
        <w:rPr>
          <w:lang w:val="es-ES"/>
        </w:rPr>
        <w:t xml:space="preserve"> </w:t>
      </w:r>
      <w:r w:rsidR="00424D9F">
        <w:rPr>
          <w:lang w:val="es-ES"/>
        </w:rPr>
        <w:t xml:space="preserve">a manos de Israel </w:t>
      </w:r>
      <w:r w:rsidR="00870924">
        <w:rPr>
          <w:lang w:val="es-ES"/>
        </w:rPr>
        <w:t>por la coalición formada por Egipto, Siria y Jordania</w:t>
      </w:r>
      <w:r w:rsidR="006C7833">
        <w:rPr>
          <w:lang w:val="es-ES"/>
        </w:rPr>
        <w:t xml:space="preserve"> </w:t>
      </w:r>
      <w:r w:rsidR="00424D9F">
        <w:rPr>
          <w:lang w:val="es-ES"/>
        </w:rPr>
        <w:t xml:space="preserve">fue un episodio considerado humillante </w:t>
      </w:r>
      <w:r w:rsidR="002C3032">
        <w:rPr>
          <w:lang w:val="es-ES"/>
        </w:rPr>
        <w:t>e, inclusive,</w:t>
      </w:r>
      <w:r w:rsidR="00686834">
        <w:rPr>
          <w:lang w:val="es-ES"/>
        </w:rPr>
        <w:t xml:space="preserve"> el final de esta ideología.</w:t>
      </w:r>
      <w:r w:rsidR="002C3032">
        <w:rPr>
          <w:lang w:val="es-ES"/>
        </w:rPr>
        <w:t xml:space="preserve"> Sin embargo, tras la revolución de 1969 que lo llevó al poder, Gadafi buscó reflotar</w:t>
      </w:r>
      <w:r w:rsidR="00686834">
        <w:rPr>
          <w:lang w:val="es-ES"/>
        </w:rPr>
        <w:t xml:space="preserve">la e, inclusive, impulsó un intento de unidad </w:t>
      </w:r>
      <w:r w:rsidR="008D35BF">
        <w:rPr>
          <w:lang w:val="es-ES"/>
        </w:rPr>
        <w:t>a través de la firma de la Carta de Trípoli</w:t>
      </w:r>
      <w:r w:rsidR="00B52882">
        <w:rPr>
          <w:lang w:val="es-ES"/>
        </w:rPr>
        <w:t>, que fue</w:t>
      </w:r>
      <w:r w:rsidR="008D35BF">
        <w:rPr>
          <w:lang w:val="es-ES"/>
        </w:rPr>
        <w:t xml:space="preserve"> suscripta </w:t>
      </w:r>
      <w:r w:rsidR="00A46CAC">
        <w:rPr>
          <w:lang w:val="es-ES"/>
        </w:rPr>
        <w:t xml:space="preserve">el 27 de diciembre de ese año </w:t>
      </w:r>
      <w:r w:rsidR="008D35BF">
        <w:rPr>
          <w:lang w:val="es-ES"/>
        </w:rPr>
        <w:t>por los presidentes de Libia, Egipto y Sudán</w:t>
      </w:r>
      <w:r w:rsidR="00FB3040">
        <w:rPr>
          <w:lang w:val="es-ES"/>
        </w:rPr>
        <w:t>, lo que</w:t>
      </w:r>
      <w:r w:rsidR="00A46CAC">
        <w:rPr>
          <w:lang w:val="es-ES"/>
        </w:rPr>
        <w:t xml:space="preserve"> llevaría a </w:t>
      </w:r>
      <w:r w:rsidR="008D35BF">
        <w:rPr>
          <w:lang w:val="es-ES"/>
        </w:rPr>
        <w:t>la creación de la Federación de Repúblicas Árabes (</w:t>
      </w:r>
      <w:proofErr w:type="spellStart"/>
      <w:r w:rsidR="008D35BF">
        <w:rPr>
          <w:lang w:val="es-ES"/>
        </w:rPr>
        <w:t>Bechtold</w:t>
      </w:r>
      <w:proofErr w:type="spellEnd"/>
      <w:r w:rsidR="008D35BF">
        <w:rPr>
          <w:lang w:val="es-ES"/>
        </w:rPr>
        <w:t>, 1973: 152)</w:t>
      </w:r>
      <w:r w:rsidR="00A139B4">
        <w:rPr>
          <w:lang w:val="es-ES"/>
        </w:rPr>
        <w:t>.</w:t>
      </w:r>
      <w:r w:rsidR="00090000">
        <w:rPr>
          <w:rStyle w:val="Refdenotaalpie"/>
          <w:lang w:val="es-ES"/>
        </w:rPr>
        <w:footnoteReference w:id="8"/>
      </w:r>
      <w:r w:rsidR="008D35BF">
        <w:rPr>
          <w:lang w:val="es-ES"/>
        </w:rPr>
        <w:t xml:space="preserve">. </w:t>
      </w:r>
      <w:r w:rsidR="00EF2E2A">
        <w:rPr>
          <w:lang w:val="es-ES"/>
        </w:rPr>
        <w:t>En junio de 1970, Nasser pronunció un discurso</w:t>
      </w:r>
      <w:r w:rsidR="00A4495C">
        <w:rPr>
          <w:lang w:val="es-ES"/>
        </w:rPr>
        <w:t xml:space="preserve"> </w:t>
      </w:r>
      <w:r w:rsidR="00FB3040">
        <w:rPr>
          <w:lang w:val="es-ES"/>
        </w:rPr>
        <w:t xml:space="preserve">por el cual </w:t>
      </w:r>
      <w:r w:rsidR="00F207F8">
        <w:rPr>
          <w:lang w:val="es-ES"/>
        </w:rPr>
        <w:t xml:space="preserve">Gadafi </w:t>
      </w:r>
      <w:r w:rsidR="00FB3040">
        <w:rPr>
          <w:lang w:val="es-ES"/>
        </w:rPr>
        <w:t xml:space="preserve">parecía emerger como </w:t>
      </w:r>
      <w:r w:rsidR="00F207F8">
        <w:rPr>
          <w:lang w:val="es-ES"/>
        </w:rPr>
        <w:t xml:space="preserve">su </w:t>
      </w:r>
      <w:r w:rsidR="00A4495C">
        <w:rPr>
          <w:lang w:val="es-ES"/>
        </w:rPr>
        <w:t xml:space="preserve">heredero en </w:t>
      </w:r>
      <w:r w:rsidR="00B52882">
        <w:rPr>
          <w:lang w:val="es-ES"/>
        </w:rPr>
        <w:t>el liderazgo</w:t>
      </w:r>
      <w:r w:rsidR="00A4495C">
        <w:rPr>
          <w:lang w:val="es-ES"/>
        </w:rPr>
        <w:t xml:space="preserve"> p</w:t>
      </w:r>
      <w:r w:rsidR="00F207F8">
        <w:rPr>
          <w:lang w:val="es-ES"/>
        </w:rPr>
        <w:t>anárabe</w:t>
      </w:r>
      <w:r w:rsidR="00A4495C">
        <w:rPr>
          <w:lang w:val="es-ES"/>
        </w:rPr>
        <w:t xml:space="preserve">: </w:t>
      </w:r>
      <w:r w:rsidR="00686834">
        <w:rPr>
          <w:lang w:val="es-ES"/>
        </w:rPr>
        <w:t xml:space="preserve"> </w:t>
      </w:r>
    </w:p>
    <w:p w14:paraId="29EDFA21" w14:textId="2285FBCA" w:rsidR="001D0D4E" w:rsidRDefault="002C3032" w:rsidP="005E536C">
      <w:pPr>
        <w:pStyle w:val="NormalWeb"/>
        <w:spacing w:line="360" w:lineRule="auto"/>
        <w:ind w:left="680" w:right="680"/>
        <w:contextualSpacing/>
        <w:jc w:val="both"/>
        <w:rPr>
          <w:sz w:val="22"/>
          <w:szCs w:val="22"/>
          <w:lang w:val="es-ES"/>
        </w:rPr>
      </w:pPr>
      <w:r w:rsidRPr="0040449D">
        <w:rPr>
          <w:sz w:val="22"/>
          <w:szCs w:val="22"/>
          <w:lang w:val="es-ES"/>
        </w:rPr>
        <w:t xml:space="preserve">“Siento que </w:t>
      </w:r>
      <w:r w:rsidR="0040449D" w:rsidRPr="0040449D">
        <w:rPr>
          <w:sz w:val="22"/>
          <w:szCs w:val="22"/>
          <w:lang w:val="es-ES"/>
        </w:rPr>
        <w:t>el pueblo árabe</w:t>
      </w:r>
      <w:r w:rsidRPr="0040449D">
        <w:rPr>
          <w:sz w:val="22"/>
          <w:szCs w:val="22"/>
          <w:lang w:val="es-ES"/>
        </w:rPr>
        <w:t xml:space="preserve"> se reconoce a sí mismo en ti y que </w:t>
      </w:r>
      <w:r w:rsidR="0040449D" w:rsidRPr="0040449D">
        <w:rPr>
          <w:sz w:val="22"/>
          <w:szCs w:val="22"/>
          <w:lang w:val="es-ES"/>
        </w:rPr>
        <w:t>descubrió</w:t>
      </w:r>
      <w:r w:rsidRPr="0040449D">
        <w:rPr>
          <w:sz w:val="22"/>
          <w:szCs w:val="22"/>
          <w:lang w:val="es-ES"/>
        </w:rPr>
        <w:t xml:space="preserve"> su determinación. Te digo: mi hermano </w:t>
      </w:r>
      <w:proofErr w:type="spellStart"/>
      <w:r w:rsidRPr="0040449D">
        <w:rPr>
          <w:sz w:val="22"/>
          <w:szCs w:val="22"/>
          <w:lang w:val="es-ES"/>
        </w:rPr>
        <w:t>Muammar</w:t>
      </w:r>
      <w:proofErr w:type="spellEnd"/>
      <w:r w:rsidRPr="0040449D">
        <w:rPr>
          <w:sz w:val="22"/>
          <w:szCs w:val="22"/>
          <w:lang w:val="es-ES"/>
        </w:rPr>
        <w:t xml:space="preserve"> Gadafi es el representante del nacionalismo árabe, de la revolución árabe y de la unidad árabe. Mis queridos hermanos, que Dios te proteja para el bienestar del pueblo árabe.</w:t>
      </w:r>
      <w:r w:rsidR="0040449D" w:rsidRPr="0040449D">
        <w:rPr>
          <w:sz w:val="22"/>
          <w:szCs w:val="22"/>
          <w:lang w:val="es-ES"/>
        </w:rPr>
        <w:t xml:space="preserve"> Que vayas de victoria e</w:t>
      </w:r>
      <w:r w:rsidR="002B70C8">
        <w:rPr>
          <w:sz w:val="22"/>
          <w:szCs w:val="22"/>
          <w:lang w:val="es-ES"/>
        </w:rPr>
        <w:t>n</w:t>
      </w:r>
      <w:r w:rsidR="0040449D" w:rsidRPr="0040449D">
        <w:rPr>
          <w:sz w:val="22"/>
          <w:szCs w:val="22"/>
          <w:lang w:val="es-ES"/>
        </w:rPr>
        <w:t xml:space="preserve"> victoria, dado que tus victorias serán las victorias de todo el pueblo árabe”</w:t>
      </w:r>
      <w:r w:rsidR="001C1A90">
        <w:rPr>
          <w:sz w:val="22"/>
          <w:szCs w:val="22"/>
          <w:lang w:val="es-ES"/>
        </w:rPr>
        <w:t xml:space="preserve"> (Olivier, 1980: 88) </w:t>
      </w:r>
      <w:r w:rsidR="00DB453E">
        <w:rPr>
          <w:rStyle w:val="Refdenotaalpie"/>
          <w:sz w:val="22"/>
          <w:szCs w:val="22"/>
          <w:lang w:val="es-ES"/>
        </w:rPr>
        <w:footnoteReference w:id="9"/>
      </w:r>
      <w:r w:rsidR="00B52882">
        <w:rPr>
          <w:sz w:val="22"/>
          <w:szCs w:val="22"/>
          <w:lang w:val="es-ES"/>
        </w:rPr>
        <w:t>.</w:t>
      </w:r>
    </w:p>
    <w:p w14:paraId="7268F965" w14:textId="01AAD2EF" w:rsidR="000F61DC" w:rsidRPr="00431D6A" w:rsidRDefault="00EF2E2A" w:rsidP="00F676DF">
      <w:pPr>
        <w:pStyle w:val="NormalWeb"/>
        <w:spacing w:line="360" w:lineRule="auto"/>
        <w:ind w:right="-7"/>
        <w:contextualSpacing/>
        <w:jc w:val="both"/>
        <w:rPr>
          <w:lang w:val="es-ES"/>
        </w:rPr>
      </w:pPr>
      <w:r>
        <w:rPr>
          <w:sz w:val="22"/>
          <w:szCs w:val="22"/>
          <w:lang w:val="es-ES"/>
        </w:rPr>
        <w:tab/>
      </w:r>
      <w:r w:rsidR="006B50D1">
        <w:rPr>
          <w:lang w:val="es-ES"/>
        </w:rPr>
        <w:t xml:space="preserve">Aunque han surgido dudas con respecto al significado de este discurso, </w:t>
      </w:r>
      <w:r w:rsidR="00203CA3">
        <w:rPr>
          <w:lang w:val="es-ES"/>
        </w:rPr>
        <w:t xml:space="preserve">Gadafi </w:t>
      </w:r>
      <w:r w:rsidR="006B50D1">
        <w:rPr>
          <w:lang w:val="es-ES"/>
        </w:rPr>
        <w:t xml:space="preserve">no dudó con respecto a cuál era el papel que le había sido asignado </w:t>
      </w:r>
      <w:r w:rsidR="00203CA3">
        <w:rPr>
          <w:lang w:val="es-ES"/>
        </w:rPr>
        <w:t>y,</w:t>
      </w:r>
      <w:r w:rsidR="00E54E55">
        <w:rPr>
          <w:lang w:val="es-ES"/>
        </w:rPr>
        <w:t xml:space="preserve"> </w:t>
      </w:r>
      <w:r w:rsidR="00203CA3">
        <w:rPr>
          <w:lang w:val="es-ES"/>
        </w:rPr>
        <w:t>t</w:t>
      </w:r>
      <w:r w:rsidRPr="00424335">
        <w:rPr>
          <w:lang w:val="es-ES"/>
        </w:rPr>
        <w:t>res meses después</w:t>
      </w:r>
      <w:r w:rsidR="00203CA3">
        <w:rPr>
          <w:lang w:val="es-ES"/>
        </w:rPr>
        <w:t>, tras la muerte de</w:t>
      </w:r>
      <w:r w:rsidRPr="00424335">
        <w:rPr>
          <w:lang w:val="es-ES"/>
        </w:rPr>
        <w:t xml:space="preserve"> </w:t>
      </w:r>
      <w:r w:rsidR="00062851">
        <w:rPr>
          <w:lang w:val="es-ES"/>
        </w:rPr>
        <w:t>Nas</w:t>
      </w:r>
      <w:r w:rsidR="002B70C8">
        <w:rPr>
          <w:lang w:val="es-ES"/>
        </w:rPr>
        <w:t>ser</w:t>
      </w:r>
      <w:r w:rsidRPr="00424335">
        <w:rPr>
          <w:lang w:val="es-ES"/>
        </w:rPr>
        <w:t xml:space="preserve">, continuó con </w:t>
      </w:r>
      <w:r w:rsidR="006B50D1">
        <w:rPr>
          <w:lang w:val="es-ES"/>
        </w:rPr>
        <w:t>su política</w:t>
      </w:r>
      <w:r w:rsidRPr="00424335">
        <w:rPr>
          <w:lang w:val="es-ES"/>
        </w:rPr>
        <w:t xml:space="preserve"> de </w:t>
      </w:r>
      <w:r w:rsidR="006B50D1">
        <w:rPr>
          <w:lang w:val="es-ES"/>
        </w:rPr>
        <w:t xml:space="preserve">impulso a la </w:t>
      </w:r>
      <w:r w:rsidR="00060B1B" w:rsidRPr="00424335">
        <w:rPr>
          <w:lang w:val="es-ES"/>
        </w:rPr>
        <w:t xml:space="preserve">unidad panárabe y, en particular, </w:t>
      </w:r>
      <w:r w:rsidR="00203CA3">
        <w:rPr>
          <w:lang w:val="es-ES"/>
        </w:rPr>
        <w:t>entre Libia y</w:t>
      </w:r>
      <w:r w:rsidR="00060B1B" w:rsidRPr="00424335">
        <w:rPr>
          <w:lang w:val="es-ES"/>
        </w:rPr>
        <w:t xml:space="preserve"> Egipto. </w:t>
      </w:r>
      <w:r w:rsidR="004F3680" w:rsidRPr="00424335">
        <w:rPr>
          <w:lang w:val="es-ES"/>
        </w:rPr>
        <w:t>El 2 de septiembre de 1973,</w:t>
      </w:r>
      <w:r w:rsidR="00060B1B" w:rsidRPr="00424335">
        <w:rPr>
          <w:lang w:val="es-ES"/>
        </w:rPr>
        <w:t xml:space="preserve"> </w:t>
      </w:r>
      <w:r w:rsidR="002B70C8">
        <w:rPr>
          <w:lang w:val="es-ES"/>
        </w:rPr>
        <w:t xml:space="preserve">junto con </w:t>
      </w:r>
      <w:r w:rsidR="008D56EC" w:rsidRPr="00424335">
        <w:rPr>
          <w:lang w:val="es-ES"/>
        </w:rPr>
        <w:t>quien fuera el sucesor de Nasser en el gobierno egipcio, An</w:t>
      </w:r>
      <w:r w:rsidR="00B36D20">
        <w:rPr>
          <w:lang w:val="es-ES"/>
        </w:rPr>
        <w:t>w</w:t>
      </w:r>
      <w:r w:rsidR="008D56EC" w:rsidRPr="00424335">
        <w:rPr>
          <w:lang w:val="es-ES"/>
        </w:rPr>
        <w:t>ar el-</w:t>
      </w:r>
      <w:proofErr w:type="spellStart"/>
      <w:r w:rsidR="008D56EC" w:rsidRPr="00424335">
        <w:rPr>
          <w:lang w:val="es-ES"/>
        </w:rPr>
        <w:t>Sadat</w:t>
      </w:r>
      <w:proofErr w:type="spellEnd"/>
      <w:r w:rsidR="004F3680" w:rsidRPr="00424335">
        <w:rPr>
          <w:lang w:val="es-ES"/>
        </w:rPr>
        <w:t xml:space="preserve">, </w:t>
      </w:r>
      <w:r w:rsidR="002B70C8">
        <w:rPr>
          <w:lang w:val="es-ES"/>
        </w:rPr>
        <w:t>anunció</w:t>
      </w:r>
      <w:r w:rsidR="004F3680" w:rsidRPr="00424335">
        <w:rPr>
          <w:lang w:val="es-ES"/>
        </w:rPr>
        <w:t xml:space="preserve"> que se había acordado </w:t>
      </w:r>
      <w:r w:rsidR="004F3680" w:rsidRPr="00424335">
        <w:rPr>
          <w:i/>
          <w:iCs/>
          <w:lang w:val="es-ES"/>
        </w:rPr>
        <w:t>“la completa unión de sus pueblos tan pronto como fuese posible”</w:t>
      </w:r>
      <w:r w:rsidR="004F3680" w:rsidRPr="00424335">
        <w:rPr>
          <w:lang w:val="es-ES"/>
        </w:rPr>
        <w:t>, estableciéndose para ello el plazo máximo de un año, durante el cual se pondría en funcionamiento una comisión política para la redacción del plan de fusión</w:t>
      </w:r>
      <w:r w:rsidR="00424335" w:rsidRPr="00424335">
        <w:rPr>
          <w:lang w:val="es-ES"/>
        </w:rPr>
        <w:t xml:space="preserve"> (Aznar Sánchez, 1973: 71). </w:t>
      </w:r>
      <w:r w:rsidR="000523D1">
        <w:rPr>
          <w:lang w:val="es-ES"/>
        </w:rPr>
        <w:t xml:space="preserve">Sin embargo, </w:t>
      </w:r>
      <w:r w:rsidR="00B36D20">
        <w:rPr>
          <w:lang w:val="es-ES"/>
        </w:rPr>
        <w:t>pronto las relaciones quedarían definitivamente disueltas cuando se hiciera pública la firma de los acuerdo</w:t>
      </w:r>
      <w:r w:rsidR="00B66130">
        <w:rPr>
          <w:lang w:val="es-ES"/>
        </w:rPr>
        <w:t>s</w:t>
      </w:r>
      <w:r w:rsidR="00B36D20">
        <w:rPr>
          <w:lang w:val="es-ES"/>
        </w:rPr>
        <w:t xml:space="preserve"> de Camp David entre </w:t>
      </w:r>
      <w:proofErr w:type="spellStart"/>
      <w:r w:rsidR="00B36D20">
        <w:rPr>
          <w:lang w:val="es-ES"/>
        </w:rPr>
        <w:t>Sadat</w:t>
      </w:r>
      <w:proofErr w:type="spellEnd"/>
      <w:r w:rsidR="00B36D20">
        <w:rPr>
          <w:lang w:val="es-ES"/>
        </w:rPr>
        <w:t xml:space="preserve"> y el primer ministro israelí </w:t>
      </w:r>
      <w:proofErr w:type="spellStart"/>
      <w:r w:rsidR="00B36D20">
        <w:rPr>
          <w:lang w:val="es-ES"/>
        </w:rPr>
        <w:t>Menahem</w:t>
      </w:r>
      <w:proofErr w:type="spellEnd"/>
      <w:r w:rsidR="00B36D20">
        <w:rPr>
          <w:lang w:val="es-ES"/>
        </w:rPr>
        <w:t xml:space="preserve"> Begin</w:t>
      </w:r>
      <w:r w:rsidR="00B66130">
        <w:rPr>
          <w:lang w:val="es-ES"/>
        </w:rPr>
        <w:t xml:space="preserve"> del 17 de septiembre de 1978</w:t>
      </w:r>
      <w:r w:rsidR="00B36D20">
        <w:rPr>
          <w:lang w:val="es-ES"/>
        </w:rPr>
        <w:t xml:space="preserve">, por el </w:t>
      </w:r>
      <w:r w:rsidR="00656A91">
        <w:rPr>
          <w:lang w:val="es-ES"/>
        </w:rPr>
        <w:t>que</w:t>
      </w:r>
      <w:r w:rsidR="00B36D20">
        <w:rPr>
          <w:lang w:val="es-ES"/>
        </w:rPr>
        <w:t xml:space="preserve"> se ponía fin al conflicto </w:t>
      </w:r>
      <w:r w:rsidR="000F50CD">
        <w:rPr>
          <w:lang w:val="es-ES"/>
        </w:rPr>
        <w:t xml:space="preserve">territorial </w:t>
      </w:r>
      <w:r w:rsidR="00B36D20">
        <w:rPr>
          <w:lang w:val="es-ES"/>
        </w:rPr>
        <w:t>entre ambos paíse</w:t>
      </w:r>
      <w:r w:rsidR="00B66130">
        <w:rPr>
          <w:lang w:val="es-ES"/>
        </w:rPr>
        <w:t xml:space="preserve">s, </w:t>
      </w:r>
      <w:r w:rsidR="000F50CD">
        <w:rPr>
          <w:lang w:val="es-ES"/>
        </w:rPr>
        <w:t>en</w:t>
      </w:r>
      <w:r w:rsidR="00B66130">
        <w:rPr>
          <w:lang w:val="es-ES"/>
        </w:rPr>
        <w:t xml:space="preserve"> cuya negociación había tenido especial protagonismo Estados Unidos. </w:t>
      </w:r>
      <w:r w:rsidR="000F50CD">
        <w:rPr>
          <w:lang w:val="es-ES"/>
        </w:rPr>
        <w:t>La enemistad que surgió entonces con respecto</w:t>
      </w:r>
      <w:r w:rsidR="000F61DC">
        <w:rPr>
          <w:lang w:val="es-ES"/>
        </w:rPr>
        <w:t xml:space="preserve"> a </w:t>
      </w:r>
      <w:proofErr w:type="spellStart"/>
      <w:r w:rsidR="000F61DC">
        <w:rPr>
          <w:lang w:val="es-ES"/>
        </w:rPr>
        <w:t>Sadat</w:t>
      </w:r>
      <w:proofErr w:type="spellEnd"/>
      <w:r w:rsidR="000F61DC">
        <w:rPr>
          <w:lang w:val="es-ES"/>
        </w:rPr>
        <w:t xml:space="preserve"> se hizo explícita tras </w:t>
      </w:r>
      <w:r w:rsidR="000F50CD">
        <w:rPr>
          <w:lang w:val="es-ES"/>
        </w:rPr>
        <w:t>su asesinato</w:t>
      </w:r>
      <w:r w:rsidR="000F61DC">
        <w:rPr>
          <w:lang w:val="es-ES"/>
        </w:rPr>
        <w:t xml:space="preserve">, </w:t>
      </w:r>
      <w:r w:rsidR="000F50CD">
        <w:rPr>
          <w:lang w:val="es-ES"/>
        </w:rPr>
        <w:t xml:space="preserve">producido </w:t>
      </w:r>
      <w:r w:rsidR="000F61DC">
        <w:rPr>
          <w:lang w:val="es-ES"/>
        </w:rPr>
        <w:t xml:space="preserve">el 6 de octubre de 1981, </w:t>
      </w:r>
      <w:r w:rsidR="00062851">
        <w:rPr>
          <w:lang w:val="es-ES"/>
        </w:rPr>
        <w:t xml:space="preserve">cuando </w:t>
      </w:r>
      <w:r w:rsidR="000F61DC">
        <w:rPr>
          <w:lang w:val="es-ES"/>
        </w:rPr>
        <w:t>Gadafi decretó feriado</w:t>
      </w:r>
      <w:r w:rsidR="000F50CD">
        <w:rPr>
          <w:lang w:val="es-ES"/>
        </w:rPr>
        <w:t xml:space="preserve"> en Libia</w:t>
      </w:r>
      <w:r w:rsidR="000F61DC">
        <w:rPr>
          <w:lang w:val="es-ES"/>
        </w:rPr>
        <w:t xml:space="preserve"> </w:t>
      </w:r>
      <w:r w:rsidR="000F61DC" w:rsidRPr="000F61DC">
        <w:rPr>
          <w:i/>
          <w:iCs/>
        </w:rPr>
        <w:t xml:space="preserve">"para que </w:t>
      </w:r>
      <w:r w:rsidR="000F61DC" w:rsidRPr="000F61DC">
        <w:rPr>
          <w:i/>
          <w:iCs/>
        </w:rPr>
        <w:lastRenderedPageBreak/>
        <w:t>el pueblo pueda regocijarse por la desaparición del símbolo de la traición"</w:t>
      </w:r>
      <w:r w:rsidR="00A9359D">
        <w:rPr>
          <w:lang w:val="es-ES"/>
        </w:rPr>
        <w:t xml:space="preserve">, mientras que </w:t>
      </w:r>
      <w:r w:rsidR="00005938">
        <w:rPr>
          <w:lang w:val="es-ES"/>
        </w:rPr>
        <w:t xml:space="preserve">en la televisión se repetía la siguiente frase: </w:t>
      </w:r>
      <w:r w:rsidR="00005938" w:rsidRPr="00005938">
        <w:rPr>
          <w:i/>
          <w:iCs/>
          <w:lang w:val="es-ES"/>
        </w:rPr>
        <w:t xml:space="preserve">“El heredero de Nasser es Gadafi, no </w:t>
      </w:r>
      <w:proofErr w:type="spellStart"/>
      <w:r w:rsidR="00005938" w:rsidRPr="00005938">
        <w:rPr>
          <w:i/>
          <w:iCs/>
          <w:lang w:val="es-ES"/>
        </w:rPr>
        <w:t>Sadat</w:t>
      </w:r>
      <w:proofErr w:type="spellEnd"/>
      <w:r w:rsidR="00005938" w:rsidRPr="00005938">
        <w:rPr>
          <w:i/>
          <w:iCs/>
          <w:lang w:val="es-ES"/>
        </w:rPr>
        <w:t>”</w:t>
      </w:r>
      <w:r w:rsidR="002B70C8">
        <w:rPr>
          <w:i/>
          <w:iCs/>
          <w:lang w:val="es-ES"/>
        </w:rPr>
        <w:t xml:space="preserve"> </w:t>
      </w:r>
      <w:r w:rsidR="00062851" w:rsidRPr="002B70C8">
        <w:rPr>
          <w:lang w:val="es-ES"/>
        </w:rPr>
        <w:t>(</w:t>
      </w:r>
      <w:r w:rsidR="00062851" w:rsidRPr="00062851">
        <w:rPr>
          <w:lang w:val="es-ES"/>
        </w:rPr>
        <w:t>Estévez, 1981</w:t>
      </w:r>
      <w:r w:rsidR="00062851" w:rsidRPr="0049104B">
        <w:rPr>
          <w:lang w:val="es-ES"/>
        </w:rPr>
        <w:t>)</w:t>
      </w:r>
      <w:r w:rsidR="00005938" w:rsidRPr="0049104B">
        <w:rPr>
          <w:lang w:val="es-ES"/>
        </w:rPr>
        <w:t>.</w:t>
      </w:r>
      <w:r w:rsidR="00431D6A">
        <w:rPr>
          <w:i/>
          <w:iCs/>
          <w:lang w:val="es-ES"/>
        </w:rPr>
        <w:t xml:space="preserve"> </w:t>
      </w:r>
    </w:p>
    <w:p w14:paraId="0C44D582" w14:textId="6A9559F0" w:rsidR="00EF7F8A" w:rsidRDefault="00005938" w:rsidP="00F676DF">
      <w:pPr>
        <w:pStyle w:val="NormalWeb"/>
        <w:spacing w:line="360" w:lineRule="auto"/>
        <w:ind w:right="-7"/>
        <w:contextualSpacing/>
        <w:jc w:val="both"/>
        <w:rPr>
          <w:lang w:val="es-ES"/>
        </w:rPr>
      </w:pPr>
      <w:r>
        <w:rPr>
          <w:lang w:val="es-ES"/>
        </w:rPr>
        <w:tab/>
        <w:t xml:space="preserve">Aunque Gadafi todavía levantaba la bandera del panarabismo, la tan mentada unidad y la independencia </w:t>
      </w:r>
      <w:r w:rsidR="00062851">
        <w:rPr>
          <w:lang w:val="es-ES"/>
        </w:rPr>
        <w:t>con respecto a</w:t>
      </w:r>
      <w:r>
        <w:rPr>
          <w:lang w:val="es-ES"/>
        </w:rPr>
        <w:t xml:space="preserve"> Occidente se mostraban como proyectos cada vez más lejanos. </w:t>
      </w:r>
      <w:r w:rsidR="00431D6A">
        <w:rPr>
          <w:lang w:val="es-ES"/>
        </w:rPr>
        <w:t xml:space="preserve">Por ese entonces ya se había sido aceptado el fracaso del </w:t>
      </w:r>
      <w:r w:rsidR="0049104B">
        <w:rPr>
          <w:lang w:val="es-ES"/>
        </w:rPr>
        <w:t>plan</w:t>
      </w:r>
      <w:r w:rsidR="00431D6A">
        <w:rPr>
          <w:lang w:val="es-ES"/>
        </w:rPr>
        <w:t xml:space="preserve"> de </w:t>
      </w:r>
      <w:r w:rsidR="0049104B">
        <w:rPr>
          <w:lang w:val="es-ES"/>
        </w:rPr>
        <w:t xml:space="preserve">creación de </w:t>
      </w:r>
      <w:r w:rsidR="00431D6A">
        <w:rPr>
          <w:lang w:val="es-ES"/>
        </w:rPr>
        <w:t xml:space="preserve">la República Árabe Islámica </w:t>
      </w:r>
      <w:r w:rsidR="00F464D3">
        <w:rPr>
          <w:lang w:val="es-ES"/>
        </w:rPr>
        <w:t xml:space="preserve">que Túnez y Libia había </w:t>
      </w:r>
      <w:r w:rsidR="00431D6A">
        <w:rPr>
          <w:lang w:val="es-ES"/>
        </w:rPr>
        <w:t>firmado en Yerba en 1974</w:t>
      </w:r>
      <w:r w:rsidR="0049104B">
        <w:rPr>
          <w:lang w:val="es-ES"/>
        </w:rPr>
        <w:t>.</w:t>
      </w:r>
      <w:r w:rsidR="00431D6A">
        <w:rPr>
          <w:lang w:val="es-ES"/>
        </w:rPr>
        <w:t xml:space="preserve"> </w:t>
      </w:r>
      <w:r w:rsidR="0049104B">
        <w:rPr>
          <w:lang w:val="es-ES"/>
        </w:rPr>
        <w:t>El</w:t>
      </w:r>
      <w:r w:rsidR="0036306C">
        <w:rPr>
          <w:lang w:val="es-ES"/>
        </w:rPr>
        <w:t xml:space="preserve"> distanciamiento </w:t>
      </w:r>
      <w:r w:rsidR="00DF16D8">
        <w:rPr>
          <w:lang w:val="es-ES"/>
        </w:rPr>
        <w:t xml:space="preserve">entre ambos países </w:t>
      </w:r>
      <w:r w:rsidR="0036306C">
        <w:rPr>
          <w:lang w:val="es-ES"/>
        </w:rPr>
        <w:t xml:space="preserve">se agravó tras la decisión de </w:t>
      </w:r>
      <w:r w:rsidR="001516CE">
        <w:rPr>
          <w:lang w:val="es-ES"/>
        </w:rPr>
        <w:t xml:space="preserve">Gadafi de expulsar 30.367 trabajadores tunecinos en 1985, a lo que Túnez respondió mediante la extradición de diplomáticos libios </w:t>
      </w:r>
      <w:r w:rsidR="001516CE">
        <w:rPr>
          <w:i/>
          <w:iCs/>
          <w:lang w:val="es-ES"/>
        </w:rPr>
        <w:t>“por supuestas actividades terroristas”</w:t>
      </w:r>
      <w:r w:rsidR="001516CE">
        <w:rPr>
          <w:lang w:val="es-ES"/>
        </w:rPr>
        <w:t xml:space="preserve"> (</w:t>
      </w:r>
      <w:proofErr w:type="spellStart"/>
      <w:r w:rsidR="001516CE">
        <w:rPr>
          <w:lang w:val="es-ES"/>
        </w:rPr>
        <w:t>Orgambides</w:t>
      </w:r>
      <w:proofErr w:type="spellEnd"/>
      <w:r w:rsidR="001516CE">
        <w:rPr>
          <w:lang w:val="es-ES"/>
        </w:rPr>
        <w:t>, 1985</w:t>
      </w:r>
      <w:r w:rsidR="00DF16D8">
        <w:rPr>
          <w:lang w:val="es-ES"/>
        </w:rPr>
        <w:t>). De todos modos,</w:t>
      </w:r>
      <w:r>
        <w:rPr>
          <w:lang w:val="es-ES"/>
        </w:rPr>
        <w:t xml:space="preserve"> </w:t>
      </w:r>
      <w:r w:rsidR="00622AAE">
        <w:rPr>
          <w:lang w:val="es-ES"/>
        </w:rPr>
        <w:t>el episodio que terminó alej</w:t>
      </w:r>
      <w:r w:rsidR="00DF16D8">
        <w:rPr>
          <w:lang w:val="es-ES"/>
        </w:rPr>
        <w:t xml:space="preserve">ando al líder libio </w:t>
      </w:r>
      <w:r w:rsidR="00622AAE">
        <w:rPr>
          <w:lang w:val="es-ES"/>
        </w:rPr>
        <w:t xml:space="preserve">en forma definitiva de esta ideología </w:t>
      </w:r>
      <w:r w:rsidR="00C3648F">
        <w:rPr>
          <w:lang w:val="es-ES"/>
        </w:rPr>
        <w:t>se relacionó con</w:t>
      </w:r>
      <w:r w:rsidR="00622AAE">
        <w:rPr>
          <w:lang w:val="es-ES"/>
        </w:rPr>
        <w:t xml:space="preserve"> la causa palestina. El 4 de mayo de 1994 Israel y la Organización para la Liberación de Palestina (OLP) firmaron el </w:t>
      </w:r>
      <w:r w:rsidR="00DF16D8">
        <w:rPr>
          <w:lang w:val="es-ES"/>
        </w:rPr>
        <w:t xml:space="preserve">tratado </w:t>
      </w:r>
      <w:r w:rsidR="00622AAE">
        <w:rPr>
          <w:lang w:val="es-ES"/>
        </w:rPr>
        <w:t xml:space="preserve">de El Cairo, por el cual </w:t>
      </w:r>
      <w:r w:rsidR="007C1413">
        <w:rPr>
          <w:lang w:val="es-ES"/>
        </w:rPr>
        <w:t>se acordó el plan de retiro de las fuerzas israelíes de la Franja de Gaza y de la zona de Jericó</w:t>
      </w:r>
      <w:r w:rsidR="00951687">
        <w:rPr>
          <w:lang w:val="es-ES"/>
        </w:rPr>
        <w:t xml:space="preserve"> y </w:t>
      </w:r>
      <w:r w:rsidR="007C1413">
        <w:rPr>
          <w:lang w:val="es-ES"/>
        </w:rPr>
        <w:t>el traspaso de la autoridad a la organización palestina</w:t>
      </w:r>
      <w:r w:rsidR="00951687">
        <w:rPr>
          <w:lang w:val="es-ES"/>
        </w:rPr>
        <w:t xml:space="preserve">, como así también el compromiso de </w:t>
      </w:r>
      <w:r w:rsidR="00951687" w:rsidRPr="00951687">
        <w:rPr>
          <w:i/>
          <w:iCs/>
          <w:lang w:val="es-ES"/>
        </w:rPr>
        <w:t>“mantener la comprensión y la tolerancia mutuas”</w:t>
      </w:r>
      <w:r w:rsidR="0093770D">
        <w:rPr>
          <w:rStyle w:val="Refdenotaalpie"/>
          <w:i/>
          <w:iCs/>
          <w:lang w:val="es-ES"/>
        </w:rPr>
        <w:footnoteReference w:id="10"/>
      </w:r>
      <w:r w:rsidR="00FB6DB0">
        <w:rPr>
          <w:lang w:val="es-ES"/>
        </w:rPr>
        <w:t>. Este acercamiento no fue visto con buenos ojos por Gadafi</w:t>
      </w:r>
      <w:r w:rsidR="00AC1A44">
        <w:rPr>
          <w:lang w:val="es-ES"/>
        </w:rPr>
        <w:t xml:space="preserve">, quien lo describió </w:t>
      </w:r>
      <w:r w:rsidR="002418A6">
        <w:rPr>
          <w:lang w:val="es-ES"/>
        </w:rPr>
        <w:t xml:space="preserve">como una </w:t>
      </w:r>
      <w:r w:rsidR="002418A6">
        <w:rPr>
          <w:i/>
          <w:iCs/>
          <w:lang w:val="es-ES"/>
        </w:rPr>
        <w:t>“claudicación”</w:t>
      </w:r>
      <w:r w:rsidR="00F11DF1">
        <w:rPr>
          <w:i/>
          <w:iCs/>
          <w:lang w:val="es-ES"/>
        </w:rPr>
        <w:t xml:space="preserve"> </w:t>
      </w:r>
      <w:r w:rsidR="00F464D3">
        <w:rPr>
          <w:lang w:val="es-ES"/>
        </w:rPr>
        <w:t>dado que no permitía</w:t>
      </w:r>
      <w:r w:rsidR="00F11DF1">
        <w:rPr>
          <w:lang w:val="es-ES"/>
        </w:rPr>
        <w:t xml:space="preserve"> que la totalidad de los palestinos volvieran al territorio</w:t>
      </w:r>
      <w:r w:rsidR="00F464D3">
        <w:rPr>
          <w:i/>
          <w:iCs/>
          <w:lang w:val="es-ES"/>
        </w:rPr>
        <w:t xml:space="preserve">. </w:t>
      </w:r>
      <w:r w:rsidR="00DF16D8">
        <w:rPr>
          <w:i/>
          <w:iCs/>
          <w:lang w:val="es-ES"/>
        </w:rPr>
        <w:t xml:space="preserve"> </w:t>
      </w:r>
      <w:r w:rsidR="00F464D3">
        <w:rPr>
          <w:lang w:val="es-ES"/>
        </w:rPr>
        <w:t>La respuesta del líder libio, un tanto paradójica, fue</w:t>
      </w:r>
      <w:r w:rsidR="002418A6">
        <w:rPr>
          <w:lang w:val="es-ES"/>
        </w:rPr>
        <w:t xml:space="preserve"> la expulsión de 30.000 </w:t>
      </w:r>
      <w:r w:rsidR="006D5AA7">
        <w:rPr>
          <w:lang w:val="es-ES"/>
        </w:rPr>
        <w:t xml:space="preserve">palestinos refugiados </w:t>
      </w:r>
      <w:r w:rsidR="00F464D3">
        <w:rPr>
          <w:lang w:val="es-ES"/>
        </w:rPr>
        <w:t>del país</w:t>
      </w:r>
      <w:r w:rsidR="00D5165B">
        <w:rPr>
          <w:rStyle w:val="Refdenotaalpie"/>
          <w:lang w:val="es-ES"/>
        </w:rPr>
        <w:footnoteReference w:id="11"/>
      </w:r>
      <w:r w:rsidR="006D5AA7">
        <w:rPr>
          <w:lang w:val="es-ES"/>
        </w:rPr>
        <w:t xml:space="preserve">, </w:t>
      </w:r>
      <w:r w:rsidR="00F11DF1">
        <w:rPr>
          <w:lang w:val="es-ES"/>
        </w:rPr>
        <w:t>frente a lo cual</w:t>
      </w:r>
      <w:r w:rsidR="00F464D3">
        <w:rPr>
          <w:lang w:val="es-ES"/>
        </w:rPr>
        <w:t xml:space="preserve"> fue acusado por</w:t>
      </w:r>
      <w:r w:rsidR="006D5AA7">
        <w:rPr>
          <w:lang w:val="es-ES"/>
        </w:rPr>
        <w:t xml:space="preserve"> el líder de la OLP, Yasser Arafat, de maltratar a los </w:t>
      </w:r>
      <w:proofErr w:type="gramStart"/>
      <w:r w:rsidR="006D5AA7">
        <w:rPr>
          <w:lang w:val="es-ES"/>
        </w:rPr>
        <w:t>refugiados</w:t>
      </w:r>
      <w:r w:rsidR="00C3648F">
        <w:rPr>
          <w:lang w:val="es-ES"/>
        </w:rPr>
        <w:t xml:space="preserve"> </w:t>
      </w:r>
      <w:r w:rsidR="006D5AA7">
        <w:rPr>
          <w:lang w:val="es-ES"/>
        </w:rPr>
        <w:t xml:space="preserve"> (</w:t>
      </w:r>
      <w:proofErr w:type="gramEnd"/>
      <w:r w:rsidR="006D5AA7">
        <w:rPr>
          <w:lang w:val="es-ES"/>
        </w:rPr>
        <w:t>Gumucio, J.C., 1995</w:t>
      </w:r>
      <w:r w:rsidR="002269A3">
        <w:rPr>
          <w:lang w:val="es-ES"/>
        </w:rPr>
        <w:t xml:space="preserve">). </w:t>
      </w:r>
    </w:p>
    <w:p w14:paraId="2846F5C0" w14:textId="565CACEE" w:rsidR="003928BB" w:rsidRDefault="001B2AC6" w:rsidP="00F676DF">
      <w:pPr>
        <w:pStyle w:val="NormalWeb"/>
        <w:spacing w:line="360" w:lineRule="auto"/>
        <w:contextualSpacing/>
        <w:jc w:val="both"/>
        <w:rPr>
          <w:lang w:val="es-ES"/>
        </w:rPr>
      </w:pPr>
      <w:r>
        <w:tab/>
      </w:r>
      <w:r w:rsidR="00DF16D8">
        <w:rPr>
          <w:lang w:val="es-ES"/>
        </w:rPr>
        <w:t xml:space="preserve">Sin perjuicio de estos episodios, </w:t>
      </w:r>
      <w:r w:rsidR="00D0659D">
        <w:rPr>
          <w:lang w:val="es-ES"/>
        </w:rPr>
        <w:t>el alejamiento de</w:t>
      </w:r>
      <w:r w:rsidR="00DF16D8">
        <w:rPr>
          <w:lang w:val="es-ES"/>
        </w:rPr>
        <w:t xml:space="preserve"> </w:t>
      </w:r>
      <w:r>
        <w:rPr>
          <w:lang w:val="es-ES"/>
        </w:rPr>
        <w:t>Gadafi</w:t>
      </w:r>
      <w:r w:rsidR="00DF16D8">
        <w:rPr>
          <w:lang w:val="es-ES"/>
        </w:rPr>
        <w:t xml:space="preserve"> </w:t>
      </w:r>
      <w:r w:rsidR="00D0659D">
        <w:rPr>
          <w:lang w:val="es-ES"/>
        </w:rPr>
        <w:t>del panarabismo obedeció</w:t>
      </w:r>
      <w:r w:rsidR="00DF16D8">
        <w:rPr>
          <w:lang w:val="es-ES"/>
        </w:rPr>
        <w:t xml:space="preserve"> </w:t>
      </w:r>
      <w:r>
        <w:rPr>
          <w:i/>
          <w:iCs/>
          <w:lang w:val="es-ES"/>
        </w:rPr>
        <w:t>“primero, a la falta de apoyo por parte los Estados árabes a su perspectiva de unir a las naciones árabes</w:t>
      </w:r>
      <w:r w:rsidR="00F464D3" w:rsidRPr="00F464D3">
        <w:rPr>
          <w:lang w:val="es-ES"/>
        </w:rPr>
        <w:t>” y, en segundo término</w:t>
      </w:r>
      <w:r w:rsidR="00501016">
        <w:rPr>
          <w:i/>
          <w:iCs/>
          <w:lang w:val="es-ES"/>
        </w:rPr>
        <w:t xml:space="preserve">, </w:t>
      </w:r>
      <w:r w:rsidR="00501016">
        <w:rPr>
          <w:lang w:val="es-ES"/>
        </w:rPr>
        <w:t xml:space="preserve">a su comprensión </w:t>
      </w:r>
      <w:r w:rsidR="00501016">
        <w:rPr>
          <w:i/>
          <w:iCs/>
          <w:lang w:val="es-ES"/>
        </w:rPr>
        <w:t>“</w:t>
      </w:r>
      <w:r>
        <w:rPr>
          <w:i/>
          <w:iCs/>
          <w:lang w:val="es-ES"/>
        </w:rPr>
        <w:t xml:space="preserve">de las complejidades de las naciones árabes y cómo siempre </w:t>
      </w:r>
      <w:r w:rsidR="00B77F3E">
        <w:rPr>
          <w:i/>
          <w:iCs/>
          <w:lang w:val="es-ES"/>
        </w:rPr>
        <w:t>dependieron de</w:t>
      </w:r>
      <w:r>
        <w:rPr>
          <w:i/>
          <w:iCs/>
          <w:lang w:val="es-ES"/>
        </w:rPr>
        <w:t xml:space="preserve"> </w:t>
      </w:r>
      <w:r w:rsidR="00B77F3E">
        <w:rPr>
          <w:i/>
          <w:iCs/>
          <w:lang w:val="es-ES"/>
        </w:rPr>
        <w:t>la influencia occidental más que basarse en lo</w:t>
      </w:r>
      <w:r w:rsidR="00666618">
        <w:rPr>
          <w:i/>
          <w:iCs/>
          <w:lang w:val="es-ES"/>
        </w:rPr>
        <w:t xml:space="preserve">s </w:t>
      </w:r>
      <w:r w:rsidR="00B77F3E">
        <w:rPr>
          <w:i/>
          <w:iCs/>
          <w:lang w:val="es-ES"/>
        </w:rPr>
        <w:t>intereses comunes musulmanes”</w:t>
      </w:r>
      <w:r w:rsidR="00A966A4">
        <w:rPr>
          <w:i/>
          <w:iCs/>
          <w:lang w:val="es-ES"/>
        </w:rPr>
        <w:t xml:space="preserve"> </w:t>
      </w:r>
      <w:r w:rsidR="00A966A4" w:rsidRPr="00A966A4">
        <w:rPr>
          <w:lang w:val="es-ES"/>
        </w:rPr>
        <w:t>(</w:t>
      </w:r>
      <w:proofErr w:type="spellStart"/>
      <w:r w:rsidR="00A966A4" w:rsidRPr="00A966A4">
        <w:rPr>
          <w:lang w:val="es-ES"/>
        </w:rPr>
        <w:t>Suhfree</w:t>
      </w:r>
      <w:proofErr w:type="spellEnd"/>
      <w:r w:rsidR="00A966A4" w:rsidRPr="00A966A4">
        <w:rPr>
          <w:lang w:val="es-ES"/>
        </w:rPr>
        <w:t>, 2012: 113)</w:t>
      </w:r>
      <w:r w:rsidR="00501016">
        <w:rPr>
          <w:lang w:val="es-ES"/>
        </w:rPr>
        <w:t>.</w:t>
      </w:r>
      <w:r w:rsidR="00D0659D">
        <w:rPr>
          <w:lang w:val="es-ES"/>
        </w:rPr>
        <w:t xml:space="preserve"> </w:t>
      </w:r>
      <w:r w:rsidR="00501016">
        <w:rPr>
          <w:lang w:val="es-ES"/>
        </w:rPr>
        <w:t xml:space="preserve">Esto </w:t>
      </w:r>
      <w:r w:rsidR="00D0659D">
        <w:rPr>
          <w:lang w:val="es-ES"/>
        </w:rPr>
        <w:t xml:space="preserve">lo llevó a </w:t>
      </w:r>
      <w:r w:rsidR="00666618">
        <w:rPr>
          <w:lang w:val="es-ES"/>
        </w:rPr>
        <w:t>volcarse definitivamente</w:t>
      </w:r>
      <w:r w:rsidR="00B77F3E">
        <w:rPr>
          <w:lang w:val="es-ES"/>
        </w:rPr>
        <w:t xml:space="preserve"> </w:t>
      </w:r>
      <w:r w:rsidR="00666618">
        <w:rPr>
          <w:lang w:val="es-ES"/>
        </w:rPr>
        <w:t>al</w:t>
      </w:r>
      <w:r w:rsidR="00B77F3E">
        <w:rPr>
          <w:lang w:val="es-ES"/>
        </w:rPr>
        <w:t xml:space="preserve"> panafricanismo, </w:t>
      </w:r>
      <w:r w:rsidR="00D0659D">
        <w:rPr>
          <w:lang w:val="es-ES"/>
        </w:rPr>
        <w:t>ideología con la que había comenzado a mostrar simpatía</w:t>
      </w:r>
      <w:r w:rsidR="00666618">
        <w:rPr>
          <w:lang w:val="es-ES"/>
        </w:rPr>
        <w:t xml:space="preserve"> a fines de la década anterior</w:t>
      </w:r>
      <w:r w:rsidR="00AC1A44">
        <w:rPr>
          <w:lang w:val="es-ES"/>
        </w:rPr>
        <w:t xml:space="preserve"> y que </w:t>
      </w:r>
      <w:r w:rsidR="00A966A4">
        <w:rPr>
          <w:lang w:val="es-ES"/>
        </w:rPr>
        <w:t xml:space="preserve">se tradujo </w:t>
      </w:r>
      <w:r w:rsidR="00AC1A44">
        <w:rPr>
          <w:lang w:val="es-ES"/>
        </w:rPr>
        <w:t>en la firma de</w:t>
      </w:r>
      <w:r w:rsidR="00666618">
        <w:rPr>
          <w:lang w:val="es-ES"/>
        </w:rPr>
        <w:t xml:space="preserve"> tratados, acercamientos diplomáticos y acuerdos económicos con países </w:t>
      </w:r>
      <w:r w:rsidR="00AC1A44">
        <w:rPr>
          <w:lang w:val="es-ES"/>
        </w:rPr>
        <w:t>de la región</w:t>
      </w:r>
      <w:r w:rsidR="00DC3927">
        <w:rPr>
          <w:lang w:val="es-ES"/>
        </w:rPr>
        <w:t>.</w:t>
      </w:r>
      <w:r w:rsidR="006312ED">
        <w:rPr>
          <w:lang w:val="es-ES"/>
        </w:rPr>
        <w:t xml:space="preserve"> </w:t>
      </w:r>
      <w:r w:rsidR="00A966A4">
        <w:rPr>
          <w:lang w:val="es-ES"/>
        </w:rPr>
        <w:t>E</w:t>
      </w:r>
      <w:r w:rsidR="002032B0">
        <w:rPr>
          <w:lang w:val="es-ES"/>
        </w:rPr>
        <w:t xml:space="preserve">ste </w:t>
      </w:r>
      <w:r w:rsidR="006312ED">
        <w:rPr>
          <w:lang w:val="es-ES"/>
        </w:rPr>
        <w:t xml:space="preserve">cambio </w:t>
      </w:r>
      <w:r w:rsidR="002032B0">
        <w:rPr>
          <w:lang w:val="es-ES"/>
        </w:rPr>
        <w:t>repercutió</w:t>
      </w:r>
      <w:r w:rsidR="006312ED">
        <w:rPr>
          <w:lang w:val="es-ES"/>
        </w:rPr>
        <w:t xml:space="preserve"> </w:t>
      </w:r>
      <w:r w:rsidR="00A966A4">
        <w:rPr>
          <w:lang w:val="es-ES"/>
        </w:rPr>
        <w:t xml:space="preserve">también </w:t>
      </w:r>
      <w:r w:rsidR="006312ED">
        <w:rPr>
          <w:lang w:val="es-ES"/>
        </w:rPr>
        <w:t xml:space="preserve">en el origen de los inmigrantes </w:t>
      </w:r>
      <w:r w:rsidR="00A966A4">
        <w:rPr>
          <w:lang w:val="es-ES"/>
        </w:rPr>
        <w:t>que se establecieron</w:t>
      </w:r>
      <w:r w:rsidR="006312ED">
        <w:rPr>
          <w:lang w:val="es-ES"/>
        </w:rPr>
        <w:t xml:space="preserve"> en el territorio de Libia</w:t>
      </w:r>
      <w:r w:rsidR="00A966A4">
        <w:rPr>
          <w:lang w:val="es-ES"/>
        </w:rPr>
        <w:t xml:space="preserve"> ya </w:t>
      </w:r>
      <w:r w:rsidR="002159CC">
        <w:rPr>
          <w:lang w:val="es-ES"/>
        </w:rPr>
        <w:t xml:space="preserve">que en 1995 </w:t>
      </w:r>
      <w:r w:rsidR="002032B0">
        <w:rPr>
          <w:lang w:val="es-ES"/>
        </w:rPr>
        <w:t xml:space="preserve">empezaron </w:t>
      </w:r>
      <w:r w:rsidR="002159CC">
        <w:rPr>
          <w:lang w:val="es-ES"/>
        </w:rPr>
        <w:t xml:space="preserve">a predominar los procedentes del </w:t>
      </w:r>
      <w:r w:rsidR="002A1B7A">
        <w:rPr>
          <w:lang w:val="es-ES"/>
        </w:rPr>
        <w:t>África subsahariana</w:t>
      </w:r>
      <w:r w:rsidR="002159CC">
        <w:rPr>
          <w:lang w:val="es-ES"/>
        </w:rPr>
        <w:t xml:space="preserve">, </w:t>
      </w:r>
      <w:r w:rsidR="002A1B7A">
        <w:rPr>
          <w:lang w:val="es-ES"/>
        </w:rPr>
        <w:t>sobre todo de Sudán, Chad y Níger</w:t>
      </w:r>
      <w:r w:rsidR="004002BB">
        <w:rPr>
          <w:lang w:val="es-ES"/>
        </w:rPr>
        <w:t xml:space="preserve"> (</w:t>
      </w:r>
      <w:proofErr w:type="spellStart"/>
      <w:r w:rsidR="004002BB">
        <w:rPr>
          <w:lang w:val="es-ES"/>
        </w:rPr>
        <w:t>Pliez</w:t>
      </w:r>
      <w:proofErr w:type="spellEnd"/>
      <w:r w:rsidR="004002BB">
        <w:rPr>
          <w:lang w:val="es-ES"/>
        </w:rPr>
        <w:t>, 2006)</w:t>
      </w:r>
      <w:r w:rsidR="00656A91">
        <w:rPr>
          <w:lang w:val="es-ES"/>
        </w:rPr>
        <w:t>.</w:t>
      </w:r>
    </w:p>
    <w:p w14:paraId="54BF467F" w14:textId="77777777" w:rsidR="00656A91" w:rsidRPr="00132B5F" w:rsidRDefault="00656A91" w:rsidP="00F676DF">
      <w:pPr>
        <w:pStyle w:val="NormalWeb"/>
        <w:spacing w:line="360" w:lineRule="auto"/>
        <w:contextualSpacing/>
        <w:jc w:val="both"/>
        <w:rPr>
          <w:lang w:val="es-ES"/>
        </w:rPr>
      </w:pPr>
    </w:p>
    <w:p w14:paraId="40FCE32F" w14:textId="4E5A7673" w:rsidR="00743890" w:rsidRDefault="00743890" w:rsidP="00F676DF">
      <w:pPr>
        <w:pStyle w:val="NormalWeb"/>
        <w:spacing w:line="360" w:lineRule="auto"/>
        <w:contextualSpacing/>
        <w:jc w:val="both"/>
        <w:rPr>
          <w:b/>
          <w:bCs/>
          <w:lang w:val="es-ES"/>
        </w:rPr>
      </w:pPr>
      <w:r>
        <w:rPr>
          <w:b/>
          <w:bCs/>
          <w:lang w:val="es-ES"/>
        </w:rPr>
        <w:t>Los imperativos económicos</w:t>
      </w:r>
      <w:r w:rsidR="002E2DE1">
        <w:rPr>
          <w:b/>
          <w:bCs/>
          <w:lang w:val="es-ES"/>
        </w:rPr>
        <w:t xml:space="preserve"> y el acercamiento a Italia</w:t>
      </w:r>
    </w:p>
    <w:p w14:paraId="13B999E8" w14:textId="52E6922A" w:rsidR="00BA3957" w:rsidRPr="00395817" w:rsidRDefault="00743890" w:rsidP="00F676DF">
      <w:pPr>
        <w:pStyle w:val="NormalWeb"/>
        <w:spacing w:line="360" w:lineRule="auto"/>
        <w:contextualSpacing/>
        <w:jc w:val="both"/>
        <w:rPr>
          <w:lang w:val="es-ES"/>
        </w:rPr>
      </w:pPr>
      <w:r>
        <w:rPr>
          <w:lang w:val="es-ES"/>
        </w:rPr>
        <w:lastRenderedPageBreak/>
        <w:tab/>
        <w:t xml:space="preserve">Más allá de los cambios en el alineamiento ideológico de Gadafi, lo cierto es </w:t>
      </w:r>
      <w:r w:rsidR="006C697E">
        <w:rPr>
          <w:lang w:val="es-ES"/>
        </w:rPr>
        <w:t>que las expulsiones de trabajadores migrantes</w:t>
      </w:r>
      <w:r>
        <w:rPr>
          <w:lang w:val="es-ES"/>
        </w:rPr>
        <w:t xml:space="preserve"> </w:t>
      </w:r>
      <w:r w:rsidR="002159CC">
        <w:rPr>
          <w:lang w:val="es-ES"/>
        </w:rPr>
        <w:t>se relacionaron también</w:t>
      </w:r>
      <w:r>
        <w:rPr>
          <w:lang w:val="es-ES"/>
        </w:rPr>
        <w:t xml:space="preserve"> </w:t>
      </w:r>
      <w:r w:rsidR="002159CC">
        <w:rPr>
          <w:lang w:val="es-ES"/>
        </w:rPr>
        <w:t>con</w:t>
      </w:r>
      <w:r>
        <w:rPr>
          <w:lang w:val="es-ES"/>
        </w:rPr>
        <w:t xml:space="preserve"> la situación económica. A la caída del precio del petróleo en la década de 1980 se habían sumado los efectos de los embargos impuestos a Libia</w:t>
      </w:r>
      <w:r w:rsidR="00BD71F2">
        <w:rPr>
          <w:lang w:val="es-ES"/>
        </w:rPr>
        <w:t xml:space="preserve"> y </w:t>
      </w:r>
      <w:r w:rsidR="006C697E">
        <w:rPr>
          <w:lang w:val="es-ES"/>
        </w:rPr>
        <w:t>est</w:t>
      </w:r>
      <w:r w:rsidR="002159CC">
        <w:rPr>
          <w:lang w:val="es-ES"/>
        </w:rPr>
        <w:t>o se tradujo en un desempleo creciente entre los ciudadanos del país</w:t>
      </w:r>
      <w:r w:rsidR="00BD71F2">
        <w:rPr>
          <w:lang w:val="es-ES"/>
        </w:rPr>
        <w:t xml:space="preserve">. </w:t>
      </w:r>
      <w:r w:rsidR="00723E16">
        <w:rPr>
          <w:lang w:val="es-ES"/>
        </w:rPr>
        <w:t>Ya en 1983 el régimen decret</w:t>
      </w:r>
      <w:r w:rsidR="00BD71F2">
        <w:rPr>
          <w:lang w:val="es-ES"/>
        </w:rPr>
        <w:t>ó</w:t>
      </w:r>
      <w:r w:rsidR="00723E16">
        <w:rPr>
          <w:lang w:val="es-ES"/>
        </w:rPr>
        <w:t xml:space="preserve"> que deb</w:t>
      </w:r>
      <w:r w:rsidR="00BD71F2">
        <w:rPr>
          <w:lang w:val="es-ES"/>
        </w:rPr>
        <w:t>ía</w:t>
      </w:r>
      <w:r w:rsidR="00723E16">
        <w:rPr>
          <w:lang w:val="es-ES"/>
        </w:rPr>
        <w:t xml:space="preserve"> ser reducido a la mitad el número de trabajadores extranjeros antes de fin de año, lo que se h</w:t>
      </w:r>
      <w:r w:rsidR="006C697E">
        <w:rPr>
          <w:lang w:val="es-ES"/>
        </w:rPr>
        <w:t>izo</w:t>
      </w:r>
      <w:r w:rsidR="00723E16">
        <w:rPr>
          <w:lang w:val="es-ES"/>
        </w:rPr>
        <w:t xml:space="preserve"> efectivo en primera instancia en las empresas</w:t>
      </w:r>
      <w:r w:rsidR="002159CC">
        <w:rPr>
          <w:lang w:val="es-ES"/>
        </w:rPr>
        <w:t xml:space="preserve"> nacionales</w:t>
      </w:r>
      <w:r w:rsidR="00723E16">
        <w:rPr>
          <w:lang w:val="es-ES"/>
        </w:rPr>
        <w:t xml:space="preserve"> y la administración pública, pero con un alcance limitado debido </w:t>
      </w:r>
      <w:r w:rsidR="002159CC">
        <w:rPr>
          <w:lang w:val="es-ES"/>
        </w:rPr>
        <w:t>la dependencia que seguía existiendo en Libia con respecto a la mano de obra migrante.</w:t>
      </w:r>
      <w:r w:rsidR="00BD71F2">
        <w:rPr>
          <w:lang w:val="es-ES"/>
        </w:rPr>
        <w:t xml:space="preserve"> </w:t>
      </w:r>
      <w:r w:rsidR="006C697E">
        <w:rPr>
          <w:lang w:val="es-ES"/>
        </w:rPr>
        <w:t>De todos modos, a</w:t>
      </w:r>
      <w:r w:rsidR="00BD71F2">
        <w:rPr>
          <w:lang w:val="es-ES"/>
        </w:rPr>
        <w:t xml:space="preserve"> la expulsión </w:t>
      </w:r>
      <w:r w:rsidR="002159CC">
        <w:rPr>
          <w:lang w:val="es-ES"/>
        </w:rPr>
        <w:t xml:space="preserve">que nos refiriéramos </w:t>
      </w:r>
      <w:r w:rsidR="00BD71F2">
        <w:rPr>
          <w:lang w:val="es-ES"/>
        </w:rPr>
        <w:t>de más de 30.000 trabajadores tunecinos</w:t>
      </w:r>
      <w:r w:rsidR="004A6DC2">
        <w:rPr>
          <w:lang w:val="es-ES"/>
        </w:rPr>
        <w:t xml:space="preserve"> </w:t>
      </w:r>
      <w:r w:rsidR="00BD71F2">
        <w:rPr>
          <w:lang w:val="es-ES"/>
        </w:rPr>
        <w:t>sobre la base de razones supuestamente “políticas”</w:t>
      </w:r>
      <w:r w:rsidR="006C697E">
        <w:rPr>
          <w:lang w:val="es-ES"/>
        </w:rPr>
        <w:t xml:space="preserve"> en 1985</w:t>
      </w:r>
      <w:r w:rsidR="00BD71F2">
        <w:rPr>
          <w:lang w:val="es-ES"/>
        </w:rPr>
        <w:t xml:space="preserve">, </w:t>
      </w:r>
      <w:r w:rsidR="006C697E">
        <w:rPr>
          <w:lang w:val="es-ES"/>
        </w:rPr>
        <w:t xml:space="preserve">se sumaron </w:t>
      </w:r>
      <w:r w:rsidR="00BD71F2">
        <w:rPr>
          <w:lang w:val="es-ES"/>
        </w:rPr>
        <w:t>ese mismo año otr</w:t>
      </w:r>
      <w:r w:rsidR="006C697E">
        <w:rPr>
          <w:lang w:val="es-ES"/>
        </w:rPr>
        <w:t>a</w:t>
      </w:r>
      <w:r w:rsidR="00BD71F2">
        <w:rPr>
          <w:lang w:val="es-ES"/>
        </w:rPr>
        <w:t>s 50.000</w:t>
      </w:r>
      <w:r w:rsidR="006C697E">
        <w:rPr>
          <w:lang w:val="es-ES"/>
        </w:rPr>
        <w:t xml:space="preserve"> expulsiones</w:t>
      </w:r>
      <w:r w:rsidR="00BD71F2">
        <w:rPr>
          <w:lang w:val="es-ES"/>
        </w:rPr>
        <w:t xml:space="preserve">, en especial </w:t>
      </w:r>
      <w:r w:rsidR="006C697E">
        <w:rPr>
          <w:lang w:val="es-ES"/>
        </w:rPr>
        <w:t xml:space="preserve">de </w:t>
      </w:r>
      <w:r w:rsidR="00BD71F2">
        <w:rPr>
          <w:lang w:val="es-ES"/>
        </w:rPr>
        <w:t>egipcios</w:t>
      </w:r>
      <w:r w:rsidR="006C697E">
        <w:rPr>
          <w:lang w:val="es-ES"/>
        </w:rPr>
        <w:t xml:space="preserve">, </w:t>
      </w:r>
      <w:r w:rsidR="002159CC">
        <w:rPr>
          <w:lang w:val="es-ES"/>
        </w:rPr>
        <w:t>alegándose</w:t>
      </w:r>
      <w:r w:rsidR="00943BEB">
        <w:rPr>
          <w:lang w:val="es-ES"/>
        </w:rPr>
        <w:t xml:space="preserve"> </w:t>
      </w:r>
      <w:r w:rsidR="00DE14D5">
        <w:rPr>
          <w:lang w:val="es-ES"/>
        </w:rPr>
        <w:t>motivos</w:t>
      </w:r>
      <w:r w:rsidR="00943BEB">
        <w:rPr>
          <w:lang w:val="es-ES"/>
        </w:rPr>
        <w:t xml:space="preserve"> similares</w:t>
      </w:r>
      <w:r w:rsidR="00723E16">
        <w:rPr>
          <w:lang w:val="es-ES"/>
        </w:rPr>
        <w:t xml:space="preserve">. </w:t>
      </w:r>
      <w:r w:rsidR="006C697E">
        <w:rPr>
          <w:lang w:val="es-ES"/>
        </w:rPr>
        <w:t>Finalmente</w:t>
      </w:r>
      <w:r w:rsidR="00943BEB">
        <w:rPr>
          <w:lang w:val="es-ES"/>
        </w:rPr>
        <w:t xml:space="preserve">, el gobierno de Libia </w:t>
      </w:r>
      <w:r w:rsidR="00A56A29">
        <w:rPr>
          <w:lang w:val="es-ES"/>
        </w:rPr>
        <w:t>anunci</w:t>
      </w:r>
      <w:r w:rsidR="00943BEB">
        <w:rPr>
          <w:lang w:val="es-ES"/>
        </w:rPr>
        <w:t>ó</w:t>
      </w:r>
      <w:r w:rsidR="00A56A29">
        <w:rPr>
          <w:lang w:val="es-ES"/>
        </w:rPr>
        <w:t xml:space="preserve"> en septiembre de 1995</w:t>
      </w:r>
      <w:r w:rsidR="006C697E">
        <w:rPr>
          <w:lang w:val="es-ES"/>
        </w:rPr>
        <w:t xml:space="preserve"> </w:t>
      </w:r>
      <w:r w:rsidR="00A56A29">
        <w:rPr>
          <w:lang w:val="es-ES"/>
        </w:rPr>
        <w:t xml:space="preserve">el fin de la dependencia de </w:t>
      </w:r>
      <w:r w:rsidR="006C697E">
        <w:rPr>
          <w:lang w:val="es-ES"/>
        </w:rPr>
        <w:t xml:space="preserve">los </w:t>
      </w:r>
      <w:r w:rsidR="00A56A29">
        <w:rPr>
          <w:lang w:val="es-ES"/>
        </w:rPr>
        <w:t>trabajadores extranjeros</w:t>
      </w:r>
      <w:r w:rsidR="006826CF">
        <w:rPr>
          <w:lang w:val="es-ES"/>
        </w:rPr>
        <w:t xml:space="preserve">, calculados entonces en alrededor de dos millones de personas, </w:t>
      </w:r>
      <w:r w:rsidR="006C697E">
        <w:rPr>
          <w:lang w:val="es-ES"/>
        </w:rPr>
        <w:t>con el fin de garantizar el</w:t>
      </w:r>
      <w:r w:rsidR="006826CF">
        <w:rPr>
          <w:lang w:val="es-ES"/>
        </w:rPr>
        <w:t xml:space="preserve"> </w:t>
      </w:r>
      <w:r w:rsidR="00DE14D5">
        <w:rPr>
          <w:lang w:val="es-ES"/>
        </w:rPr>
        <w:t>empleo</w:t>
      </w:r>
      <w:r w:rsidR="006826CF">
        <w:rPr>
          <w:lang w:val="es-ES"/>
        </w:rPr>
        <w:t xml:space="preserve"> a los ciudadanos libios</w:t>
      </w:r>
      <w:r w:rsidR="001E79BE">
        <w:rPr>
          <w:lang w:val="es-ES"/>
        </w:rPr>
        <w:t>.</w:t>
      </w:r>
      <w:r w:rsidR="008E7B2D">
        <w:rPr>
          <w:lang w:val="es-ES"/>
        </w:rPr>
        <w:t xml:space="preserve"> </w:t>
      </w:r>
      <w:r w:rsidR="00501016">
        <w:rPr>
          <w:lang w:val="es-ES"/>
        </w:rPr>
        <w:t>Gadafi</w:t>
      </w:r>
      <w:r w:rsidR="008E7B2D">
        <w:rPr>
          <w:lang w:val="es-ES"/>
        </w:rPr>
        <w:t xml:space="preserve"> </w:t>
      </w:r>
      <w:r w:rsidR="00197AF5">
        <w:rPr>
          <w:lang w:val="es-ES"/>
        </w:rPr>
        <w:t>pidió</w:t>
      </w:r>
      <w:r w:rsidR="00113525">
        <w:rPr>
          <w:lang w:val="es-ES"/>
        </w:rPr>
        <w:t xml:space="preserve"> autorización a las Naciones Unidas para expulsar </w:t>
      </w:r>
      <w:r w:rsidR="00501016">
        <w:rPr>
          <w:lang w:val="es-ES"/>
        </w:rPr>
        <w:t xml:space="preserve">a </w:t>
      </w:r>
      <w:r w:rsidR="00113525">
        <w:rPr>
          <w:lang w:val="es-ES"/>
        </w:rPr>
        <w:t>cientos de miles de trabajadores originarios de Sudán, Chad, Malí, Níger, Ghana, Nigeria, Benín, Costa de Marfil, Senegal, Guinea y Guinea Bissau (</w:t>
      </w:r>
      <w:proofErr w:type="spellStart"/>
      <w:r w:rsidR="003C7102">
        <w:rPr>
          <w:lang w:val="es-ES"/>
        </w:rPr>
        <w:t>Migrations</w:t>
      </w:r>
      <w:proofErr w:type="spellEnd"/>
      <w:r w:rsidR="003C7102">
        <w:rPr>
          <w:lang w:val="es-ES"/>
        </w:rPr>
        <w:t xml:space="preserve"> News, 1995)</w:t>
      </w:r>
      <w:r w:rsidR="00197AF5">
        <w:rPr>
          <w:lang w:val="es-ES"/>
        </w:rPr>
        <w:t>. Se</w:t>
      </w:r>
      <w:r w:rsidR="00EF0E41">
        <w:rPr>
          <w:lang w:val="es-ES"/>
        </w:rPr>
        <w:t xml:space="preserve"> calcula que fueron 200.000</w:t>
      </w:r>
      <w:r w:rsidR="008E7B2D">
        <w:rPr>
          <w:lang w:val="es-ES"/>
        </w:rPr>
        <w:t xml:space="preserve"> los expulsados ese año, entre ellos los de origen palestino, a quienes también </w:t>
      </w:r>
      <w:r w:rsidR="00197AF5">
        <w:rPr>
          <w:lang w:val="es-ES"/>
        </w:rPr>
        <w:t xml:space="preserve">se les confiscaron las </w:t>
      </w:r>
      <w:r w:rsidR="002E2AC3">
        <w:rPr>
          <w:lang w:val="es-ES"/>
        </w:rPr>
        <w:t>propiedades.</w:t>
      </w:r>
    </w:p>
    <w:p w14:paraId="26B26C22" w14:textId="0341E8C2" w:rsidR="002E2AC3" w:rsidRDefault="002E2AC3" w:rsidP="00F676DF">
      <w:pPr>
        <w:pStyle w:val="NormalWeb"/>
        <w:spacing w:line="360" w:lineRule="auto"/>
        <w:contextualSpacing/>
        <w:jc w:val="both"/>
        <w:rPr>
          <w:lang w:val="es-ES"/>
        </w:rPr>
      </w:pPr>
      <w:r>
        <w:rPr>
          <w:lang w:val="es-ES"/>
        </w:rPr>
        <w:tab/>
      </w:r>
      <w:r w:rsidR="00197AF5">
        <w:rPr>
          <w:lang w:val="es-ES"/>
        </w:rPr>
        <w:t xml:space="preserve">Pensar en </w:t>
      </w:r>
      <w:r w:rsidR="00395817">
        <w:rPr>
          <w:lang w:val="es-ES"/>
        </w:rPr>
        <w:t>e</w:t>
      </w:r>
      <w:r>
        <w:rPr>
          <w:lang w:val="es-ES"/>
        </w:rPr>
        <w:t xml:space="preserve">xpulsiones </w:t>
      </w:r>
      <w:r w:rsidR="00395817">
        <w:rPr>
          <w:lang w:val="es-ES"/>
        </w:rPr>
        <w:t xml:space="preserve">y confiscaciones </w:t>
      </w:r>
      <w:r>
        <w:rPr>
          <w:lang w:val="es-ES"/>
        </w:rPr>
        <w:t xml:space="preserve">dentro del régimen de Gadafi </w:t>
      </w:r>
      <w:r w:rsidR="00395817">
        <w:rPr>
          <w:lang w:val="es-ES"/>
        </w:rPr>
        <w:t xml:space="preserve">nos remite a </w:t>
      </w:r>
      <w:r w:rsidR="008E7B2D">
        <w:rPr>
          <w:lang w:val="es-ES"/>
        </w:rPr>
        <w:t xml:space="preserve">lo sucedido </w:t>
      </w:r>
      <w:r w:rsidR="001E79BE">
        <w:rPr>
          <w:lang w:val="es-ES"/>
        </w:rPr>
        <w:t>un</w:t>
      </w:r>
      <w:r w:rsidR="00395817">
        <w:rPr>
          <w:lang w:val="es-ES"/>
        </w:rPr>
        <w:t xml:space="preserve"> cuarto de siglo antes</w:t>
      </w:r>
      <w:r w:rsidR="008E7B2D">
        <w:rPr>
          <w:lang w:val="es-ES"/>
        </w:rPr>
        <w:t>, en</w:t>
      </w:r>
      <w:r w:rsidR="00395817">
        <w:rPr>
          <w:lang w:val="es-ES"/>
        </w:rPr>
        <w:t xml:space="preserve"> un momento histórico totalmente diferente</w:t>
      </w:r>
      <w:r>
        <w:rPr>
          <w:lang w:val="es-ES"/>
        </w:rPr>
        <w:t xml:space="preserve">. </w:t>
      </w:r>
      <w:r w:rsidR="003D665F">
        <w:rPr>
          <w:lang w:val="es-ES"/>
        </w:rPr>
        <w:t xml:space="preserve">En ese </w:t>
      </w:r>
      <w:r w:rsidR="001E79BE">
        <w:rPr>
          <w:lang w:val="es-ES"/>
        </w:rPr>
        <w:t>entonces,</w:t>
      </w:r>
      <w:r>
        <w:rPr>
          <w:lang w:val="es-ES"/>
        </w:rPr>
        <w:t xml:space="preserve"> los primeros conminados a dejar el territorio fueron los nacionales del país que había </w:t>
      </w:r>
      <w:r w:rsidR="00B41862">
        <w:rPr>
          <w:lang w:val="es-ES"/>
        </w:rPr>
        <w:t>colonizado</w:t>
      </w:r>
      <w:r>
        <w:rPr>
          <w:lang w:val="es-ES"/>
        </w:rPr>
        <w:t xml:space="preserve"> Libia entre los años 191</w:t>
      </w:r>
      <w:r w:rsidR="00B41862">
        <w:rPr>
          <w:lang w:val="es-ES"/>
        </w:rPr>
        <w:t>1</w:t>
      </w:r>
      <w:r>
        <w:rPr>
          <w:lang w:val="es-ES"/>
        </w:rPr>
        <w:t xml:space="preserve"> y 1947, o sea, Italia</w:t>
      </w:r>
      <w:r w:rsidR="00D94C71">
        <w:rPr>
          <w:lang w:val="es-ES"/>
        </w:rPr>
        <w:t xml:space="preserve">, muchos de los cuales </w:t>
      </w:r>
      <w:r w:rsidR="00E11E6D">
        <w:rPr>
          <w:lang w:val="es-ES"/>
        </w:rPr>
        <w:t xml:space="preserve">-unos 35.000- </w:t>
      </w:r>
      <w:r w:rsidR="00D94C71">
        <w:rPr>
          <w:lang w:val="es-ES"/>
        </w:rPr>
        <w:t xml:space="preserve">habían permanecido en territorio libio después de la independencia, que </w:t>
      </w:r>
      <w:r w:rsidR="00197AF5">
        <w:rPr>
          <w:lang w:val="es-ES"/>
        </w:rPr>
        <w:t>se declaró</w:t>
      </w:r>
      <w:r w:rsidR="00D94C71">
        <w:rPr>
          <w:lang w:val="es-ES"/>
        </w:rPr>
        <w:t xml:space="preserve"> en 1951 tras una corta administración conjunta de Gran Bretaña y Francia. </w:t>
      </w:r>
      <w:r w:rsidR="00E11E6D">
        <w:rPr>
          <w:lang w:val="es-ES"/>
        </w:rPr>
        <w:t>A los efectos de garantizar los derechos de la comunidad italiana, se firmó en 1956 el Tratado Ítalo-</w:t>
      </w:r>
      <w:proofErr w:type="gramStart"/>
      <w:r w:rsidR="00E11E6D">
        <w:rPr>
          <w:lang w:val="es-ES"/>
        </w:rPr>
        <w:t>L</w:t>
      </w:r>
      <w:r w:rsidR="002438A4">
        <w:rPr>
          <w:lang w:val="es-ES"/>
        </w:rPr>
        <w:t>ibio</w:t>
      </w:r>
      <w:proofErr w:type="gramEnd"/>
      <w:r w:rsidR="00E11E6D">
        <w:rPr>
          <w:lang w:val="es-ES"/>
        </w:rPr>
        <w:t>, por el cual se aseguraba su permanencia en el territorio y se garantizaba la integridad de sus bienes, como explícitamente se lo estipulaba en su artículo 9:</w:t>
      </w:r>
    </w:p>
    <w:p w14:paraId="62F2BA30" w14:textId="77777777" w:rsidR="001E79BE" w:rsidRDefault="001E79BE" w:rsidP="00F676DF">
      <w:pPr>
        <w:pStyle w:val="NormalWeb"/>
        <w:spacing w:line="360" w:lineRule="auto"/>
        <w:contextualSpacing/>
        <w:jc w:val="both"/>
        <w:rPr>
          <w:lang w:val="es-ES"/>
        </w:rPr>
      </w:pPr>
    </w:p>
    <w:p w14:paraId="5D21B6D3" w14:textId="14DDA06D" w:rsidR="00E11E6D" w:rsidRDefault="00E11E6D" w:rsidP="00F676DF">
      <w:pPr>
        <w:pStyle w:val="NormalWeb"/>
        <w:spacing w:line="360" w:lineRule="auto"/>
        <w:ind w:left="680" w:right="680"/>
        <w:contextualSpacing/>
        <w:jc w:val="both"/>
        <w:rPr>
          <w:sz w:val="22"/>
          <w:szCs w:val="22"/>
          <w:lang w:val="es-ES"/>
        </w:rPr>
      </w:pPr>
      <w:r w:rsidRPr="00963359">
        <w:rPr>
          <w:sz w:val="22"/>
          <w:szCs w:val="22"/>
          <w:lang w:val="es-ES"/>
        </w:rPr>
        <w:t>“El gobierno libio declara […] en mérito al respeto de los derechos e intereses de los ciudadanos italianos en Libia, che ningún reclamo, inclusive por parte de individuos</w:t>
      </w:r>
      <w:r w:rsidR="00963359" w:rsidRPr="00963359">
        <w:rPr>
          <w:sz w:val="22"/>
          <w:szCs w:val="22"/>
          <w:lang w:val="es-ES"/>
        </w:rPr>
        <w:t>, podrá ser interpuesto con respecto a las propiedades de los ciudadanos italiano en Libia, por hechos del gobierno o de la discontinuada administración italiana de Libia, acontecidos en forma previa a la constitución del Estado Libio. El gobierno libio garantiza por lo tanto a los ciudadanos italianos propietarios de bienes en Libia, en el respeto a la ley libia, el libre y directo ejercicio de sus derechos”</w:t>
      </w:r>
      <w:r w:rsidR="00963359">
        <w:rPr>
          <w:sz w:val="22"/>
          <w:szCs w:val="22"/>
          <w:lang w:val="es-ES"/>
        </w:rPr>
        <w:t xml:space="preserve"> (Libia. Revista </w:t>
      </w:r>
      <w:proofErr w:type="spellStart"/>
      <w:r w:rsidR="00963359">
        <w:rPr>
          <w:sz w:val="22"/>
          <w:szCs w:val="22"/>
          <w:lang w:val="es-ES"/>
        </w:rPr>
        <w:t>Trimestrale</w:t>
      </w:r>
      <w:proofErr w:type="spellEnd"/>
      <w:r w:rsidR="00963359">
        <w:rPr>
          <w:sz w:val="22"/>
          <w:szCs w:val="22"/>
          <w:lang w:val="es-ES"/>
        </w:rPr>
        <w:t xml:space="preserve"> di </w:t>
      </w:r>
      <w:proofErr w:type="spellStart"/>
      <w:r w:rsidR="00963359">
        <w:rPr>
          <w:sz w:val="22"/>
          <w:szCs w:val="22"/>
          <w:lang w:val="es-ES"/>
        </w:rPr>
        <w:t>Studi</w:t>
      </w:r>
      <w:proofErr w:type="spellEnd"/>
      <w:r w:rsidR="00963359">
        <w:rPr>
          <w:sz w:val="22"/>
          <w:szCs w:val="22"/>
          <w:lang w:val="es-ES"/>
        </w:rPr>
        <w:t xml:space="preserve"> </w:t>
      </w:r>
      <w:proofErr w:type="spellStart"/>
      <w:r w:rsidR="00963359">
        <w:rPr>
          <w:sz w:val="22"/>
          <w:szCs w:val="22"/>
          <w:lang w:val="es-ES"/>
        </w:rPr>
        <w:t>Libici</w:t>
      </w:r>
      <w:proofErr w:type="spellEnd"/>
      <w:r w:rsidR="00963359">
        <w:rPr>
          <w:sz w:val="22"/>
          <w:szCs w:val="22"/>
          <w:lang w:val="es-ES"/>
        </w:rPr>
        <w:t>, 1956: p</w:t>
      </w:r>
      <w:r w:rsidR="001E1FFD">
        <w:rPr>
          <w:sz w:val="22"/>
          <w:szCs w:val="22"/>
          <w:lang w:val="es-ES"/>
        </w:rPr>
        <w:t>.50).</w:t>
      </w:r>
    </w:p>
    <w:p w14:paraId="15603909" w14:textId="77777777" w:rsidR="001E79BE" w:rsidRPr="00963359" w:rsidRDefault="001E79BE" w:rsidP="00F676DF">
      <w:pPr>
        <w:pStyle w:val="NormalWeb"/>
        <w:spacing w:line="360" w:lineRule="auto"/>
        <w:ind w:left="680" w:right="680"/>
        <w:contextualSpacing/>
        <w:jc w:val="both"/>
        <w:rPr>
          <w:sz w:val="22"/>
          <w:szCs w:val="22"/>
          <w:lang w:val="es-ES"/>
        </w:rPr>
      </w:pPr>
    </w:p>
    <w:p w14:paraId="0DED005C" w14:textId="7A89C591" w:rsidR="00E11E6D" w:rsidRDefault="002E4BFB" w:rsidP="00F676DF">
      <w:pPr>
        <w:pStyle w:val="NormalWeb"/>
        <w:spacing w:line="360" w:lineRule="auto"/>
        <w:contextualSpacing/>
        <w:jc w:val="both"/>
        <w:rPr>
          <w:lang w:val="es-ES_tradnl"/>
        </w:rPr>
      </w:pPr>
      <w:r>
        <w:rPr>
          <w:b/>
          <w:bCs/>
        </w:rPr>
        <w:tab/>
      </w:r>
      <w:r>
        <w:rPr>
          <w:lang w:val="es-ES"/>
        </w:rPr>
        <w:t xml:space="preserve">Este antecedente legal </w:t>
      </w:r>
      <w:r w:rsidR="002438A4">
        <w:rPr>
          <w:lang w:val="es-ES"/>
        </w:rPr>
        <w:t>fue ignorado</w:t>
      </w:r>
      <w:r>
        <w:rPr>
          <w:lang w:val="es-ES"/>
        </w:rPr>
        <w:t xml:space="preserve"> por Gadafi, quien, en 1970</w:t>
      </w:r>
      <w:r w:rsidR="001E79BE">
        <w:rPr>
          <w:lang w:val="es-ES"/>
        </w:rPr>
        <w:t>,</w:t>
      </w:r>
      <w:r>
        <w:rPr>
          <w:lang w:val="es-ES"/>
        </w:rPr>
        <w:t xml:space="preserve"> dispuso la nacionalización de las posesiones de los italianos en el país, por lo que </w:t>
      </w:r>
      <w:r w:rsidR="00197AF5">
        <w:rPr>
          <w:lang w:val="es-ES"/>
        </w:rPr>
        <w:t xml:space="preserve">a </w:t>
      </w:r>
      <w:r>
        <w:rPr>
          <w:lang w:val="es-ES"/>
        </w:rPr>
        <w:t>todos ellos les fueron confiscados</w:t>
      </w:r>
      <w:r w:rsidR="00197AF5">
        <w:rPr>
          <w:lang w:val="es-ES"/>
        </w:rPr>
        <w:t xml:space="preserve"> los bienes</w:t>
      </w:r>
      <w:r w:rsidR="003D665F">
        <w:rPr>
          <w:lang w:val="es-ES"/>
        </w:rPr>
        <w:t>, además de ordenarse su expulsió</w:t>
      </w:r>
      <w:r w:rsidR="00551D99">
        <w:rPr>
          <w:lang w:val="es-ES"/>
        </w:rPr>
        <w:t>n</w:t>
      </w:r>
      <w:r w:rsidR="003D665F">
        <w:rPr>
          <w:lang w:val="es-ES"/>
        </w:rPr>
        <w:t xml:space="preserve">. </w:t>
      </w:r>
      <w:r>
        <w:rPr>
          <w:lang w:val="es-ES"/>
        </w:rPr>
        <w:t xml:space="preserve">Como justificación, el líder libio expuso que Italia debía ofrecer a Libia un </w:t>
      </w:r>
      <w:r>
        <w:rPr>
          <w:lang w:val="es-ES"/>
        </w:rPr>
        <w:lastRenderedPageBreak/>
        <w:t>resarcimiento real por los años de dominación ejercidos sobre el territorio y los daños causados a la población (</w:t>
      </w:r>
      <w:proofErr w:type="spellStart"/>
      <w:r>
        <w:rPr>
          <w:lang w:val="es-ES"/>
        </w:rPr>
        <w:t>Sc</w:t>
      </w:r>
      <w:r w:rsidR="0085748F">
        <w:rPr>
          <w:lang w:val="es-ES"/>
        </w:rPr>
        <w:t>alpone</w:t>
      </w:r>
      <w:proofErr w:type="spellEnd"/>
      <w:r>
        <w:rPr>
          <w:lang w:val="es-ES"/>
        </w:rPr>
        <w:t>, 2017: 7).</w:t>
      </w:r>
      <w:r w:rsidR="00D94755">
        <w:rPr>
          <w:lang w:val="es-ES"/>
        </w:rPr>
        <w:t xml:space="preserve"> </w:t>
      </w:r>
      <w:r w:rsidR="004D47CF">
        <w:rPr>
          <w:lang w:val="es-ES"/>
        </w:rPr>
        <w:t>Se trató de un momento de ruptura entre ambos países, aunque Italia continuó importando petróleo libio y algunos denunciaron la continuación de relaciones secretas</w:t>
      </w:r>
      <w:r w:rsidR="004D47CF">
        <w:rPr>
          <w:rStyle w:val="Refdenotaalpie"/>
          <w:lang w:val="es-ES"/>
        </w:rPr>
        <w:footnoteReference w:id="12"/>
      </w:r>
      <w:r w:rsidR="00076745">
        <w:rPr>
          <w:lang w:val="es-ES"/>
        </w:rPr>
        <w:t xml:space="preserve">. Es cierto que se firmó un Acuerdo de Cooperación Económica, Científica y Técnica en 1974, además de algunos </w:t>
      </w:r>
      <w:r w:rsidR="00197AF5">
        <w:rPr>
          <w:lang w:val="es-ES"/>
        </w:rPr>
        <w:t>convenios</w:t>
      </w:r>
      <w:r w:rsidR="00076745">
        <w:rPr>
          <w:lang w:val="es-ES"/>
        </w:rPr>
        <w:t xml:space="preserve"> relativos a </w:t>
      </w:r>
      <w:r w:rsidR="00C72A54">
        <w:rPr>
          <w:lang w:val="es-ES"/>
        </w:rPr>
        <w:t>la investigación de lo sucedido con</w:t>
      </w:r>
      <w:r w:rsidR="00B75225">
        <w:rPr>
          <w:lang w:val="es-ES"/>
        </w:rPr>
        <w:t xml:space="preserve"> los</w:t>
      </w:r>
      <w:r w:rsidR="00C72A54">
        <w:rPr>
          <w:lang w:val="es-ES"/>
        </w:rPr>
        <w:t xml:space="preserve"> </w:t>
      </w:r>
      <w:r w:rsidR="004D0341">
        <w:rPr>
          <w:lang w:val="es-ES"/>
        </w:rPr>
        <w:t>l</w:t>
      </w:r>
      <w:r w:rsidR="00076745">
        <w:rPr>
          <w:lang w:val="es-ES"/>
        </w:rPr>
        <w:t xml:space="preserve">ibios deportados a Roma o detenidos </w:t>
      </w:r>
      <w:r w:rsidR="00C72A54">
        <w:rPr>
          <w:lang w:val="es-ES"/>
        </w:rPr>
        <w:t>durante la colonización (</w:t>
      </w:r>
      <w:proofErr w:type="spellStart"/>
      <w:r w:rsidR="00C72A54">
        <w:rPr>
          <w:lang w:val="es-ES"/>
        </w:rPr>
        <w:t>Kashiem</w:t>
      </w:r>
      <w:proofErr w:type="spellEnd"/>
      <w:r w:rsidR="00C72A54">
        <w:rPr>
          <w:lang w:val="es-ES"/>
        </w:rPr>
        <w:t xml:space="preserve">, </w:t>
      </w:r>
      <w:r w:rsidR="00D3421F">
        <w:rPr>
          <w:lang w:val="es-ES"/>
        </w:rPr>
        <w:t xml:space="preserve">2010:4), </w:t>
      </w:r>
      <w:r w:rsidR="00076745">
        <w:rPr>
          <w:lang w:val="es-ES"/>
        </w:rPr>
        <w:t>pero las relaciones</w:t>
      </w:r>
      <w:r w:rsidR="00B75225">
        <w:rPr>
          <w:lang w:val="es-ES"/>
        </w:rPr>
        <w:t xml:space="preserve"> continuaron </w:t>
      </w:r>
      <w:r w:rsidR="00076745">
        <w:rPr>
          <w:lang w:val="es-ES"/>
        </w:rPr>
        <w:t>tensas</w:t>
      </w:r>
      <w:r w:rsidR="00B75225">
        <w:rPr>
          <w:lang w:val="es-ES"/>
        </w:rPr>
        <w:t>, sobre todo</w:t>
      </w:r>
      <w:r w:rsidR="00076745">
        <w:rPr>
          <w:lang w:val="es-ES"/>
        </w:rPr>
        <w:t xml:space="preserve"> </w:t>
      </w:r>
      <w:r w:rsidR="00B75225">
        <w:rPr>
          <w:lang w:val="es-ES"/>
        </w:rPr>
        <w:t xml:space="preserve">cuando </w:t>
      </w:r>
      <w:r w:rsidR="004D47CF">
        <w:rPr>
          <w:lang w:val="es-ES"/>
        </w:rPr>
        <w:t>la Unión Europea</w:t>
      </w:r>
      <w:r w:rsidR="000C51DB">
        <w:rPr>
          <w:lang w:val="es-ES"/>
        </w:rPr>
        <w:t>, en 1993,</w:t>
      </w:r>
      <w:r w:rsidR="004D47CF">
        <w:rPr>
          <w:lang w:val="es-ES"/>
        </w:rPr>
        <w:t xml:space="preserve"> </w:t>
      </w:r>
      <w:r w:rsidR="00B75225">
        <w:rPr>
          <w:lang w:val="es-ES"/>
        </w:rPr>
        <w:t xml:space="preserve">se sumó </w:t>
      </w:r>
      <w:r w:rsidR="004D47CF">
        <w:rPr>
          <w:lang w:val="es-ES"/>
        </w:rPr>
        <w:t xml:space="preserve">al embargo de </w:t>
      </w:r>
      <w:r w:rsidR="00236F31">
        <w:rPr>
          <w:lang w:val="es-ES"/>
        </w:rPr>
        <w:t xml:space="preserve">la </w:t>
      </w:r>
      <w:r w:rsidR="00F15499">
        <w:rPr>
          <w:lang w:val="es-ES"/>
        </w:rPr>
        <w:t>Organización de las Naciones Unidas</w:t>
      </w:r>
      <w:r w:rsidR="00236F31">
        <w:rPr>
          <w:lang w:val="es-ES"/>
        </w:rPr>
        <w:t xml:space="preserve"> y de Estados Unidos</w:t>
      </w:r>
      <w:r w:rsidR="00B75225">
        <w:rPr>
          <w:lang w:val="es-ES"/>
        </w:rPr>
        <w:t xml:space="preserve"> </w:t>
      </w:r>
      <w:r w:rsidR="00DD61BE">
        <w:rPr>
          <w:lang w:val="es-ES_tradnl"/>
        </w:rPr>
        <w:t xml:space="preserve">(Uriburu </w:t>
      </w:r>
      <w:proofErr w:type="spellStart"/>
      <w:r w:rsidR="00DD61BE">
        <w:rPr>
          <w:lang w:val="es-ES_tradnl"/>
        </w:rPr>
        <w:t>Colsa</w:t>
      </w:r>
      <w:proofErr w:type="spellEnd"/>
      <w:r w:rsidR="00DD61BE">
        <w:rPr>
          <w:lang w:val="es-ES_tradnl"/>
        </w:rPr>
        <w:t>, 2008: 424)</w:t>
      </w:r>
      <w:r w:rsidR="00076745">
        <w:rPr>
          <w:lang w:val="es-ES_tradnl"/>
        </w:rPr>
        <w:t xml:space="preserve">. </w:t>
      </w:r>
    </w:p>
    <w:p w14:paraId="4522834F" w14:textId="07EDFCE7" w:rsidR="00D01CDA" w:rsidRDefault="00F94C1D" w:rsidP="00F676DF">
      <w:pPr>
        <w:pStyle w:val="NormalWeb"/>
        <w:spacing w:line="360" w:lineRule="auto"/>
        <w:contextualSpacing/>
        <w:jc w:val="both"/>
        <w:rPr>
          <w:lang w:val="es-ES"/>
        </w:rPr>
      </w:pPr>
      <w:r>
        <w:rPr>
          <w:lang w:val="es-ES_tradnl"/>
        </w:rPr>
        <w:tab/>
      </w:r>
      <w:r w:rsidR="00B75225">
        <w:rPr>
          <w:lang w:val="es-ES_tradnl"/>
        </w:rPr>
        <w:t xml:space="preserve">El régimen libio quedó sometido a una situación de aislamiento que, de acuerdo con Gadafi, no solamente </w:t>
      </w:r>
      <w:r>
        <w:rPr>
          <w:lang w:val="es-ES_tradnl"/>
        </w:rPr>
        <w:t>había sido impuest</w:t>
      </w:r>
      <w:r w:rsidR="00B75225">
        <w:rPr>
          <w:lang w:val="es-ES_tradnl"/>
        </w:rPr>
        <w:t>a</w:t>
      </w:r>
      <w:r>
        <w:rPr>
          <w:lang w:val="es-ES_tradnl"/>
        </w:rPr>
        <w:t xml:space="preserve"> por el mundo “occidental”</w:t>
      </w:r>
      <w:r w:rsidR="00B75225">
        <w:rPr>
          <w:lang w:val="es-ES_tradnl"/>
        </w:rPr>
        <w:t xml:space="preserve">, sino también </w:t>
      </w:r>
      <w:r>
        <w:rPr>
          <w:lang w:val="es-ES_tradnl"/>
        </w:rPr>
        <w:t>por parte de los países islámicos,</w:t>
      </w:r>
      <w:r w:rsidR="00B75225">
        <w:rPr>
          <w:lang w:val="es-ES_tradnl"/>
        </w:rPr>
        <w:t xml:space="preserve"> que nada habían hecho para apoyarlo,</w:t>
      </w:r>
      <w:r>
        <w:rPr>
          <w:lang w:val="es-ES_tradnl"/>
        </w:rPr>
        <w:t xml:space="preserve"> lo que </w:t>
      </w:r>
      <w:r w:rsidR="00B75225">
        <w:rPr>
          <w:lang w:val="es-ES_tradnl"/>
        </w:rPr>
        <w:t>ratificó</w:t>
      </w:r>
      <w:r w:rsidR="004D38AD">
        <w:rPr>
          <w:lang w:val="es-ES_tradnl"/>
        </w:rPr>
        <w:t xml:space="preserve"> su alejamiento del panarabismo. </w:t>
      </w:r>
      <w:r w:rsidR="00E97AF2" w:rsidRPr="00FD5156">
        <w:rPr>
          <w:lang w:val="es-ES"/>
        </w:rPr>
        <w:t xml:space="preserve">Y tuvo un gesto claro en </w:t>
      </w:r>
      <w:r w:rsidR="00FD5156" w:rsidRPr="00FD5156">
        <w:rPr>
          <w:lang w:val="es-ES"/>
        </w:rPr>
        <w:t xml:space="preserve">este sentido en 1998, cuando </w:t>
      </w:r>
      <w:r w:rsidR="00FD5156">
        <w:rPr>
          <w:lang w:val="es-ES"/>
        </w:rPr>
        <w:t xml:space="preserve">declaró que Osama </w:t>
      </w:r>
      <w:proofErr w:type="spellStart"/>
      <w:r w:rsidR="00FD5156">
        <w:rPr>
          <w:lang w:val="es-ES"/>
        </w:rPr>
        <w:t>bin</w:t>
      </w:r>
      <w:proofErr w:type="spellEnd"/>
      <w:r w:rsidR="00FD5156">
        <w:rPr>
          <w:lang w:val="es-ES"/>
        </w:rPr>
        <w:t xml:space="preserve"> Laden era un terrorista, requiriendo a Interpol cooperación para enfrentar a </w:t>
      </w:r>
      <w:r w:rsidR="003D665F">
        <w:rPr>
          <w:lang w:val="es-ES"/>
        </w:rPr>
        <w:t xml:space="preserve">los </w:t>
      </w:r>
      <w:r w:rsidR="00FD5156">
        <w:rPr>
          <w:lang w:val="es-ES"/>
        </w:rPr>
        <w:t xml:space="preserve">grupos radicales </w:t>
      </w:r>
      <w:r w:rsidR="003D665F">
        <w:rPr>
          <w:lang w:val="es-ES"/>
        </w:rPr>
        <w:t>que operaban en territorio libio</w:t>
      </w:r>
      <w:r w:rsidR="00FD5156">
        <w:rPr>
          <w:lang w:val="es-ES"/>
        </w:rPr>
        <w:t xml:space="preserve"> (</w:t>
      </w:r>
      <w:proofErr w:type="spellStart"/>
      <w:r w:rsidR="00FD5156">
        <w:rPr>
          <w:lang w:val="es-ES"/>
        </w:rPr>
        <w:t>Elbreki</w:t>
      </w:r>
      <w:proofErr w:type="spellEnd"/>
      <w:r w:rsidR="00FD5156">
        <w:rPr>
          <w:lang w:val="es-ES"/>
        </w:rPr>
        <w:t>, 2018: 72). Es</w:t>
      </w:r>
      <w:r w:rsidR="00B75225">
        <w:rPr>
          <w:lang w:val="es-ES"/>
        </w:rPr>
        <w:t>e</w:t>
      </w:r>
      <w:r w:rsidR="00FD5156">
        <w:rPr>
          <w:lang w:val="es-ES"/>
        </w:rPr>
        <w:t xml:space="preserve"> mismo año, </w:t>
      </w:r>
      <w:r w:rsidR="00B75225">
        <w:rPr>
          <w:lang w:val="es-ES"/>
        </w:rPr>
        <w:t>ya totalmente volcado a la ideología panafricanista</w:t>
      </w:r>
      <w:r w:rsidR="00FD5156">
        <w:rPr>
          <w:lang w:val="es-ES"/>
        </w:rPr>
        <w:t>,</w:t>
      </w:r>
      <w:r w:rsidR="00C14936" w:rsidRPr="00C14936">
        <w:rPr>
          <w:lang w:val="es-ES"/>
        </w:rPr>
        <w:t xml:space="preserve"> el </w:t>
      </w:r>
      <w:r w:rsidR="000E04A3">
        <w:rPr>
          <w:lang w:val="es-ES"/>
        </w:rPr>
        <w:t>gobierno libio</w:t>
      </w:r>
      <w:r w:rsidR="00C14936" w:rsidRPr="00C14936">
        <w:rPr>
          <w:lang w:val="es-ES"/>
        </w:rPr>
        <w:t xml:space="preserve"> </w:t>
      </w:r>
      <w:r w:rsidR="003D665F">
        <w:rPr>
          <w:lang w:val="es-ES"/>
        </w:rPr>
        <w:t>impulsó</w:t>
      </w:r>
      <w:r w:rsidR="00C14936" w:rsidRPr="00C14936">
        <w:rPr>
          <w:lang w:val="es-ES"/>
        </w:rPr>
        <w:t xml:space="preserve"> la formación de la Comunidad de l</w:t>
      </w:r>
      <w:r w:rsidR="00C14936">
        <w:rPr>
          <w:lang w:val="es-ES"/>
        </w:rPr>
        <w:t xml:space="preserve">os Estados del Sahel y del Sahara (CEN_SAD), que reunió a 21 países africanos, con el fin de crear un bloque regional para promover la libre circulación de personas y capitales, el derecho de establecerse en cualquiera de esos países y el libre comercio, al tiempo que </w:t>
      </w:r>
      <w:r w:rsidR="002E2DE1">
        <w:rPr>
          <w:lang w:val="es-ES"/>
        </w:rPr>
        <w:t xml:space="preserve">comenzó </w:t>
      </w:r>
      <w:r w:rsidR="00C14936">
        <w:rPr>
          <w:lang w:val="es-ES"/>
        </w:rPr>
        <w:t xml:space="preserve">a </w:t>
      </w:r>
      <w:r w:rsidR="002E2DE1">
        <w:rPr>
          <w:lang w:val="es-ES"/>
        </w:rPr>
        <w:t xml:space="preserve">alentar a </w:t>
      </w:r>
      <w:r w:rsidR="00C14936">
        <w:rPr>
          <w:lang w:val="es-ES"/>
        </w:rPr>
        <w:t>los africanos</w:t>
      </w:r>
      <w:r w:rsidR="002E2DE1">
        <w:rPr>
          <w:lang w:val="es-ES"/>
        </w:rPr>
        <w:t xml:space="preserve"> a</w:t>
      </w:r>
      <w:r w:rsidR="00C14936">
        <w:rPr>
          <w:lang w:val="es-ES"/>
        </w:rPr>
        <w:t xml:space="preserve"> trabajar </w:t>
      </w:r>
      <w:r w:rsidR="000E04A3">
        <w:rPr>
          <w:lang w:val="es-ES"/>
        </w:rPr>
        <w:t>en</w:t>
      </w:r>
      <w:r w:rsidR="00C14936">
        <w:rPr>
          <w:lang w:val="es-ES"/>
        </w:rPr>
        <w:t xml:space="preserve"> Libia</w:t>
      </w:r>
      <w:r w:rsidR="004362EB">
        <w:rPr>
          <w:lang w:val="es-ES"/>
        </w:rPr>
        <w:t>,</w:t>
      </w:r>
      <w:r w:rsidR="002E2DE1">
        <w:rPr>
          <w:lang w:val="es-ES"/>
        </w:rPr>
        <w:t xml:space="preserve"> lo que </w:t>
      </w:r>
      <w:r w:rsidR="000E04A3">
        <w:rPr>
          <w:lang w:val="es-ES"/>
        </w:rPr>
        <w:t xml:space="preserve">se </w:t>
      </w:r>
      <w:r w:rsidR="002E2DE1">
        <w:rPr>
          <w:lang w:val="es-ES"/>
        </w:rPr>
        <w:t xml:space="preserve">promovió </w:t>
      </w:r>
      <w:r w:rsidR="004362EB">
        <w:rPr>
          <w:lang w:val="es-ES"/>
        </w:rPr>
        <w:t xml:space="preserve"> inclusive a través de publicidades en periódicos (</w:t>
      </w:r>
      <w:proofErr w:type="spellStart"/>
      <w:r w:rsidR="004362EB">
        <w:rPr>
          <w:lang w:val="es-ES"/>
        </w:rPr>
        <w:t>Hamood</w:t>
      </w:r>
      <w:proofErr w:type="spellEnd"/>
      <w:r w:rsidR="004362EB">
        <w:rPr>
          <w:lang w:val="es-ES"/>
        </w:rPr>
        <w:t>, 2006: 17-18)</w:t>
      </w:r>
      <w:r w:rsidR="00B41862">
        <w:rPr>
          <w:lang w:val="es-ES"/>
        </w:rPr>
        <w:t xml:space="preserve">. </w:t>
      </w:r>
      <w:r w:rsidR="002E2DE1">
        <w:rPr>
          <w:lang w:val="es-ES"/>
        </w:rPr>
        <w:t xml:space="preserve">La ampliación del número </w:t>
      </w:r>
      <w:r w:rsidR="00F15499">
        <w:rPr>
          <w:lang w:val="es-ES"/>
        </w:rPr>
        <w:t xml:space="preserve">de </w:t>
      </w:r>
      <w:r w:rsidR="002E2DE1">
        <w:rPr>
          <w:lang w:val="es-ES"/>
        </w:rPr>
        <w:t>africanos de países vecinos que se establecieron en territorio libio</w:t>
      </w:r>
      <w:r w:rsidR="00C87F13">
        <w:rPr>
          <w:lang w:val="es-ES"/>
        </w:rPr>
        <w:t xml:space="preserve"> también</w:t>
      </w:r>
      <w:r w:rsidR="002E2DE1">
        <w:rPr>
          <w:lang w:val="es-ES"/>
        </w:rPr>
        <w:t xml:space="preserve"> se relacionó con los inmigrantes que</w:t>
      </w:r>
      <w:r w:rsidR="00C651B5">
        <w:rPr>
          <w:lang w:val="es-ES"/>
        </w:rPr>
        <w:t xml:space="preserve"> </w:t>
      </w:r>
      <w:r w:rsidR="00C87F13">
        <w:rPr>
          <w:lang w:val="es-ES"/>
        </w:rPr>
        <w:t>habían comenzado</w:t>
      </w:r>
      <w:r w:rsidR="00C651B5">
        <w:rPr>
          <w:lang w:val="es-ES"/>
        </w:rPr>
        <w:t xml:space="preserve"> a llegar desde Níger y Chad, </w:t>
      </w:r>
      <w:r w:rsidR="00F15499">
        <w:rPr>
          <w:lang w:val="es-ES"/>
        </w:rPr>
        <w:t>muchos</w:t>
      </w:r>
      <w:r w:rsidR="00C651B5">
        <w:rPr>
          <w:lang w:val="es-ES"/>
        </w:rPr>
        <w:t xml:space="preserve"> con carácter de refugiados (</w:t>
      </w:r>
      <w:proofErr w:type="spellStart"/>
      <w:r w:rsidR="00C651B5">
        <w:rPr>
          <w:lang w:val="es-ES"/>
        </w:rPr>
        <w:t>Pliez</w:t>
      </w:r>
      <w:proofErr w:type="spellEnd"/>
      <w:r w:rsidR="00C651B5">
        <w:rPr>
          <w:lang w:val="es-ES"/>
        </w:rPr>
        <w:t xml:space="preserve">, 2004: </w:t>
      </w:r>
      <w:r w:rsidR="00F076F9">
        <w:rPr>
          <w:lang w:val="es-ES"/>
        </w:rPr>
        <w:t>54)</w:t>
      </w:r>
      <w:r w:rsidR="00F606CA">
        <w:rPr>
          <w:lang w:val="es-ES"/>
        </w:rPr>
        <w:t xml:space="preserve">. Además, </w:t>
      </w:r>
      <w:r w:rsidR="00C87F13">
        <w:rPr>
          <w:lang w:val="es-ES"/>
        </w:rPr>
        <w:t xml:space="preserve">hacia fines de la década, </w:t>
      </w:r>
      <w:r w:rsidR="00F606CA">
        <w:rPr>
          <w:lang w:val="es-ES"/>
        </w:rPr>
        <w:t>se inició la llegada de desplazados que huían</w:t>
      </w:r>
      <w:r w:rsidR="00E57485">
        <w:rPr>
          <w:lang w:val="es-ES"/>
        </w:rPr>
        <w:t xml:space="preserve"> de la guerra </w:t>
      </w:r>
      <w:r w:rsidR="002E2DE1">
        <w:rPr>
          <w:lang w:val="es-ES"/>
        </w:rPr>
        <w:t xml:space="preserve">entre </w:t>
      </w:r>
      <w:r w:rsidR="00E57485">
        <w:rPr>
          <w:lang w:val="es-ES"/>
        </w:rPr>
        <w:t>Etiopía</w:t>
      </w:r>
      <w:r w:rsidR="002E2DE1">
        <w:rPr>
          <w:lang w:val="es-ES"/>
        </w:rPr>
        <w:t xml:space="preserve"> y </w:t>
      </w:r>
      <w:r w:rsidR="00E57485">
        <w:rPr>
          <w:lang w:val="es-ES"/>
        </w:rPr>
        <w:t>Eritrea</w:t>
      </w:r>
      <w:r w:rsidR="0078338E">
        <w:rPr>
          <w:lang w:val="es-ES"/>
        </w:rPr>
        <w:t xml:space="preserve"> que estalló en 1998 (</w:t>
      </w:r>
      <w:proofErr w:type="spellStart"/>
      <w:r w:rsidR="0078338E">
        <w:rPr>
          <w:lang w:val="es-ES"/>
        </w:rPr>
        <w:t>Besabih</w:t>
      </w:r>
      <w:proofErr w:type="spellEnd"/>
      <w:r w:rsidR="0078338E">
        <w:rPr>
          <w:lang w:val="es-ES"/>
        </w:rPr>
        <w:t>, 2014: 42-43)</w:t>
      </w:r>
      <w:r w:rsidR="00E57485">
        <w:rPr>
          <w:lang w:val="es-ES"/>
        </w:rPr>
        <w:t xml:space="preserve"> y del Sudán (Diez </w:t>
      </w:r>
      <w:proofErr w:type="gramStart"/>
      <w:r w:rsidR="00E57485">
        <w:rPr>
          <w:lang w:val="es-ES"/>
        </w:rPr>
        <w:t>Alcalde</w:t>
      </w:r>
      <w:proofErr w:type="gramEnd"/>
      <w:r w:rsidR="00E57485">
        <w:rPr>
          <w:lang w:val="es-ES"/>
        </w:rPr>
        <w:t xml:space="preserve"> y Vaca Fernández</w:t>
      </w:r>
      <w:r w:rsidR="001D11F8">
        <w:rPr>
          <w:lang w:val="es-ES"/>
        </w:rPr>
        <w:t>, 2008: 94-95)</w:t>
      </w:r>
      <w:r w:rsidR="00F076F9">
        <w:rPr>
          <w:lang w:val="es-ES"/>
        </w:rPr>
        <w:t xml:space="preserve"> </w:t>
      </w:r>
      <w:r w:rsidR="00F606CA">
        <w:rPr>
          <w:lang w:val="es-ES"/>
        </w:rPr>
        <w:t>En este contexto,</w:t>
      </w:r>
      <w:r w:rsidR="00B41862">
        <w:rPr>
          <w:lang w:val="es-ES"/>
        </w:rPr>
        <w:t xml:space="preserve"> </w:t>
      </w:r>
      <w:r w:rsidR="00F606CA">
        <w:rPr>
          <w:lang w:val="es-ES"/>
        </w:rPr>
        <w:t xml:space="preserve">tanto la invitación a </w:t>
      </w:r>
      <w:r w:rsidR="000E04A3">
        <w:rPr>
          <w:lang w:val="es-ES"/>
        </w:rPr>
        <w:t>e</w:t>
      </w:r>
      <w:r w:rsidR="00F606CA">
        <w:rPr>
          <w:lang w:val="es-ES"/>
        </w:rPr>
        <w:t xml:space="preserve">migrar a Libia dirigida a </w:t>
      </w:r>
      <w:r w:rsidR="00B41862">
        <w:rPr>
          <w:lang w:val="es-ES"/>
        </w:rPr>
        <w:t>africanos</w:t>
      </w:r>
      <w:r w:rsidR="00CD09DA">
        <w:rPr>
          <w:lang w:val="es-ES"/>
        </w:rPr>
        <w:t xml:space="preserve"> como el ingreso de peticionantes de refugio</w:t>
      </w:r>
      <w:r w:rsidR="00F606CA">
        <w:rPr>
          <w:lang w:val="es-ES"/>
        </w:rPr>
        <w:t xml:space="preserve"> y </w:t>
      </w:r>
      <w:r w:rsidR="00704A89">
        <w:rPr>
          <w:lang w:val="es-ES"/>
        </w:rPr>
        <w:t>de quienes escapaban de conflictos regionales</w:t>
      </w:r>
      <w:r w:rsidR="00F606CA">
        <w:rPr>
          <w:lang w:val="es-ES"/>
        </w:rPr>
        <w:t xml:space="preserve"> </w:t>
      </w:r>
      <w:r w:rsidR="00BA3957">
        <w:rPr>
          <w:lang w:val="es-ES"/>
        </w:rPr>
        <w:t>se contrad</w:t>
      </w:r>
      <w:r w:rsidR="00F076F9">
        <w:rPr>
          <w:lang w:val="es-ES"/>
        </w:rPr>
        <w:t>ecía</w:t>
      </w:r>
      <w:r w:rsidR="00BA3957">
        <w:rPr>
          <w:lang w:val="es-ES"/>
        </w:rPr>
        <w:t xml:space="preserve"> con la política </w:t>
      </w:r>
      <w:r w:rsidR="00F076F9">
        <w:rPr>
          <w:lang w:val="es-ES"/>
        </w:rPr>
        <w:t>de expulsione</w:t>
      </w:r>
      <w:r w:rsidR="00704A89">
        <w:rPr>
          <w:lang w:val="es-ES"/>
        </w:rPr>
        <w:t>s.</w:t>
      </w:r>
      <w:r w:rsidR="00D57182">
        <w:rPr>
          <w:lang w:val="es-ES"/>
        </w:rPr>
        <w:t xml:space="preserve"> Lo cierto es que este panorama llevó a que, a pesar del clamor panafricanista de su líder, Libia dejara de ser principalmente el destino final </w:t>
      </w:r>
      <w:r w:rsidR="00704A89">
        <w:rPr>
          <w:lang w:val="es-ES"/>
        </w:rPr>
        <w:t>de</w:t>
      </w:r>
      <w:r w:rsidR="00D57182">
        <w:rPr>
          <w:lang w:val="es-ES"/>
        </w:rPr>
        <w:t xml:space="preserve"> los desplazados de los países vecinos y se convirtier</w:t>
      </w:r>
      <w:r w:rsidR="000E455A">
        <w:rPr>
          <w:lang w:val="es-ES"/>
        </w:rPr>
        <w:t xml:space="preserve">a, después de 1995, </w:t>
      </w:r>
      <w:r w:rsidR="00D57182" w:rsidRPr="002E2DE1">
        <w:rPr>
          <w:i/>
          <w:iCs/>
          <w:lang w:val="es-ES"/>
        </w:rPr>
        <w:t>“también en un lugar de tránsito entre África subsahariana y Europa”</w:t>
      </w:r>
      <w:r w:rsidR="000E455A" w:rsidRPr="002E2DE1">
        <w:rPr>
          <w:i/>
          <w:iCs/>
          <w:lang w:val="es-ES"/>
        </w:rPr>
        <w:t xml:space="preserve"> </w:t>
      </w:r>
      <w:r w:rsidR="000E455A">
        <w:rPr>
          <w:lang w:val="es-ES"/>
        </w:rPr>
        <w:t>(</w:t>
      </w:r>
      <w:proofErr w:type="spellStart"/>
      <w:r w:rsidR="000E455A">
        <w:rPr>
          <w:lang w:val="es-ES"/>
        </w:rPr>
        <w:t>Bredeloup</w:t>
      </w:r>
      <w:proofErr w:type="spellEnd"/>
      <w:r w:rsidR="000E455A">
        <w:rPr>
          <w:lang w:val="es-ES"/>
        </w:rPr>
        <w:t xml:space="preserve"> y </w:t>
      </w:r>
      <w:proofErr w:type="spellStart"/>
      <w:r w:rsidR="000E455A">
        <w:rPr>
          <w:lang w:val="es-ES"/>
        </w:rPr>
        <w:t>Pliez</w:t>
      </w:r>
      <w:proofErr w:type="spellEnd"/>
      <w:r w:rsidR="000E455A">
        <w:rPr>
          <w:lang w:val="es-ES"/>
        </w:rPr>
        <w:t xml:space="preserve">, 2011: 5) y, en particular, </w:t>
      </w:r>
      <w:r w:rsidR="00CF2527">
        <w:rPr>
          <w:lang w:val="es-ES"/>
        </w:rPr>
        <w:t>con r</w:t>
      </w:r>
      <w:r w:rsidR="00D01CDA">
        <w:rPr>
          <w:lang w:val="es-ES"/>
        </w:rPr>
        <w:t xml:space="preserve">especto </w:t>
      </w:r>
      <w:r w:rsidR="002E2DE1">
        <w:rPr>
          <w:lang w:val="es-ES"/>
        </w:rPr>
        <w:t>a la cercana Italia.</w:t>
      </w:r>
    </w:p>
    <w:p w14:paraId="402F3E7D" w14:textId="78072E47" w:rsidR="0001777F" w:rsidRDefault="004D38AD" w:rsidP="00F676DF">
      <w:pPr>
        <w:pStyle w:val="NormalWeb"/>
        <w:spacing w:line="360" w:lineRule="auto"/>
        <w:ind w:firstLine="708"/>
        <w:contextualSpacing/>
        <w:jc w:val="both"/>
        <w:rPr>
          <w:lang w:val="es-ES_tradnl"/>
        </w:rPr>
      </w:pPr>
      <w:r>
        <w:rPr>
          <w:lang w:val="es-ES_tradnl"/>
        </w:rPr>
        <w:lastRenderedPageBreak/>
        <w:t xml:space="preserve">Fue en este contexto cuando </w:t>
      </w:r>
      <w:r w:rsidR="00147AA4">
        <w:rPr>
          <w:lang w:val="es-ES_tradnl"/>
        </w:rPr>
        <w:t xml:space="preserve">el 4 de julio </w:t>
      </w:r>
      <w:r w:rsidR="000C51DB">
        <w:rPr>
          <w:lang w:val="es-ES_tradnl"/>
        </w:rPr>
        <w:t xml:space="preserve">1998 se firmó </w:t>
      </w:r>
      <w:r w:rsidR="004B369A">
        <w:rPr>
          <w:lang w:val="es-ES_tradnl"/>
        </w:rPr>
        <w:t xml:space="preserve">entre los encargados de las relaciones exteriores de ambos países, Omar Mustafá el </w:t>
      </w:r>
      <w:proofErr w:type="spellStart"/>
      <w:r w:rsidR="004B369A">
        <w:rPr>
          <w:lang w:val="es-ES_tradnl"/>
        </w:rPr>
        <w:t>Muntasser</w:t>
      </w:r>
      <w:proofErr w:type="spellEnd"/>
      <w:r w:rsidR="004B369A">
        <w:rPr>
          <w:lang w:val="es-ES_tradnl"/>
        </w:rPr>
        <w:t xml:space="preserve"> y Lamberto Dini, el</w:t>
      </w:r>
      <w:r w:rsidR="000C51DB">
        <w:rPr>
          <w:lang w:val="es-ES_tradnl"/>
        </w:rPr>
        <w:t xml:space="preserve"> Comunicado Conjunto </w:t>
      </w:r>
      <w:r w:rsidR="00147AA4">
        <w:rPr>
          <w:lang w:val="es-ES_tradnl"/>
        </w:rPr>
        <w:t xml:space="preserve">por el que </w:t>
      </w:r>
      <w:r w:rsidR="00551D99">
        <w:rPr>
          <w:lang w:val="es-ES_tradnl"/>
        </w:rPr>
        <w:t>los</w:t>
      </w:r>
      <w:r w:rsidR="00147AA4">
        <w:rPr>
          <w:lang w:val="es-ES_tradnl"/>
        </w:rPr>
        <w:t xml:space="preserve"> gobiernos </w:t>
      </w:r>
      <w:r w:rsidR="004E7CD5">
        <w:rPr>
          <w:lang w:val="es-ES_tradnl"/>
        </w:rPr>
        <w:t>manifestaron su deseo</w:t>
      </w:r>
      <w:r w:rsidR="00147AA4">
        <w:rPr>
          <w:lang w:val="es-ES_tradnl"/>
        </w:rPr>
        <w:t xml:space="preserve"> </w:t>
      </w:r>
      <w:r w:rsidR="00BD3BBE">
        <w:rPr>
          <w:lang w:val="es-ES_tradnl"/>
        </w:rPr>
        <w:t>de</w:t>
      </w:r>
      <w:r w:rsidR="00147AA4">
        <w:rPr>
          <w:lang w:val="es-ES_tradnl"/>
        </w:rPr>
        <w:t xml:space="preserve"> impulsar las relaciones bilaterales</w:t>
      </w:r>
      <w:r w:rsidR="00551D99">
        <w:rPr>
          <w:lang w:val="es-ES_tradnl"/>
        </w:rPr>
        <w:t>.</w:t>
      </w:r>
      <w:r w:rsidR="00147AA4">
        <w:rPr>
          <w:lang w:val="es-ES_tradnl"/>
        </w:rPr>
        <w:t xml:space="preserve"> </w:t>
      </w:r>
      <w:r w:rsidR="00551D99">
        <w:rPr>
          <w:lang w:val="es-ES_tradnl"/>
        </w:rPr>
        <w:t xml:space="preserve">Italia, además, </w:t>
      </w:r>
      <w:r w:rsidR="00147AA4">
        <w:rPr>
          <w:lang w:val="es-ES_tradnl"/>
        </w:rPr>
        <w:t xml:space="preserve">invitaba a Libia a </w:t>
      </w:r>
      <w:r w:rsidR="00147AA4" w:rsidRPr="00D01CDA">
        <w:rPr>
          <w:i/>
          <w:iCs/>
          <w:lang w:val="es-ES_tradnl"/>
        </w:rPr>
        <w:t>“superar el pasado”</w:t>
      </w:r>
      <w:r w:rsidR="00147AA4">
        <w:rPr>
          <w:lang w:val="es-ES_tradnl"/>
        </w:rPr>
        <w:t xml:space="preserve"> y expresaba su remordimiento por el sufrimiento causado al pueblo libio durante la colonización</w:t>
      </w:r>
      <w:r w:rsidR="004E7CD5">
        <w:rPr>
          <w:lang w:val="es-ES_tradnl"/>
        </w:rPr>
        <w:t xml:space="preserve">, comprometiéndose a colaborar en la eliminación de </w:t>
      </w:r>
      <w:r w:rsidR="00A7535A">
        <w:rPr>
          <w:lang w:val="es-ES_tradnl"/>
        </w:rPr>
        <w:t xml:space="preserve">las </w:t>
      </w:r>
      <w:r w:rsidR="004E7CD5">
        <w:rPr>
          <w:lang w:val="es-ES_tradnl"/>
        </w:rPr>
        <w:t xml:space="preserve">minas </w:t>
      </w:r>
      <w:r w:rsidR="00551D99">
        <w:rPr>
          <w:lang w:val="es-ES_tradnl"/>
        </w:rPr>
        <w:t xml:space="preserve">todavía presentes </w:t>
      </w:r>
      <w:r w:rsidR="004E7CD5">
        <w:rPr>
          <w:lang w:val="es-ES_tradnl"/>
        </w:rPr>
        <w:t>en Libia, a resarcir a los heridos, a buscar a los libios alejados coercitivamente y a sus descendientes, a reintegrar los bienes culturales sustraídos y a formar una sociedad ítalo-</w:t>
      </w:r>
      <w:r w:rsidR="00551D99">
        <w:rPr>
          <w:lang w:val="es-ES_tradnl"/>
        </w:rPr>
        <w:t>libia</w:t>
      </w:r>
      <w:r w:rsidR="004E7CD5">
        <w:rPr>
          <w:lang w:val="es-ES_tradnl"/>
        </w:rPr>
        <w:t xml:space="preserve"> para </w:t>
      </w:r>
      <w:r w:rsidR="00BD3BBE">
        <w:rPr>
          <w:lang w:val="es-ES_tradnl"/>
        </w:rPr>
        <w:t xml:space="preserve">contribuir al sostenimiento de la economía </w:t>
      </w:r>
      <w:r w:rsidR="00551D99">
        <w:rPr>
          <w:lang w:val="es-ES_tradnl"/>
        </w:rPr>
        <w:t>local</w:t>
      </w:r>
      <w:r w:rsidR="00BD3BBE">
        <w:rPr>
          <w:rStyle w:val="Refdenotaalpie"/>
          <w:lang w:val="es-ES_tradnl"/>
        </w:rPr>
        <w:footnoteReference w:id="13"/>
      </w:r>
      <w:r w:rsidR="004D3A56">
        <w:rPr>
          <w:lang w:val="es-ES_tradnl"/>
        </w:rPr>
        <w:t xml:space="preserve">. </w:t>
      </w:r>
      <w:r w:rsidR="000F599A">
        <w:rPr>
          <w:lang w:val="es-ES_tradnl"/>
        </w:rPr>
        <w:t>Este</w:t>
      </w:r>
      <w:r w:rsidR="004D3A56">
        <w:rPr>
          <w:lang w:val="es-ES_tradnl"/>
        </w:rPr>
        <w:t xml:space="preserve"> memorándum </w:t>
      </w:r>
      <w:r w:rsidR="00551D99">
        <w:rPr>
          <w:lang w:val="es-ES_tradnl"/>
        </w:rPr>
        <w:t>constituyó</w:t>
      </w:r>
      <w:r w:rsidR="004D3A56">
        <w:rPr>
          <w:lang w:val="es-ES_tradnl"/>
        </w:rPr>
        <w:t xml:space="preserve"> un paso fundamental para el gobierno libio</w:t>
      </w:r>
      <w:r w:rsidR="00551D99">
        <w:rPr>
          <w:lang w:val="es-ES_tradnl"/>
        </w:rPr>
        <w:t xml:space="preserve"> ya que le permitió</w:t>
      </w:r>
      <w:r w:rsidR="004D3A56">
        <w:rPr>
          <w:lang w:val="es-ES_tradnl"/>
        </w:rPr>
        <w:t xml:space="preserve"> ser reconocido como contraparte en un convenio </w:t>
      </w:r>
      <w:r w:rsidR="000F599A">
        <w:rPr>
          <w:lang w:val="es-ES_tradnl"/>
        </w:rPr>
        <w:t>bilateral dentro de</w:t>
      </w:r>
      <w:r w:rsidR="00820F3F">
        <w:rPr>
          <w:lang w:val="es-ES_tradnl"/>
        </w:rPr>
        <w:t>l</w:t>
      </w:r>
      <w:r w:rsidR="000F599A">
        <w:rPr>
          <w:lang w:val="es-ES_tradnl"/>
        </w:rPr>
        <w:t xml:space="preserve"> marco de aislamiento diplomático en el que se encontraba</w:t>
      </w:r>
      <w:r w:rsidR="00551D99">
        <w:rPr>
          <w:lang w:val="es-ES_tradnl"/>
        </w:rPr>
        <w:t>.</w:t>
      </w:r>
      <w:r w:rsidR="000F599A">
        <w:rPr>
          <w:lang w:val="es-ES_tradnl"/>
        </w:rPr>
        <w:t xml:space="preserve"> </w:t>
      </w:r>
      <w:r w:rsidR="00551D99">
        <w:rPr>
          <w:lang w:val="es-ES_tradnl"/>
        </w:rPr>
        <w:t>De todos modos,</w:t>
      </w:r>
      <w:r w:rsidR="000F599A">
        <w:rPr>
          <w:lang w:val="es-ES_tradnl"/>
        </w:rPr>
        <w:t xml:space="preserve"> </w:t>
      </w:r>
      <w:r w:rsidR="00A7535A">
        <w:rPr>
          <w:lang w:val="es-ES_tradnl"/>
        </w:rPr>
        <w:t xml:space="preserve">el </w:t>
      </w:r>
      <w:r w:rsidR="000F599A">
        <w:rPr>
          <w:lang w:val="es-ES_tradnl"/>
        </w:rPr>
        <w:t>ministro Dini asegur</w:t>
      </w:r>
      <w:r w:rsidR="00551D99">
        <w:rPr>
          <w:lang w:val="es-ES_tradnl"/>
        </w:rPr>
        <w:t>ó</w:t>
      </w:r>
      <w:r w:rsidR="000F599A">
        <w:rPr>
          <w:lang w:val="es-ES_tradnl"/>
        </w:rPr>
        <w:t xml:space="preserve"> que </w:t>
      </w:r>
      <w:r w:rsidR="00005443" w:rsidRPr="00551D99">
        <w:rPr>
          <w:i/>
          <w:iCs/>
          <w:lang w:val="es-ES_tradnl"/>
        </w:rPr>
        <w:t>“</w:t>
      </w:r>
      <w:r w:rsidR="000F599A" w:rsidRPr="00551D99">
        <w:rPr>
          <w:i/>
          <w:iCs/>
          <w:lang w:val="es-ES_tradnl"/>
        </w:rPr>
        <w:t xml:space="preserve">el gobierno italiano siempre tuvo informados a los aliados americanos </w:t>
      </w:r>
      <w:r w:rsidR="00C92690" w:rsidRPr="00551D99">
        <w:rPr>
          <w:i/>
          <w:iCs/>
          <w:lang w:val="es-ES_tradnl"/>
        </w:rPr>
        <w:t>y a los socios europeos acerca de sus contactos con Libia</w:t>
      </w:r>
      <w:r w:rsidR="00820F3F" w:rsidRPr="00551D99">
        <w:rPr>
          <w:i/>
          <w:iCs/>
          <w:lang w:val="es-ES_tradnl"/>
        </w:rPr>
        <w:t xml:space="preserve"> y </w:t>
      </w:r>
      <w:r w:rsidR="00C92690" w:rsidRPr="00551D99">
        <w:rPr>
          <w:i/>
          <w:iCs/>
          <w:lang w:val="es-ES_tradnl"/>
        </w:rPr>
        <w:t>sobre sus inte</w:t>
      </w:r>
      <w:r w:rsidR="00D01CDA" w:rsidRPr="00551D99">
        <w:rPr>
          <w:i/>
          <w:iCs/>
          <w:lang w:val="es-ES_tradnl"/>
        </w:rPr>
        <w:t>n</w:t>
      </w:r>
      <w:r w:rsidR="00C92690" w:rsidRPr="00551D99">
        <w:rPr>
          <w:i/>
          <w:iCs/>
          <w:lang w:val="es-ES_tradnl"/>
        </w:rPr>
        <w:t>ciones de diálogo con Trípoli”</w:t>
      </w:r>
      <w:r w:rsidR="00C92690">
        <w:rPr>
          <w:lang w:val="es-ES_tradnl"/>
        </w:rPr>
        <w:t xml:space="preserve"> (Flores D’ </w:t>
      </w:r>
      <w:proofErr w:type="spellStart"/>
      <w:r w:rsidR="00C92690">
        <w:rPr>
          <w:lang w:val="es-ES_tradnl"/>
        </w:rPr>
        <w:t>Arcais</w:t>
      </w:r>
      <w:proofErr w:type="spellEnd"/>
      <w:r w:rsidR="00C92690">
        <w:rPr>
          <w:lang w:val="es-ES_tradnl"/>
        </w:rPr>
        <w:t xml:space="preserve"> y </w:t>
      </w:r>
      <w:proofErr w:type="spellStart"/>
      <w:r w:rsidR="00C92690">
        <w:rPr>
          <w:lang w:val="es-ES_tradnl"/>
        </w:rPr>
        <w:t>Nigro</w:t>
      </w:r>
      <w:proofErr w:type="spellEnd"/>
      <w:r w:rsidR="00C92690">
        <w:rPr>
          <w:lang w:val="es-ES_tradnl"/>
        </w:rPr>
        <w:t>, 1998</w:t>
      </w:r>
      <w:r w:rsidR="00F25D09">
        <w:rPr>
          <w:lang w:val="es-ES_tradnl"/>
        </w:rPr>
        <w:t xml:space="preserve">). </w:t>
      </w:r>
      <w:r w:rsidR="00D01CDA">
        <w:rPr>
          <w:lang w:val="es-ES_tradnl"/>
        </w:rPr>
        <w:t>Al año siguiente, Libia finalmente aceptaría entregar a los sospechosos libios del atentado contra el Vuelo 747 de PAN</w:t>
      </w:r>
      <w:r w:rsidR="003827F7">
        <w:rPr>
          <w:lang w:val="es-ES_tradnl"/>
        </w:rPr>
        <w:t xml:space="preserve"> </w:t>
      </w:r>
      <w:r w:rsidR="00D01CDA">
        <w:rPr>
          <w:lang w:val="es-ES_tradnl"/>
        </w:rPr>
        <w:t>AM</w:t>
      </w:r>
      <w:r w:rsidR="003827F7">
        <w:rPr>
          <w:lang w:val="es-ES_tradnl"/>
        </w:rPr>
        <w:t xml:space="preserve"> a las autoridades </w:t>
      </w:r>
      <w:r w:rsidR="00467853">
        <w:rPr>
          <w:lang w:val="es-ES_tradnl"/>
        </w:rPr>
        <w:t>de Escocia</w:t>
      </w:r>
      <w:r w:rsidR="003827F7">
        <w:rPr>
          <w:lang w:val="es-ES_tradnl"/>
        </w:rPr>
        <w:t xml:space="preserve">, en cuyo suelo cayeron los restos, </w:t>
      </w:r>
      <w:r w:rsidR="00005443">
        <w:rPr>
          <w:lang w:val="es-ES_tradnl"/>
        </w:rPr>
        <w:t>tras lo cual el secretario general de la ONU, Kofi Annan, dispuso el levantamiento de las sanciones impuestas en 1992 y reforzadas en 1993 (El País, 1999).</w:t>
      </w:r>
    </w:p>
    <w:p w14:paraId="6C2AB380" w14:textId="0D911287" w:rsidR="00614051" w:rsidRPr="000B6E9A" w:rsidRDefault="00467853" w:rsidP="00F676DF">
      <w:pPr>
        <w:pStyle w:val="NormalWeb"/>
        <w:spacing w:line="360" w:lineRule="auto"/>
        <w:ind w:firstLine="708"/>
        <w:contextualSpacing/>
        <w:jc w:val="both"/>
        <w:rPr>
          <w:lang w:val="es-ES_tradnl"/>
        </w:rPr>
      </w:pPr>
      <w:r>
        <w:rPr>
          <w:lang w:val="es-ES_tradnl"/>
        </w:rPr>
        <w:t>Luego de</w:t>
      </w:r>
      <w:r w:rsidR="0001777F">
        <w:rPr>
          <w:lang w:val="es-ES_tradnl"/>
        </w:rPr>
        <w:t xml:space="preserve"> este primer acercamiento, será </w:t>
      </w:r>
      <w:r w:rsidR="00F25D09">
        <w:rPr>
          <w:lang w:val="es-ES_tradnl"/>
        </w:rPr>
        <w:t xml:space="preserve">en el año 2000 cuando </w:t>
      </w:r>
      <w:r>
        <w:rPr>
          <w:lang w:val="es-ES_tradnl"/>
        </w:rPr>
        <w:t>Italia y Libia</w:t>
      </w:r>
      <w:r w:rsidR="00F25D09">
        <w:rPr>
          <w:lang w:val="es-ES_tradnl"/>
        </w:rPr>
        <w:t xml:space="preserve"> </w:t>
      </w:r>
      <w:r>
        <w:rPr>
          <w:lang w:val="es-ES_tradnl"/>
        </w:rPr>
        <w:t>firmarán</w:t>
      </w:r>
      <w:r w:rsidR="00F25D09">
        <w:rPr>
          <w:lang w:val="es-ES_tradnl"/>
        </w:rPr>
        <w:t xml:space="preserve"> el Acuerdo para </w:t>
      </w:r>
      <w:r w:rsidR="00820F3F">
        <w:rPr>
          <w:lang w:val="es-ES_tradnl"/>
        </w:rPr>
        <w:t xml:space="preserve">la </w:t>
      </w:r>
      <w:r w:rsidR="00F25D09">
        <w:rPr>
          <w:lang w:val="es-ES_tradnl"/>
        </w:rPr>
        <w:t>Colaboración en la Lucha contra el Terrorismo, el Crimen Organizado, el Tráfico Ilegal de Estupefacientes, las Sustancias Psicotrópicas y la Inmigración Clandestina</w:t>
      </w:r>
      <w:r w:rsidR="0001777F">
        <w:rPr>
          <w:lang w:val="es-ES_tradnl"/>
        </w:rPr>
        <w:t xml:space="preserve"> </w:t>
      </w:r>
      <w:r w:rsidR="008F76DE">
        <w:rPr>
          <w:lang w:val="es-ES_tradnl"/>
        </w:rPr>
        <w:t>De esta forma</w:t>
      </w:r>
      <w:r w:rsidR="0001777F">
        <w:rPr>
          <w:lang w:val="es-ES_tradnl"/>
        </w:rPr>
        <w:t xml:space="preserve">, el gobierno </w:t>
      </w:r>
      <w:r w:rsidR="00A5689B">
        <w:rPr>
          <w:lang w:val="es-ES_tradnl"/>
        </w:rPr>
        <w:t xml:space="preserve">italiano </w:t>
      </w:r>
      <w:r>
        <w:rPr>
          <w:lang w:val="es-ES_tradnl"/>
        </w:rPr>
        <w:t>suscribió</w:t>
      </w:r>
      <w:r w:rsidR="00A5689B">
        <w:rPr>
          <w:lang w:val="es-ES_tradnl"/>
        </w:rPr>
        <w:t xml:space="preserve"> con el líder sospechado de involucramiento en la </w:t>
      </w:r>
      <w:proofErr w:type="spellStart"/>
      <w:r w:rsidR="00A5689B">
        <w:rPr>
          <w:i/>
          <w:iCs/>
          <w:lang w:val="es-ES_tradnl"/>
        </w:rPr>
        <w:t>strage</w:t>
      </w:r>
      <w:proofErr w:type="spellEnd"/>
      <w:r w:rsidR="00A5689B">
        <w:rPr>
          <w:i/>
          <w:iCs/>
          <w:lang w:val="es-ES_tradnl"/>
        </w:rPr>
        <w:t xml:space="preserve"> di </w:t>
      </w:r>
      <w:proofErr w:type="spellStart"/>
      <w:r w:rsidR="00A5689B">
        <w:rPr>
          <w:i/>
          <w:iCs/>
          <w:lang w:val="es-ES_tradnl"/>
        </w:rPr>
        <w:t>Bologna</w:t>
      </w:r>
      <w:proofErr w:type="spellEnd"/>
      <w:r w:rsidR="00A5689B">
        <w:rPr>
          <w:lang w:val="es-ES_tradnl"/>
        </w:rPr>
        <w:t xml:space="preserve"> y sobre el que todavía pesaban sanciones de la Unión Europea por participación en el terrorismo internacional, un </w:t>
      </w:r>
      <w:r w:rsidR="008F76DE">
        <w:rPr>
          <w:lang w:val="es-ES_tradnl"/>
        </w:rPr>
        <w:t>convenio</w:t>
      </w:r>
      <w:r w:rsidR="00A5689B">
        <w:rPr>
          <w:lang w:val="es-ES_tradnl"/>
        </w:rPr>
        <w:t xml:space="preserve"> para luchar </w:t>
      </w:r>
      <w:r w:rsidR="00592535">
        <w:rPr>
          <w:lang w:val="es-ES_tradnl"/>
        </w:rPr>
        <w:t xml:space="preserve">en forma conjunta </w:t>
      </w:r>
      <w:r w:rsidR="00A5689B">
        <w:rPr>
          <w:lang w:val="es-ES_tradnl"/>
        </w:rPr>
        <w:t xml:space="preserve">contra el terrorismo. </w:t>
      </w:r>
      <w:r w:rsidR="00592535">
        <w:rPr>
          <w:lang w:val="es-ES_tradnl"/>
        </w:rPr>
        <w:t>Además, en</w:t>
      </w:r>
      <w:r w:rsidR="00A5689B">
        <w:rPr>
          <w:lang w:val="es-ES_tradnl"/>
        </w:rPr>
        <w:t xml:space="preserve"> la parte final de</w:t>
      </w:r>
      <w:r w:rsidR="00820F3F">
        <w:rPr>
          <w:lang w:val="es-ES_tradnl"/>
        </w:rPr>
        <w:t xml:space="preserve"> su</w:t>
      </w:r>
      <w:r w:rsidR="00A5689B">
        <w:rPr>
          <w:lang w:val="es-ES_tradnl"/>
        </w:rPr>
        <w:t xml:space="preserve"> artículo 1º</w:t>
      </w:r>
      <w:r w:rsidR="00820F3F">
        <w:rPr>
          <w:lang w:val="es-ES_tradnl"/>
        </w:rPr>
        <w:t>,</w:t>
      </w:r>
      <w:r w:rsidR="00A5689B">
        <w:rPr>
          <w:lang w:val="es-ES_tradnl"/>
        </w:rPr>
        <w:t xml:space="preserve"> el </w:t>
      </w:r>
      <w:r w:rsidR="00820F3F">
        <w:rPr>
          <w:lang w:val="es-ES_tradnl"/>
        </w:rPr>
        <w:t>acuerdo</w:t>
      </w:r>
      <w:r w:rsidR="00A5689B">
        <w:rPr>
          <w:lang w:val="es-ES_tradnl"/>
        </w:rPr>
        <w:t xml:space="preserve"> se concentraba en el tema de la inmigración ilegal</w:t>
      </w:r>
      <w:r w:rsidR="00530B6E">
        <w:rPr>
          <w:lang w:val="es-ES_tradnl"/>
        </w:rPr>
        <w:t xml:space="preserve">, comprometiéndose ambos firmantes a: </w:t>
      </w:r>
      <w:r w:rsidR="00530B6E" w:rsidRPr="00592535">
        <w:rPr>
          <w:i/>
          <w:iCs/>
          <w:lang w:val="es-ES_tradnl"/>
        </w:rPr>
        <w:t>“1) Intercambiar información sobre los flujos de inmigración ilegal, como así también sobre las organizaciones criminales que la favorecen, sobre el modus operandi y sobre los itinerarios recorridos. 2) Intercambiar información sobre las organizaciones especializadas en la falsificación de documentos y de pasaportes. 3) Asistencia recíproca y cooperación en la lucha contra la inmigración ilegal”</w:t>
      </w:r>
      <w:r w:rsidR="00C74FAA" w:rsidRPr="00C74FAA">
        <w:rPr>
          <w:rStyle w:val="Refdenotaalpie"/>
          <w:lang w:val="es-ES_tradnl"/>
        </w:rPr>
        <w:t xml:space="preserve"> </w:t>
      </w:r>
      <w:r w:rsidR="00C74FAA">
        <w:rPr>
          <w:rStyle w:val="Refdenotaalpie"/>
          <w:lang w:val="es-ES_tradnl"/>
        </w:rPr>
        <w:footnoteReference w:id="14"/>
      </w:r>
      <w:r w:rsidR="00C74FAA">
        <w:rPr>
          <w:lang w:val="es-ES_tradnl"/>
        </w:rPr>
        <w:t>.</w:t>
      </w:r>
      <w:r w:rsidR="00530B6E">
        <w:rPr>
          <w:lang w:val="es-ES_tradnl"/>
        </w:rPr>
        <w:t xml:space="preserve"> </w:t>
      </w:r>
      <w:r w:rsidR="00611225">
        <w:rPr>
          <w:lang w:val="es-ES_tradnl"/>
        </w:rPr>
        <w:t>La suscripción de este tratado por parte de Italia apuntaba a lograr la colaboración del país que</w:t>
      </w:r>
      <w:r w:rsidR="00592535">
        <w:rPr>
          <w:lang w:val="es-ES_tradnl"/>
        </w:rPr>
        <w:t xml:space="preserve"> se había convertido en el </w:t>
      </w:r>
      <w:r w:rsidR="008F76DE">
        <w:rPr>
          <w:lang w:val="es-ES_tradnl"/>
        </w:rPr>
        <w:t xml:space="preserve">principal </w:t>
      </w:r>
      <w:r w:rsidR="00611225">
        <w:rPr>
          <w:lang w:val="es-ES_tradnl"/>
        </w:rPr>
        <w:t xml:space="preserve">“trampolín” hacia Europa </w:t>
      </w:r>
      <w:r w:rsidR="00820F3F">
        <w:rPr>
          <w:lang w:val="es-ES_tradnl"/>
        </w:rPr>
        <w:t xml:space="preserve">dentro de </w:t>
      </w:r>
      <w:r w:rsidR="00611225">
        <w:rPr>
          <w:lang w:val="es-ES_tradnl"/>
        </w:rPr>
        <w:t xml:space="preserve">la región tras </w:t>
      </w:r>
      <w:r w:rsidR="00614051" w:rsidRPr="00611225">
        <w:rPr>
          <w:lang w:val="es-ES_tradnl"/>
        </w:rPr>
        <w:t xml:space="preserve">el cierre de las rutas del área balcánica </w:t>
      </w:r>
      <w:r w:rsidR="00820F3F">
        <w:rPr>
          <w:lang w:val="es-ES_tradnl"/>
        </w:rPr>
        <w:t>que</w:t>
      </w:r>
      <w:r w:rsidR="00614051" w:rsidRPr="00611225">
        <w:rPr>
          <w:lang w:val="es-ES_tradnl"/>
        </w:rPr>
        <w:t xml:space="preserve"> habían adquirido dinamismo durante la situación de inestabilidad de la década </w:t>
      </w:r>
      <w:proofErr w:type="gramStart"/>
      <w:r w:rsidR="00614051" w:rsidRPr="00611225">
        <w:rPr>
          <w:lang w:val="es-ES_tradnl"/>
        </w:rPr>
        <w:t>1990</w:t>
      </w:r>
      <w:r w:rsidR="00820F3F">
        <w:rPr>
          <w:lang w:val="es-ES_tradnl"/>
        </w:rPr>
        <w:t>.</w:t>
      </w:r>
      <w:r w:rsidR="00734148" w:rsidRPr="002A12AA">
        <w:rPr>
          <w:lang w:val="es-ES_tradnl"/>
        </w:rPr>
        <w:t>.</w:t>
      </w:r>
      <w:proofErr w:type="gramEnd"/>
      <w:r w:rsidR="00734148" w:rsidRPr="002A12AA">
        <w:rPr>
          <w:lang w:val="es-ES_tradnl"/>
        </w:rPr>
        <w:t xml:space="preserve"> (</w:t>
      </w:r>
      <w:proofErr w:type="spellStart"/>
      <w:r w:rsidR="00734148" w:rsidRPr="002A12AA">
        <w:rPr>
          <w:lang w:val="es-ES_tradnl"/>
        </w:rPr>
        <w:t>Monzini</w:t>
      </w:r>
      <w:proofErr w:type="spellEnd"/>
      <w:r w:rsidR="00734148" w:rsidRPr="002A12AA">
        <w:rPr>
          <w:lang w:val="es-ES_tradnl"/>
        </w:rPr>
        <w:t xml:space="preserve">, 2008: 8). </w:t>
      </w:r>
      <w:r w:rsidR="003F2EB7" w:rsidRPr="002A12AA">
        <w:rPr>
          <w:lang w:val="es-ES_tradnl"/>
        </w:rPr>
        <w:t xml:space="preserve"> </w:t>
      </w:r>
      <w:r w:rsidR="008F76DE">
        <w:rPr>
          <w:lang w:val="es-ES_tradnl"/>
        </w:rPr>
        <w:t>También había quedado clausurada</w:t>
      </w:r>
      <w:r w:rsidR="00734148" w:rsidRPr="002A12AA">
        <w:rPr>
          <w:lang w:val="es-ES_tradnl"/>
        </w:rPr>
        <w:t xml:space="preserve"> </w:t>
      </w:r>
      <w:r w:rsidR="003F2EB7" w:rsidRPr="002A12AA">
        <w:rPr>
          <w:lang w:val="es-ES_tradnl"/>
        </w:rPr>
        <w:t>la vía del Canal de Suez, por la cual llegaban inmigrantes de</w:t>
      </w:r>
      <w:r w:rsidR="005B4694">
        <w:rPr>
          <w:lang w:val="es-ES_tradnl"/>
        </w:rPr>
        <w:t xml:space="preserve"> </w:t>
      </w:r>
      <w:r w:rsidR="003F2EB7" w:rsidRPr="002A12AA">
        <w:rPr>
          <w:lang w:val="es-ES_tradnl"/>
        </w:rPr>
        <w:t>Medio Oriente, del Mar Rojo, del Cuerno de África y de Asia en general</w:t>
      </w:r>
      <w:r w:rsidR="00734148" w:rsidRPr="002A12AA">
        <w:rPr>
          <w:lang w:val="es-ES_tradnl"/>
        </w:rPr>
        <w:t xml:space="preserve">, </w:t>
      </w:r>
      <w:r w:rsidR="003F2EB7" w:rsidRPr="002A12AA">
        <w:rPr>
          <w:lang w:val="es-ES_tradnl"/>
        </w:rPr>
        <w:t>mediante la</w:t>
      </w:r>
      <w:r w:rsidR="005B4694">
        <w:rPr>
          <w:lang w:val="es-ES_tradnl"/>
        </w:rPr>
        <w:t xml:space="preserve"> </w:t>
      </w:r>
      <w:r w:rsidR="005B4694">
        <w:rPr>
          <w:lang w:val="es-ES_tradnl"/>
        </w:rPr>
        <w:lastRenderedPageBreak/>
        <w:t>firma de acuerdos de</w:t>
      </w:r>
      <w:r w:rsidR="003F2EB7" w:rsidRPr="002A12AA">
        <w:rPr>
          <w:lang w:val="es-ES_tradnl"/>
        </w:rPr>
        <w:t xml:space="preserve"> colaboración directa </w:t>
      </w:r>
      <w:r w:rsidR="005B4694">
        <w:rPr>
          <w:lang w:val="es-ES_tradnl"/>
        </w:rPr>
        <w:t xml:space="preserve">y de readmisión </w:t>
      </w:r>
      <w:r w:rsidR="003F2EB7" w:rsidRPr="002A12AA">
        <w:rPr>
          <w:lang w:val="es-ES_tradnl"/>
        </w:rPr>
        <w:t>entre Italia y Egipto</w:t>
      </w:r>
      <w:r w:rsidR="00041B96" w:rsidRPr="002A12AA">
        <w:rPr>
          <w:lang w:val="es-ES_tradnl"/>
        </w:rPr>
        <w:t xml:space="preserve">. Todos estos cambios llevaron a convertir </w:t>
      </w:r>
      <w:r w:rsidR="005B4694">
        <w:rPr>
          <w:lang w:val="es-ES_tradnl"/>
        </w:rPr>
        <w:t xml:space="preserve">a </w:t>
      </w:r>
      <w:r w:rsidR="00041B96" w:rsidRPr="002A12AA">
        <w:rPr>
          <w:lang w:val="es-ES_tradnl"/>
        </w:rPr>
        <w:t>Libia en la base de las operaciones de tráfico de inmigrantes</w:t>
      </w:r>
      <w:r w:rsidR="005B4694">
        <w:rPr>
          <w:lang w:val="es-ES_tradnl"/>
        </w:rPr>
        <w:t xml:space="preserve"> </w:t>
      </w:r>
      <w:r w:rsidR="00041B96" w:rsidRPr="002A12AA">
        <w:rPr>
          <w:lang w:val="es-ES_tradnl"/>
        </w:rPr>
        <w:t>(</w:t>
      </w:r>
      <w:proofErr w:type="spellStart"/>
      <w:r w:rsidR="00041B96" w:rsidRPr="002A12AA">
        <w:rPr>
          <w:lang w:val="es-ES_tradnl"/>
        </w:rPr>
        <w:t>Ciabarri</w:t>
      </w:r>
      <w:proofErr w:type="spellEnd"/>
      <w:r w:rsidR="00041B96" w:rsidRPr="002A12AA">
        <w:rPr>
          <w:lang w:val="es-ES_tradnl"/>
        </w:rPr>
        <w:t>, 2013: 72).</w:t>
      </w:r>
    </w:p>
    <w:p w14:paraId="2F5EB635" w14:textId="77777777" w:rsidR="000B6E9A" w:rsidRDefault="000B6E9A" w:rsidP="00F676DF">
      <w:pPr>
        <w:pStyle w:val="NormalWeb"/>
        <w:spacing w:line="360" w:lineRule="auto"/>
        <w:contextualSpacing/>
        <w:jc w:val="both"/>
        <w:rPr>
          <w:b/>
          <w:bCs/>
          <w:lang w:val="es-ES_tradnl"/>
        </w:rPr>
      </w:pPr>
    </w:p>
    <w:p w14:paraId="203D0A20" w14:textId="5212E956" w:rsidR="0042301A" w:rsidRDefault="0042301A" w:rsidP="00F676DF">
      <w:pPr>
        <w:pStyle w:val="NormalWeb"/>
        <w:spacing w:line="360" w:lineRule="auto"/>
        <w:contextualSpacing/>
        <w:jc w:val="both"/>
        <w:rPr>
          <w:b/>
          <w:bCs/>
          <w:lang w:val="es-ES_tradnl"/>
        </w:rPr>
      </w:pPr>
      <w:r>
        <w:rPr>
          <w:b/>
          <w:bCs/>
          <w:lang w:val="es-ES_tradnl"/>
        </w:rPr>
        <w:t xml:space="preserve">El estrechamiento de la </w:t>
      </w:r>
      <w:r w:rsidR="00A7535A">
        <w:rPr>
          <w:b/>
          <w:bCs/>
          <w:lang w:val="es-ES_tradnl"/>
        </w:rPr>
        <w:t>cooperación</w:t>
      </w:r>
    </w:p>
    <w:p w14:paraId="6E3EDD9D" w14:textId="2706E34B" w:rsidR="000B6E9A" w:rsidRDefault="000D5E96" w:rsidP="00F676DF">
      <w:pPr>
        <w:pStyle w:val="NormalWeb"/>
        <w:spacing w:line="360" w:lineRule="auto"/>
        <w:contextualSpacing/>
        <w:jc w:val="both"/>
        <w:rPr>
          <w:lang w:val="es-ES_tradnl"/>
        </w:rPr>
      </w:pPr>
      <w:r>
        <w:rPr>
          <w:b/>
          <w:bCs/>
          <w:lang w:val="es-ES_tradnl"/>
        </w:rPr>
        <w:tab/>
      </w:r>
      <w:r>
        <w:rPr>
          <w:lang w:val="es-ES_tradnl"/>
        </w:rPr>
        <w:t xml:space="preserve">En los años posteriores a la firma del acuerdo del año 2000 comenzaron a difundirse noticias tristemente célebres. </w:t>
      </w:r>
      <w:proofErr w:type="spellStart"/>
      <w:r w:rsidR="00AC5D2D">
        <w:rPr>
          <w:lang w:val="es-ES_tradnl"/>
        </w:rPr>
        <w:t>Bredeloup</w:t>
      </w:r>
      <w:proofErr w:type="spellEnd"/>
      <w:r w:rsidR="00AC5D2D">
        <w:rPr>
          <w:lang w:val="es-ES_tradnl"/>
        </w:rPr>
        <w:t xml:space="preserve"> y </w:t>
      </w:r>
      <w:proofErr w:type="spellStart"/>
      <w:r w:rsidR="00AC5D2D">
        <w:rPr>
          <w:lang w:val="es-ES_tradnl"/>
        </w:rPr>
        <w:t>Pliez</w:t>
      </w:r>
      <w:proofErr w:type="spellEnd"/>
      <w:r w:rsidR="00AC5D2D">
        <w:rPr>
          <w:lang w:val="es-ES_tradnl"/>
        </w:rPr>
        <w:t xml:space="preserve"> (2011: 14) recuerdan que</w:t>
      </w:r>
      <w:r w:rsidR="001E5627">
        <w:rPr>
          <w:lang w:val="es-ES_tradnl"/>
        </w:rPr>
        <w:t>,</w:t>
      </w:r>
      <w:r w:rsidR="00AC5D2D">
        <w:rPr>
          <w:lang w:val="es-ES_tradnl"/>
        </w:rPr>
        <w:t xml:space="preserve"> a lo largo </w:t>
      </w:r>
      <w:r w:rsidR="00820F3F">
        <w:rPr>
          <w:lang w:val="es-ES_tradnl"/>
        </w:rPr>
        <w:t>del 2002</w:t>
      </w:r>
      <w:r w:rsidR="00AC5D2D">
        <w:rPr>
          <w:lang w:val="es-ES_tradnl"/>
        </w:rPr>
        <w:t>, se produjo la</w:t>
      </w:r>
      <w:r>
        <w:rPr>
          <w:lang w:val="es-ES_tradnl"/>
        </w:rPr>
        <w:t xml:space="preserve"> muerte de 45 sudaneses en el desierto antes de alcanzar las costas libias, 14 liberianos </w:t>
      </w:r>
      <w:r w:rsidR="00AC5D2D">
        <w:rPr>
          <w:lang w:val="es-ES_tradnl"/>
        </w:rPr>
        <w:t>fallecieron</w:t>
      </w:r>
      <w:r>
        <w:rPr>
          <w:lang w:val="es-ES_tradnl"/>
        </w:rPr>
        <w:t xml:space="preserve"> en un naufragio al intentar alcanzar Sicilia desde Libia</w:t>
      </w:r>
      <w:r w:rsidR="00AC5D2D">
        <w:rPr>
          <w:lang w:val="es-ES_tradnl"/>
        </w:rPr>
        <w:t xml:space="preserve"> y </w:t>
      </w:r>
      <w:r>
        <w:rPr>
          <w:lang w:val="es-ES_tradnl"/>
        </w:rPr>
        <w:t xml:space="preserve">otros </w:t>
      </w:r>
      <w:r w:rsidR="00AC5D2D">
        <w:rPr>
          <w:lang w:val="es-ES_tradnl"/>
        </w:rPr>
        <w:t>100 se ahogaron en el Mediterráneo en diciembre al hundirse su embarcación.</w:t>
      </w:r>
      <w:r>
        <w:rPr>
          <w:lang w:val="es-ES_tradnl"/>
        </w:rPr>
        <w:t xml:space="preserve"> </w:t>
      </w:r>
      <w:r w:rsidR="00274E8F">
        <w:rPr>
          <w:lang w:val="es-ES_tradnl"/>
        </w:rPr>
        <w:t xml:space="preserve"> Lo cierto es que, a pesar de las muertes, los desplazamientos hacia Italia continuaron</w:t>
      </w:r>
      <w:r w:rsidR="000B6E9A">
        <w:rPr>
          <w:lang w:val="es-ES_tradnl"/>
        </w:rPr>
        <w:t xml:space="preserve"> </w:t>
      </w:r>
      <w:r w:rsidR="001E5627">
        <w:rPr>
          <w:lang w:val="es-ES_tradnl"/>
        </w:rPr>
        <w:t>y se registraron</w:t>
      </w:r>
      <w:r w:rsidR="00274E8F">
        <w:rPr>
          <w:lang w:val="es-ES_tradnl"/>
        </w:rPr>
        <w:t xml:space="preserve"> ingresos crecientes en</w:t>
      </w:r>
      <w:r w:rsidR="000B6E9A">
        <w:rPr>
          <w:lang w:val="es-ES_tradnl"/>
        </w:rPr>
        <w:t xml:space="preserve"> Sicilia</w:t>
      </w:r>
      <w:r w:rsidR="00980B28">
        <w:rPr>
          <w:lang w:val="es-ES_tradnl"/>
        </w:rPr>
        <w:t xml:space="preserve">. De acuerdo con lo informado por el </w:t>
      </w:r>
      <w:r w:rsidR="00980B28">
        <w:rPr>
          <w:i/>
          <w:iCs/>
          <w:lang w:val="es-ES_tradnl"/>
        </w:rPr>
        <w:t xml:space="preserve">Centro di Studio di </w:t>
      </w:r>
      <w:proofErr w:type="spellStart"/>
      <w:r w:rsidR="00980B28">
        <w:rPr>
          <w:i/>
          <w:iCs/>
          <w:lang w:val="es-ES_tradnl"/>
        </w:rPr>
        <w:t>Politica</w:t>
      </w:r>
      <w:proofErr w:type="spellEnd"/>
      <w:r w:rsidR="00980B28">
        <w:rPr>
          <w:i/>
          <w:iCs/>
          <w:lang w:val="es-ES_tradnl"/>
        </w:rPr>
        <w:t xml:space="preserve"> </w:t>
      </w:r>
      <w:proofErr w:type="spellStart"/>
      <w:r w:rsidR="00980B28">
        <w:rPr>
          <w:i/>
          <w:iCs/>
          <w:lang w:val="es-ES_tradnl"/>
        </w:rPr>
        <w:t>Internazionale</w:t>
      </w:r>
      <w:proofErr w:type="spellEnd"/>
      <w:r w:rsidR="00980B28">
        <w:rPr>
          <w:i/>
          <w:iCs/>
          <w:lang w:val="es-ES_tradnl"/>
        </w:rPr>
        <w:t xml:space="preserve"> </w:t>
      </w:r>
      <w:r w:rsidR="00980B28">
        <w:rPr>
          <w:lang w:val="es-ES_tradnl"/>
        </w:rPr>
        <w:t xml:space="preserve">(CESPI) sobre la base de </w:t>
      </w:r>
      <w:r w:rsidR="00B5178C">
        <w:rPr>
          <w:lang w:val="es-ES_tradnl"/>
        </w:rPr>
        <w:t xml:space="preserve">los datos suministrados por el Ministerio del Interior italiano, </w:t>
      </w:r>
      <w:r w:rsidR="00A7535A">
        <w:rPr>
          <w:lang w:val="es-ES_tradnl"/>
        </w:rPr>
        <w:t>el número anual</w:t>
      </w:r>
      <w:r w:rsidR="00937355">
        <w:rPr>
          <w:lang w:val="es-ES_tradnl"/>
        </w:rPr>
        <w:t xml:space="preserve"> de inmigrantes ilegales o peticionantes regionales de refugio</w:t>
      </w:r>
      <w:r w:rsidR="00CA3816">
        <w:rPr>
          <w:lang w:val="es-ES_tradnl"/>
        </w:rPr>
        <w:t xml:space="preserve"> que ingresaron en </w:t>
      </w:r>
      <w:r w:rsidR="00A7535A">
        <w:rPr>
          <w:lang w:val="es-ES_tradnl"/>
        </w:rPr>
        <w:t xml:space="preserve">la </w:t>
      </w:r>
      <w:r w:rsidR="00CA3816">
        <w:rPr>
          <w:lang w:val="es-ES_tradnl"/>
        </w:rPr>
        <w:t xml:space="preserve">isla </w:t>
      </w:r>
      <w:r w:rsidR="001130BE">
        <w:rPr>
          <w:lang w:val="es-ES_tradnl"/>
        </w:rPr>
        <w:t>fue</w:t>
      </w:r>
      <w:r w:rsidR="00A7535A">
        <w:rPr>
          <w:lang w:val="es-ES_tradnl"/>
        </w:rPr>
        <w:t xml:space="preserve"> de 2.782 en el año 2000 </w:t>
      </w:r>
      <w:r w:rsidR="001130BE">
        <w:rPr>
          <w:lang w:val="es-ES_tradnl"/>
        </w:rPr>
        <w:t>y creció a</w:t>
      </w:r>
      <w:r w:rsidR="00A7535A">
        <w:rPr>
          <w:lang w:val="es-ES_tradnl"/>
        </w:rPr>
        <w:t xml:space="preserve"> 20.165 en 2007.</w:t>
      </w:r>
    </w:p>
    <w:p w14:paraId="3D790058" w14:textId="208C439B" w:rsidR="00F3536F" w:rsidRDefault="00937355" w:rsidP="00F676DF">
      <w:pPr>
        <w:pStyle w:val="NormalWeb"/>
        <w:spacing w:line="360" w:lineRule="auto"/>
        <w:contextualSpacing/>
        <w:jc w:val="both"/>
        <w:rPr>
          <w:lang w:val="es-ES_tradnl"/>
        </w:rPr>
      </w:pPr>
      <w:r>
        <w:rPr>
          <w:lang w:val="es-ES_tradnl"/>
        </w:rPr>
        <w:tab/>
      </w:r>
      <w:r w:rsidR="00CA3816">
        <w:rPr>
          <w:lang w:val="es-ES_tradnl"/>
        </w:rPr>
        <w:t>Estos números muestran</w:t>
      </w:r>
      <w:r>
        <w:rPr>
          <w:lang w:val="es-ES_tradnl"/>
        </w:rPr>
        <w:t xml:space="preserve"> que los primeros años de colaboración libio-italian</w:t>
      </w:r>
      <w:r w:rsidR="001E5627">
        <w:rPr>
          <w:lang w:val="es-ES_tradnl"/>
        </w:rPr>
        <w:t>a</w:t>
      </w:r>
      <w:r>
        <w:rPr>
          <w:lang w:val="es-ES_tradnl"/>
        </w:rPr>
        <w:t xml:space="preserve"> en materia de control migratorio no </w:t>
      </w:r>
      <w:r w:rsidR="00CA3816">
        <w:rPr>
          <w:lang w:val="es-ES_tradnl"/>
        </w:rPr>
        <w:t xml:space="preserve">dieron </w:t>
      </w:r>
      <w:r w:rsidR="002C65AC">
        <w:rPr>
          <w:lang w:val="es-ES_tradnl"/>
        </w:rPr>
        <w:t>los frutos esperados</w:t>
      </w:r>
      <w:r>
        <w:rPr>
          <w:lang w:val="es-ES_tradnl"/>
        </w:rPr>
        <w:t xml:space="preserve">, a lo que se sumó la perspectiva de </w:t>
      </w:r>
      <w:r w:rsidR="004341C8">
        <w:rPr>
          <w:lang w:val="es-ES_tradnl"/>
        </w:rPr>
        <w:t>nuevos incrementos debido al control creciente en la</w:t>
      </w:r>
      <w:r w:rsidR="002C65AC">
        <w:rPr>
          <w:lang w:val="es-ES_tradnl"/>
        </w:rPr>
        <w:t xml:space="preserve"> ruta del Atlántico hacia las Canarias y la de Gibraltar hacia España meridional. </w:t>
      </w:r>
      <w:r w:rsidR="00131F2F">
        <w:rPr>
          <w:lang w:val="es-ES_tradnl"/>
        </w:rPr>
        <w:t>En 2004 Libia logró finalmente el levantamiento del embargo comercial que le impusiera Estados Unidos y</w:t>
      </w:r>
      <w:r w:rsidR="001F21C3">
        <w:rPr>
          <w:lang w:val="es-ES_tradnl"/>
        </w:rPr>
        <w:t xml:space="preserve"> </w:t>
      </w:r>
      <w:r w:rsidR="00131F2F">
        <w:rPr>
          <w:lang w:val="es-ES_tradnl"/>
        </w:rPr>
        <w:t xml:space="preserve">del embargo de armas </w:t>
      </w:r>
      <w:r w:rsidR="00CA3816">
        <w:rPr>
          <w:lang w:val="es-ES_tradnl"/>
        </w:rPr>
        <w:t>que había dispuesto</w:t>
      </w:r>
      <w:r w:rsidR="00131F2F">
        <w:rPr>
          <w:lang w:val="es-ES_tradnl"/>
        </w:rPr>
        <w:t xml:space="preserve"> la Unión Europea (Martínez de </w:t>
      </w:r>
      <w:proofErr w:type="spellStart"/>
      <w:r w:rsidR="00131F2F">
        <w:rPr>
          <w:lang w:val="es-ES_tradnl"/>
        </w:rPr>
        <w:t>Rituerto</w:t>
      </w:r>
      <w:proofErr w:type="spellEnd"/>
      <w:r w:rsidR="00131F2F">
        <w:rPr>
          <w:lang w:val="es-ES_tradnl"/>
        </w:rPr>
        <w:t>, 2004</w:t>
      </w:r>
      <w:r w:rsidR="000B5173">
        <w:rPr>
          <w:lang w:val="es-ES_tradnl"/>
        </w:rPr>
        <w:t>: Internacional</w:t>
      </w:r>
      <w:r w:rsidR="00131F2F">
        <w:rPr>
          <w:lang w:val="es-ES_tradnl"/>
        </w:rPr>
        <w:t>)</w:t>
      </w:r>
      <w:r w:rsidR="000B5173">
        <w:rPr>
          <w:lang w:val="es-ES_tradnl"/>
        </w:rPr>
        <w:t xml:space="preserve">, al aceptar indemnizar con 35 millones de dólares a las víctimas del atentado </w:t>
      </w:r>
      <w:r w:rsidR="001E5627">
        <w:rPr>
          <w:lang w:val="es-ES_tradnl"/>
        </w:rPr>
        <w:t>de</w:t>
      </w:r>
      <w:r w:rsidR="000B5173">
        <w:rPr>
          <w:lang w:val="es-ES_tradnl"/>
        </w:rPr>
        <w:t xml:space="preserve"> la discoteca L</w:t>
      </w:r>
      <w:r w:rsidR="001F21C3">
        <w:rPr>
          <w:lang w:val="es-ES_tradnl"/>
        </w:rPr>
        <w:t>a</w:t>
      </w:r>
      <w:r w:rsidR="000B5173">
        <w:rPr>
          <w:lang w:val="es-ES_tradnl"/>
        </w:rPr>
        <w:t xml:space="preserve"> Belle de Berlín (</w:t>
      </w:r>
      <w:proofErr w:type="spellStart"/>
      <w:r w:rsidR="000B5173">
        <w:rPr>
          <w:lang w:val="es-ES_tradnl"/>
        </w:rPr>
        <w:t>Krauthausen</w:t>
      </w:r>
      <w:proofErr w:type="spellEnd"/>
      <w:r w:rsidR="000B5173">
        <w:rPr>
          <w:lang w:val="es-ES_tradnl"/>
        </w:rPr>
        <w:t>, 2004: Internacional). Tras e</w:t>
      </w:r>
      <w:r w:rsidR="009B7671">
        <w:rPr>
          <w:lang w:val="es-ES_tradnl"/>
        </w:rPr>
        <w:t>sta “rehabilitación” diplomática y comercial, se decid</w:t>
      </w:r>
      <w:r w:rsidR="001E5627">
        <w:rPr>
          <w:lang w:val="es-ES_tradnl"/>
        </w:rPr>
        <w:t>ió</w:t>
      </w:r>
      <w:r w:rsidR="009B7671">
        <w:rPr>
          <w:lang w:val="es-ES_tradnl"/>
        </w:rPr>
        <w:t xml:space="preserve"> firmar el que sería considerado el convenio más trascendente en materia de control migratorio entre Italia y Libia, el Tratado de Amistad, Asociación y Cooperación de 2008</w:t>
      </w:r>
      <w:r w:rsidR="00C559C5">
        <w:rPr>
          <w:lang w:val="es-ES_tradnl"/>
        </w:rPr>
        <w:t>, suscripto por Gadafi y el primer ministro italiano, Silvio Berlusconi</w:t>
      </w:r>
      <w:r w:rsidR="000474D9">
        <w:rPr>
          <w:rStyle w:val="Refdenotaalpie"/>
          <w:lang w:val="es-ES_tradnl"/>
        </w:rPr>
        <w:footnoteReference w:id="15"/>
      </w:r>
      <w:r w:rsidR="00F3536F">
        <w:rPr>
          <w:lang w:val="es-ES_tradnl"/>
        </w:rPr>
        <w:t xml:space="preserve">, con el fin de reforzar </w:t>
      </w:r>
      <w:r w:rsidR="00F3536F" w:rsidRPr="000474D9">
        <w:rPr>
          <w:i/>
          <w:iCs/>
          <w:lang w:val="es-ES_tradnl"/>
        </w:rPr>
        <w:t>“la paz, la seguridad y la estabilidad en particular en la región del Mediterráneo”</w:t>
      </w:r>
      <w:r w:rsidR="00F3536F">
        <w:rPr>
          <w:lang w:val="es-ES_tradnl"/>
        </w:rPr>
        <w:t xml:space="preserve"> y cerrar en forma definitiva el </w:t>
      </w:r>
      <w:r w:rsidR="00F3536F" w:rsidRPr="000474D9">
        <w:rPr>
          <w:i/>
          <w:iCs/>
          <w:lang w:val="es-ES_tradnl"/>
        </w:rPr>
        <w:t>“doloroso capítulo del pasado”</w:t>
      </w:r>
      <w:r w:rsidR="00F3536F">
        <w:rPr>
          <w:lang w:val="es-ES_tradnl"/>
        </w:rPr>
        <w:t xml:space="preserve"> o sea, la colonización</w:t>
      </w:r>
      <w:r w:rsidR="00F37109">
        <w:rPr>
          <w:lang w:val="es-ES_tradnl"/>
        </w:rPr>
        <w:t>, por el cual ya había expresado Italia su remordimiento en el Comunicado Conjunto de 1998</w:t>
      </w:r>
      <w:r w:rsidR="009D6449">
        <w:rPr>
          <w:lang w:val="es-ES_tradnl"/>
        </w:rPr>
        <w:t>.</w:t>
      </w:r>
    </w:p>
    <w:p w14:paraId="7EC98903" w14:textId="136E2681" w:rsidR="00274E8F" w:rsidRDefault="009D6449" w:rsidP="00F676DF">
      <w:pPr>
        <w:pStyle w:val="NormalWeb"/>
        <w:spacing w:line="360" w:lineRule="auto"/>
        <w:contextualSpacing/>
        <w:jc w:val="both"/>
        <w:rPr>
          <w:lang w:val="es-ES_tradnl"/>
        </w:rPr>
      </w:pPr>
      <w:r>
        <w:rPr>
          <w:lang w:val="es-ES_tradnl"/>
        </w:rPr>
        <w:tab/>
        <w:t xml:space="preserve">El tratado ratificaba y ampliaba lo expuesto en </w:t>
      </w:r>
      <w:r w:rsidR="000474D9">
        <w:rPr>
          <w:lang w:val="es-ES_tradnl"/>
        </w:rPr>
        <w:t xml:space="preserve">dicho comunicado </w:t>
      </w:r>
      <w:r w:rsidR="00497C57">
        <w:rPr>
          <w:lang w:val="es-ES_tradnl"/>
        </w:rPr>
        <w:t xml:space="preserve">con respecto a la cooperación cultural, industrial y económica. Además, en su artículo </w:t>
      </w:r>
      <w:r w:rsidR="00B505CD">
        <w:rPr>
          <w:lang w:val="es-ES_tradnl"/>
        </w:rPr>
        <w:t>8</w:t>
      </w:r>
      <w:r w:rsidR="00497C57">
        <w:rPr>
          <w:lang w:val="es-ES_tradnl"/>
        </w:rPr>
        <w:t>º,</w:t>
      </w:r>
      <w:r w:rsidR="00AF4DB9">
        <w:rPr>
          <w:lang w:val="es-ES_tradnl"/>
        </w:rPr>
        <w:t xml:space="preserve"> titulado “Clausura del capítulo del pasado y de los litigios”, </w:t>
      </w:r>
      <w:r w:rsidR="00497C57">
        <w:rPr>
          <w:lang w:val="es-ES_tradnl"/>
        </w:rPr>
        <w:t>Italia se compromet</w:t>
      </w:r>
      <w:r w:rsidR="000474D9">
        <w:rPr>
          <w:lang w:val="es-ES_tradnl"/>
        </w:rPr>
        <w:t>ía</w:t>
      </w:r>
      <w:r w:rsidR="00497C57">
        <w:rPr>
          <w:lang w:val="es-ES_tradnl"/>
        </w:rPr>
        <w:t xml:space="preserve"> a </w:t>
      </w:r>
      <w:r w:rsidR="00497C57" w:rsidRPr="000474D9">
        <w:rPr>
          <w:i/>
          <w:iCs/>
          <w:lang w:val="es-ES_tradnl"/>
        </w:rPr>
        <w:t xml:space="preserve">“conseguir los fondos </w:t>
      </w:r>
      <w:r w:rsidR="001E5627" w:rsidRPr="000474D9">
        <w:rPr>
          <w:i/>
          <w:iCs/>
          <w:lang w:val="es-ES_tradnl"/>
        </w:rPr>
        <w:t>de financiamiento</w:t>
      </w:r>
      <w:r w:rsidR="00497C57" w:rsidRPr="000474D9">
        <w:rPr>
          <w:i/>
          <w:iCs/>
          <w:lang w:val="es-ES_tradnl"/>
        </w:rPr>
        <w:t xml:space="preserve"> necesarios para la realización de proyectos infraestructurales de base </w:t>
      </w:r>
      <w:r w:rsidR="00AF4DB9" w:rsidRPr="000474D9">
        <w:rPr>
          <w:i/>
          <w:iCs/>
          <w:lang w:val="es-ES_tradnl"/>
        </w:rPr>
        <w:t xml:space="preserve">que se acuerden entre los dos países con un límite de 5 mil millones de dólares americanos, por un importe anual de 250 millones de dólares </w:t>
      </w:r>
      <w:r w:rsidR="001E5627" w:rsidRPr="000474D9">
        <w:rPr>
          <w:i/>
          <w:iCs/>
          <w:lang w:val="es-ES_tradnl"/>
        </w:rPr>
        <w:t>estadounidenses</w:t>
      </w:r>
      <w:r w:rsidR="00AF4DB9" w:rsidRPr="000474D9">
        <w:rPr>
          <w:i/>
          <w:iCs/>
          <w:lang w:val="es-ES_tradnl"/>
        </w:rPr>
        <w:t xml:space="preserve"> durante 20 años”</w:t>
      </w:r>
      <w:r w:rsidR="00B505CD">
        <w:rPr>
          <w:rStyle w:val="Refdenotaalpie"/>
          <w:lang w:val="es-ES_tradnl"/>
        </w:rPr>
        <w:footnoteReference w:id="16"/>
      </w:r>
      <w:r w:rsidR="002B5D6C">
        <w:rPr>
          <w:lang w:val="es-ES_tradnl"/>
        </w:rPr>
        <w:t xml:space="preserve">. </w:t>
      </w:r>
      <w:r w:rsidR="003527B0">
        <w:rPr>
          <w:lang w:val="es-ES_tradnl"/>
        </w:rPr>
        <w:t>Por el</w:t>
      </w:r>
      <w:r w:rsidR="002B5D6C">
        <w:rPr>
          <w:lang w:val="es-ES_tradnl"/>
        </w:rPr>
        <w:t xml:space="preserve"> artículo</w:t>
      </w:r>
      <w:r w:rsidR="000474D9">
        <w:rPr>
          <w:lang w:val="es-ES_tradnl"/>
        </w:rPr>
        <w:t xml:space="preserve"> </w:t>
      </w:r>
      <w:r w:rsidR="002B5D6C">
        <w:rPr>
          <w:lang w:val="es-ES_tradnl"/>
        </w:rPr>
        <w:t>19</w:t>
      </w:r>
      <w:r w:rsidR="003527B0">
        <w:rPr>
          <w:lang w:val="es-ES_tradnl"/>
        </w:rPr>
        <w:t xml:space="preserve">, </w:t>
      </w:r>
      <w:r w:rsidR="002B5D6C">
        <w:rPr>
          <w:lang w:val="es-ES_tradnl"/>
        </w:rPr>
        <w:t>ambas partes “</w:t>
      </w:r>
      <w:r w:rsidR="002B5D6C" w:rsidRPr="000474D9">
        <w:rPr>
          <w:i/>
          <w:iCs/>
          <w:lang w:val="es-ES_tradnl"/>
        </w:rPr>
        <w:t xml:space="preserve">intensifican la colaboración </w:t>
      </w:r>
      <w:r w:rsidR="002B5D6C" w:rsidRPr="000474D9">
        <w:rPr>
          <w:i/>
          <w:iCs/>
          <w:lang w:val="es-ES_tradnl"/>
        </w:rPr>
        <w:lastRenderedPageBreak/>
        <w:t>efectiva en la lucha contra el terrorismo, el crimen organizado, el tráfico de estupefacientes y la inmigración clandestina, de conformidad con lo previsto en el acuerdo firmado en Roma el 13.12.2000”</w:t>
      </w:r>
      <w:r w:rsidR="002B5D6C">
        <w:rPr>
          <w:lang w:val="es-ES_tradnl"/>
        </w:rPr>
        <w:t xml:space="preserve">. </w:t>
      </w:r>
      <w:r w:rsidR="003527B0">
        <w:rPr>
          <w:lang w:val="es-ES_tradnl"/>
        </w:rPr>
        <w:t>El</w:t>
      </w:r>
      <w:r w:rsidR="000474D9">
        <w:rPr>
          <w:lang w:val="es-ES_tradnl"/>
        </w:rPr>
        <w:t xml:space="preserve"> punto</w:t>
      </w:r>
      <w:r w:rsidR="001D65EB">
        <w:rPr>
          <w:lang w:val="es-ES_tradnl"/>
        </w:rPr>
        <w:t xml:space="preserve"> 2</w:t>
      </w:r>
      <w:r w:rsidR="000474D9">
        <w:rPr>
          <w:lang w:val="es-ES_tradnl"/>
        </w:rPr>
        <w:t>º</w:t>
      </w:r>
      <w:r w:rsidR="001D65EB">
        <w:rPr>
          <w:lang w:val="es-ES_tradnl"/>
        </w:rPr>
        <w:t xml:space="preserve"> de dicho artículo </w:t>
      </w:r>
      <w:r w:rsidR="001F21C3">
        <w:rPr>
          <w:lang w:val="es-ES_tradnl"/>
        </w:rPr>
        <w:t>establecía</w:t>
      </w:r>
      <w:r w:rsidR="001D65EB">
        <w:rPr>
          <w:lang w:val="es-ES_tradnl"/>
        </w:rPr>
        <w:t xml:space="preserve"> textualmente: </w:t>
      </w:r>
      <w:r w:rsidR="001D65EB" w:rsidRPr="000474D9">
        <w:rPr>
          <w:i/>
          <w:iCs/>
          <w:lang w:val="es-ES_tradnl"/>
        </w:rPr>
        <w:t>“Siempre en el tema de la lucha</w:t>
      </w:r>
      <w:r w:rsidR="002B5D6C" w:rsidRPr="000474D9">
        <w:rPr>
          <w:i/>
          <w:iCs/>
          <w:lang w:val="es-ES_tradnl"/>
        </w:rPr>
        <w:t xml:space="preserve"> </w:t>
      </w:r>
      <w:r w:rsidR="001D65EB" w:rsidRPr="000474D9">
        <w:rPr>
          <w:i/>
          <w:iCs/>
          <w:lang w:val="es-ES_tradnl"/>
        </w:rPr>
        <w:t>contra las migraciones ilegales, ambas partes promueven la organización de un sistema de control de las fronteras terrestres libias, que se entregará a sociedades que cuenten con las competencias tecnológicas necesarias. El gobierno italiano asumirá el 50% de los costos, mientras que, para el restante 50%, pedirán a la Unión Europea que se haga cargo […]”</w:t>
      </w:r>
      <w:r w:rsidR="001D65EB">
        <w:rPr>
          <w:lang w:val="es-ES_tradnl"/>
        </w:rPr>
        <w:t xml:space="preserve">. Finalmente, </w:t>
      </w:r>
      <w:r w:rsidR="00B505CD">
        <w:rPr>
          <w:lang w:val="es-ES_tradnl"/>
        </w:rPr>
        <w:t>acorda</w:t>
      </w:r>
      <w:r w:rsidR="003527B0">
        <w:rPr>
          <w:lang w:val="es-ES_tradnl"/>
        </w:rPr>
        <w:t>ban</w:t>
      </w:r>
      <w:r w:rsidR="00B505CD">
        <w:rPr>
          <w:lang w:val="es-ES_tradnl"/>
        </w:rPr>
        <w:t xml:space="preserve"> colaborar “</w:t>
      </w:r>
      <w:r w:rsidR="00B505CD" w:rsidRPr="000474D9">
        <w:rPr>
          <w:i/>
          <w:iCs/>
          <w:lang w:val="es-ES_tradnl"/>
        </w:rPr>
        <w:t>en la definición de iniciativas, sea bilaterales, sea en el ámbito regional, para prevenir el fenómeno de la inmigración clandestina en los países de origen de los flujos migratorios”</w:t>
      </w:r>
      <w:r w:rsidR="00B505CD">
        <w:rPr>
          <w:rStyle w:val="Refdenotaalpie"/>
          <w:lang w:val="es-ES_tradnl"/>
        </w:rPr>
        <w:footnoteReference w:id="17"/>
      </w:r>
      <w:r w:rsidR="008A7158">
        <w:rPr>
          <w:lang w:val="es-ES_tradnl"/>
        </w:rPr>
        <w:t xml:space="preserve">. </w:t>
      </w:r>
    </w:p>
    <w:p w14:paraId="40D58F20" w14:textId="09193BDE" w:rsidR="0026302E" w:rsidRDefault="00C52CEF" w:rsidP="00F676DF">
      <w:pPr>
        <w:pStyle w:val="NormalWeb"/>
        <w:spacing w:line="360" w:lineRule="auto"/>
        <w:contextualSpacing/>
        <w:jc w:val="both"/>
        <w:rPr>
          <w:lang w:val="es-ES_tradnl"/>
        </w:rPr>
      </w:pPr>
      <w:r>
        <w:rPr>
          <w:lang w:val="es-ES_tradnl"/>
        </w:rPr>
        <w:tab/>
        <w:t>Este tratado, que implicó la “externalización” definitiva del control fronterizo por parte de Italia</w:t>
      </w:r>
      <w:r w:rsidR="002C18AC">
        <w:rPr>
          <w:lang w:val="es-ES_tradnl"/>
        </w:rPr>
        <w:t xml:space="preserve"> en el Mediterráneo, </w:t>
      </w:r>
      <w:r w:rsidR="001E5627">
        <w:rPr>
          <w:lang w:val="es-ES_tradnl"/>
        </w:rPr>
        <w:t>puso</w:t>
      </w:r>
      <w:r w:rsidR="002C18AC">
        <w:rPr>
          <w:lang w:val="es-ES_tradnl"/>
        </w:rPr>
        <w:t xml:space="preserve"> en marcha </w:t>
      </w:r>
      <w:r w:rsidR="001E5627">
        <w:rPr>
          <w:lang w:val="es-ES_tradnl"/>
        </w:rPr>
        <w:t xml:space="preserve">en forma inmediata </w:t>
      </w:r>
      <w:r w:rsidR="002C18AC">
        <w:rPr>
          <w:lang w:val="es-ES_tradnl"/>
        </w:rPr>
        <w:t>operaciones de patrullaje conjuntas</w:t>
      </w:r>
      <w:r w:rsidR="0092026A">
        <w:rPr>
          <w:lang w:val="es-ES_tradnl"/>
        </w:rPr>
        <w:t xml:space="preserve">. La modalidad en que </w:t>
      </w:r>
      <w:r w:rsidR="001E5627">
        <w:rPr>
          <w:lang w:val="es-ES_tradnl"/>
        </w:rPr>
        <w:t xml:space="preserve">estas </w:t>
      </w:r>
      <w:r w:rsidR="0092026A">
        <w:rPr>
          <w:lang w:val="es-ES_tradnl"/>
        </w:rPr>
        <w:t>se llevaron adelante recibi</w:t>
      </w:r>
      <w:r w:rsidR="001E5627">
        <w:rPr>
          <w:lang w:val="es-ES_tradnl"/>
        </w:rPr>
        <w:t>ó</w:t>
      </w:r>
      <w:r w:rsidR="0092026A">
        <w:rPr>
          <w:lang w:val="es-ES_tradnl"/>
        </w:rPr>
        <w:t xml:space="preserve"> muchos cuestionamientos, al punto que un</w:t>
      </w:r>
      <w:r w:rsidR="001E5627">
        <w:rPr>
          <w:lang w:val="es-ES_tradnl"/>
        </w:rPr>
        <w:t>a</w:t>
      </w:r>
      <w:r w:rsidR="0092026A">
        <w:rPr>
          <w:lang w:val="es-ES_tradnl"/>
        </w:rPr>
        <w:t xml:space="preserve"> de l</w:t>
      </w:r>
      <w:r w:rsidR="001E5627">
        <w:rPr>
          <w:lang w:val="es-ES_tradnl"/>
        </w:rPr>
        <w:t>a</w:t>
      </w:r>
      <w:r w:rsidR="0092026A">
        <w:rPr>
          <w:lang w:val="es-ES_tradnl"/>
        </w:rPr>
        <w:t xml:space="preserve">s primeros, </w:t>
      </w:r>
      <w:r w:rsidR="002B6395">
        <w:rPr>
          <w:lang w:val="es-ES_tradnl"/>
        </w:rPr>
        <w:t xml:space="preserve">que tuvo lugar el 6 de mayo de 2009, </w:t>
      </w:r>
      <w:r w:rsidR="001E5627">
        <w:rPr>
          <w:lang w:val="es-ES_tradnl"/>
        </w:rPr>
        <w:t>fue objeto de</w:t>
      </w:r>
      <w:r w:rsidR="002B6395">
        <w:rPr>
          <w:lang w:val="es-ES_tradnl"/>
        </w:rPr>
        <w:t xml:space="preserve"> una condena judicial:</w:t>
      </w:r>
    </w:p>
    <w:p w14:paraId="52C73915" w14:textId="281A7211" w:rsidR="0026302E" w:rsidRDefault="007E2C55" w:rsidP="005E536C">
      <w:pPr>
        <w:pStyle w:val="NormalWeb"/>
        <w:spacing w:line="360" w:lineRule="auto"/>
        <w:ind w:left="680" w:right="680"/>
        <w:contextualSpacing/>
        <w:jc w:val="both"/>
        <w:rPr>
          <w:sz w:val="22"/>
          <w:szCs w:val="22"/>
          <w:lang w:val="es-ES_tradnl"/>
        </w:rPr>
      </w:pPr>
      <w:r>
        <w:rPr>
          <w:sz w:val="22"/>
          <w:szCs w:val="22"/>
          <w:lang w:val="es-ES_tradnl"/>
        </w:rPr>
        <w:t xml:space="preserve">“Las prácticas de devolución en el Mediterráneo central fueron condenadas en 2012 por la Corte Europea de los derechos humanos, en el caso de </w:t>
      </w:r>
      <w:proofErr w:type="spellStart"/>
      <w:r>
        <w:rPr>
          <w:sz w:val="22"/>
          <w:szCs w:val="22"/>
          <w:lang w:val="es-ES_tradnl"/>
        </w:rPr>
        <w:t>Hirsi</w:t>
      </w:r>
      <w:proofErr w:type="spellEnd"/>
      <w:r>
        <w:rPr>
          <w:sz w:val="22"/>
          <w:szCs w:val="22"/>
          <w:lang w:val="es-ES_tradnl"/>
        </w:rPr>
        <w:t xml:space="preserve"> </w:t>
      </w:r>
      <w:proofErr w:type="spellStart"/>
      <w:r>
        <w:rPr>
          <w:sz w:val="22"/>
          <w:szCs w:val="22"/>
          <w:lang w:val="es-ES_tradnl"/>
        </w:rPr>
        <w:t>Jamaa</w:t>
      </w:r>
      <w:proofErr w:type="spellEnd"/>
      <w:r>
        <w:rPr>
          <w:sz w:val="22"/>
          <w:szCs w:val="22"/>
          <w:lang w:val="es-ES_tradnl"/>
        </w:rPr>
        <w:t xml:space="preserve"> e otro contra Italia. El 6 de mayo de 2009, cerca de 200 migrantes en tres embarcaciones procedentes de Libia y dirigidas hacia Italia fueron interceptad</w:t>
      </w:r>
      <w:r w:rsidR="008A273E">
        <w:rPr>
          <w:sz w:val="22"/>
          <w:szCs w:val="22"/>
          <w:lang w:val="es-ES_tradnl"/>
        </w:rPr>
        <w:t>o</w:t>
      </w:r>
      <w:r>
        <w:rPr>
          <w:sz w:val="22"/>
          <w:szCs w:val="22"/>
          <w:lang w:val="es-ES_tradnl"/>
        </w:rPr>
        <w:t>s en aguas internacionales por lanchas patrulla italianas en el interior de la zona de búsqueda y socorro (SAR) bajo responsabilidad mal</w:t>
      </w:r>
      <w:r w:rsidR="008A273E">
        <w:rPr>
          <w:sz w:val="22"/>
          <w:szCs w:val="22"/>
          <w:lang w:val="es-ES_tradnl"/>
        </w:rPr>
        <w:t>tesa; de allí fueron transferidos a bordo de las mismas lanchas y reportados en Libia, sin ser identificados ni informados acerca de su verdadero destino. Tras este episodio, 24 ciudadanos somalíes y eritreos decidieron presentar un recurso contra Italia por violación de la Convención Europea de los Derechos Hombre (CEDH) y el 23 de febrero de 2012 la Cámara Superior de la Corte CEDH, por unanimidad, dict</w:t>
      </w:r>
      <w:r w:rsidR="0092026A">
        <w:rPr>
          <w:sz w:val="22"/>
          <w:szCs w:val="22"/>
          <w:lang w:val="es-ES_tradnl"/>
        </w:rPr>
        <w:t>ó</w:t>
      </w:r>
      <w:r w:rsidR="008A273E">
        <w:rPr>
          <w:sz w:val="22"/>
          <w:szCs w:val="22"/>
          <w:lang w:val="es-ES_tradnl"/>
        </w:rPr>
        <w:t xml:space="preserve"> una sentencia de condena a Italia”</w:t>
      </w:r>
      <w:r w:rsidR="002B6395">
        <w:rPr>
          <w:sz w:val="22"/>
          <w:szCs w:val="22"/>
          <w:lang w:val="es-ES_tradnl"/>
        </w:rPr>
        <w:t xml:space="preserve"> (</w:t>
      </w:r>
      <w:proofErr w:type="spellStart"/>
      <w:r w:rsidR="002B6395">
        <w:rPr>
          <w:sz w:val="22"/>
          <w:szCs w:val="22"/>
          <w:lang w:val="es-ES_tradnl"/>
        </w:rPr>
        <w:t>Morgese</w:t>
      </w:r>
      <w:proofErr w:type="spellEnd"/>
      <w:r w:rsidR="002B6395">
        <w:rPr>
          <w:sz w:val="22"/>
          <w:szCs w:val="22"/>
          <w:lang w:val="es-ES_tradnl"/>
        </w:rPr>
        <w:t xml:space="preserve">, 2020: </w:t>
      </w:r>
      <w:r w:rsidR="005E2004">
        <w:rPr>
          <w:sz w:val="22"/>
          <w:szCs w:val="22"/>
          <w:lang w:val="es-ES_tradnl"/>
        </w:rPr>
        <w:t xml:space="preserve">3). </w:t>
      </w:r>
    </w:p>
    <w:p w14:paraId="7E3214BC" w14:textId="740C22FB" w:rsidR="002B6395" w:rsidRDefault="002B6395" w:rsidP="00412CF3">
      <w:pPr>
        <w:pStyle w:val="NormalWeb"/>
        <w:spacing w:line="360" w:lineRule="auto"/>
        <w:ind w:right="-7"/>
        <w:contextualSpacing/>
        <w:jc w:val="both"/>
        <w:rPr>
          <w:lang w:val="es-ES_tradnl"/>
        </w:rPr>
      </w:pPr>
      <w:r>
        <w:rPr>
          <w:lang w:val="es-ES_tradnl"/>
        </w:rPr>
        <w:tab/>
        <w:t>Si bien es cierto que la condena se basó sobre todo en las acciones llevadas a efecto por naves italianas en aguas internacionales</w:t>
      </w:r>
      <w:r w:rsidR="000474D9">
        <w:rPr>
          <w:lang w:val="es-ES_tradnl"/>
        </w:rPr>
        <w:t xml:space="preserve"> </w:t>
      </w:r>
      <w:r w:rsidR="008A5101">
        <w:rPr>
          <w:lang w:val="es-ES_tradnl"/>
        </w:rPr>
        <w:t>por constituir</w:t>
      </w:r>
      <w:r>
        <w:rPr>
          <w:lang w:val="es-ES_tradnl"/>
        </w:rPr>
        <w:t xml:space="preserve"> </w:t>
      </w:r>
      <w:r w:rsidR="008A5101">
        <w:rPr>
          <w:lang w:val="es-ES_tradnl"/>
        </w:rPr>
        <w:t>un</w:t>
      </w:r>
      <w:r>
        <w:rPr>
          <w:lang w:val="es-ES_tradnl"/>
        </w:rPr>
        <w:t xml:space="preserve"> ejercicio extraterritorial del patrullaje, los recurrentes denunciaron </w:t>
      </w:r>
      <w:r w:rsidR="008A5101">
        <w:rPr>
          <w:lang w:val="es-ES_tradnl"/>
        </w:rPr>
        <w:t xml:space="preserve">también </w:t>
      </w:r>
      <w:r>
        <w:rPr>
          <w:lang w:val="es-ES_tradnl"/>
        </w:rPr>
        <w:t>tratos inhumanos y degradantes en los centro</w:t>
      </w:r>
      <w:r w:rsidR="007A2810">
        <w:rPr>
          <w:lang w:val="es-ES_tradnl"/>
        </w:rPr>
        <w:t>s</w:t>
      </w:r>
      <w:r>
        <w:rPr>
          <w:lang w:val="es-ES_tradnl"/>
        </w:rPr>
        <w:t xml:space="preserve"> de acogida </w:t>
      </w:r>
      <w:r w:rsidR="002A12FF">
        <w:rPr>
          <w:lang w:val="es-ES_tradnl"/>
        </w:rPr>
        <w:t>ubicados en el interior de</w:t>
      </w:r>
      <w:r>
        <w:rPr>
          <w:lang w:val="es-ES_tradnl"/>
        </w:rPr>
        <w:t xml:space="preserve"> Libia a los que fueron enviados</w:t>
      </w:r>
      <w:r w:rsidR="007A2810">
        <w:rPr>
          <w:lang w:val="es-ES_tradnl"/>
        </w:rPr>
        <w:t xml:space="preserve">. Esto muestra que </w:t>
      </w:r>
      <w:r w:rsidR="00D06048">
        <w:rPr>
          <w:lang w:val="es-ES_tradnl"/>
        </w:rPr>
        <w:t xml:space="preserve">los barcos interceptados en el marco de los procesos migratorios </w:t>
      </w:r>
      <w:r w:rsidR="008A5101">
        <w:rPr>
          <w:lang w:val="es-ES_tradnl"/>
        </w:rPr>
        <w:t>entre</w:t>
      </w:r>
      <w:r w:rsidR="00D06048">
        <w:rPr>
          <w:lang w:val="es-ES_tradnl"/>
        </w:rPr>
        <w:t xml:space="preserve"> Libia a Italia</w:t>
      </w:r>
      <w:r w:rsidR="008A5101">
        <w:rPr>
          <w:lang w:val="es-ES_tradnl"/>
        </w:rPr>
        <w:t xml:space="preserve"> formaban parte</w:t>
      </w:r>
      <w:r w:rsidR="00D06048">
        <w:rPr>
          <w:lang w:val="es-ES_tradnl"/>
        </w:rPr>
        <w:t xml:space="preserve"> solamente </w:t>
      </w:r>
      <w:r w:rsidR="008A5101">
        <w:rPr>
          <w:lang w:val="es-ES_tradnl"/>
        </w:rPr>
        <w:t>d</w:t>
      </w:r>
      <w:r w:rsidR="00D06048">
        <w:rPr>
          <w:lang w:val="es-ES_tradnl"/>
        </w:rPr>
        <w:t xml:space="preserve">el final </w:t>
      </w:r>
      <w:r w:rsidR="000474D9">
        <w:rPr>
          <w:lang w:val="es-ES_tradnl"/>
        </w:rPr>
        <w:t>del recorrido</w:t>
      </w:r>
      <w:r w:rsidR="00D06048">
        <w:rPr>
          <w:lang w:val="es-ES_tradnl"/>
        </w:rPr>
        <w:t>. Aquellos que ingresa</w:t>
      </w:r>
      <w:r w:rsidR="008A5101">
        <w:rPr>
          <w:lang w:val="es-ES_tradnl"/>
        </w:rPr>
        <w:t>ban</w:t>
      </w:r>
      <w:r w:rsidR="00D06048">
        <w:rPr>
          <w:lang w:val="es-ES_tradnl"/>
        </w:rPr>
        <w:t xml:space="preserve"> en el país norafricano con la finalidad de llegar a territorio europeo lo hac</w:t>
      </w:r>
      <w:r w:rsidR="008A5101">
        <w:rPr>
          <w:lang w:val="es-ES_tradnl"/>
        </w:rPr>
        <w:t>ían</w:t>
      </w:r>
      <w:r w:rsidR="00D06048">
        <w:rPr>
          <w:lang w:val="es-ES_tradnl"/>
        </w:rPr>
        <w:t xml:space="preserve"> sin saber cuánto tiempo deber</w:t>
      </w:r>
      <w:r w:rsidR="008A5101">
        <w:rPr>
          <w:lang w:val="es-ES_tradnl"/>
        </w:rPr>
        <w:t>ían</w:t>
      </w:r>
      <w:r w:rsidR="00D06048">
        <w:rPr>
          <w:lang w:val="es-ES_tradnl"/>
        </w:rPr>
        <w:t xml:space="preserve"> permanecer en </w:t>
      </w:r>
      <w:r w:rsidR="002A12FF">
        <w:rPr>
          <w:lang w:val="es-ES_tradnl"/>
        </w:rPr>
        <w:t>ese país</w:t>
      </w:r>
      <w:r w:rsidR="00D06048">
        <w:rPr>
          <w:lang w:val="es-ES_tradnl"/>
        </w:rPr>
        <w:t xml:space="preserve"> y, sobre todas las cosas, a qué deber</w:t>
      </w:r>
      <w:r w:rsidR="008A5101">
        <w:rPr>
          <w:lang w:val="es-ES_tradnl"/>
        </w:rPr>
        <w:t>ían</w:t>
      </w:r>
      <w:r w:rsidR="00D06048">
        <w:rPr>
          <w:lang w:val="es-ES_tradnl"/>
        </w:rPr>
        <w:t xml:space="preserve"> someterse.</w:t>
      </w:r>
      <w:r w:rsidR="007A6047">
        <w:rPr>
          <w:lang w:val="es-ES_tradnl"/>
        </w:rPr>
        <w:t xml:space="preserve"> Como lo observan </w:t>
      </w:r>
      <w:proofErr w:type="spellStart"/>
      <w:r w:rsidR="007A6047">
        <w:rPr>
          <w:lang w:val="es-ES_tradnl"/>
        </w:rPr>
        <w:t>Girono</w:t>
      </w:r>
      <w:proofErr w:type="spellEnd"/>
      <w:r w:rsidR="007A6047">
        <w:rPr>
          <w:lang w:val="es-ES_tradnl"/>
        </w:rPr>
        <w:t xml:space="preserve"> y </w:t>
      </w:r>
      <w:proofErr w:type="spellStart"/>
      <w:r w:rsidR="007A6047">
        <w:rPr>
          <w:lang w:val="es-ES_tradnl"/>
        </w:rPr>
        <w:t>Lollo</w:t>
      </w:r>
      <w:proofErr w:type="spellEnd"/>
      <w:r w:rsidR="007A6047">
        <w:rPr>
          <w:lang w:val="es-ES_tradnl"/>
        </w:rPr>
        <w:t xml:space="preserve"> (2011: 47), </w:t>
      </w:r>
      <w:r w:rsidR="007A6047">
        <w:rPr>
          <w:i/>
          <w:iCs/>
          <w:lang w:val="es-ES_tradnl"/>
        </w:rPr>
        <w:t>“</w:t>
      </w:r>
      <w:r w:rsidR="007A6047" w:rsidRPr="007A6047">
        <w:rPr>
          <w:i/>
          <w:iCs/>
          <w:lang w:val="es-ES_tradnl"/>
        </w:rPr>
        <w:t>afrontar un viaje implica la necesidad de ponerse en contacto</w:t>
      </w:r>
      <w:r w:rsidR="008A5101">
        <w:rPr>
          <w:i/>
          <w:iCs/>
          <w:lang w:val="es-ES_tradnl"/>
        </w:rPr>
        <w:t xml:space="preserve"> </w:t>
      </w:r>
      <w:r w:rsidR="007A6047" w:rsidRPr="007A6047">
        <w:rPr>
          <w:i/>
          <w:iCs/>
          <w:lang w:val="es-ES_tradnl"/>
        </w:rPr>
        <w:t>con organizaciones criminales que gracias a su subdivisión territorial</w:t>
      </w:r>
      <w:r w:rsidR="007A6047">
        <w:rPr>
          <w:i/>
          <w:iCs/>
          <w:lang w:val="es-ES_tradnl"/>
        </w:rPr>
        <w:t xml:space="preserve"> </w:t>
      </w:r>
      <w:r w:rsidR="007A6047" w:rsidRPr="007A6047">
        <w:rPr>
          <w:i/>
          <w:iCs/>
          <w:lang w:val="es-ES_tradnl"/>
        </w:rPr>
        <w:t>ofrecen, previo pago de altas sumas de dinero, soluciones ilegales y peligrosas</w:t>
      </w:r>
      <w:r w:rsidR="007A6047">
        <w:rPr>
          <w:i/>
          <w:iCs/>
          <w:lang w:val="es-ES_tradnl"/>
        </w:rPr>
        <w:t xml:space="preserve"> </w:t>
      </w:r>
      <w:r w:rsidR="007A6047" w:rsidRPr="007A6047">
        <w:rPr>
          <w:i/>
          <w:iCs/>
          <w:lang w:val="es-ES_tradnl"/>
        </w:rPr>
        <w:t>para realizar los desplazamientos</w:t>
      </w:r>
      <w:r w:rsidR="0023261D">
        <w:rPr>
          <w:i/>
          <w:iCs/>
          <w:lang w:val="es-ES_tradnl"/>
        </w:rPr>
        <w:t>”.</w:t>
      </w:r>
      <w:r w:rsidR="00112983">
        <w:rPr>
          <w:i/>
          <w:iCs/>
          <w:lang w:val="es-ES_tradnl"/>
        </w:rPr>
        <w:t xml:space="preserve"> </w:t>
      </w:r>
      <w:r w:rsidR="00591C5D">
        <w:rPr>
          <w:lang w:val="es-ES_tradnl"/>
        </w:rPr>
        <w:t xml:space="preserve">La organización </w:t>
      </w:r>
      <w:r w:rsidR="00112983">
        <w:rPr>
          <w:lang w:val="es-ES_tradnl"/>
        </w:rPr>
        <w:t>Human</w:t>
      </w:r>
      <w:r w:rsidR="00591C5D">
        <w:rPr>
          <w:lang w:val="es-ES_tradnl"/>
        </w:rPr>
        <w:t xml:space="preserve"> </w:t>
      </w:r>
      <w:proofErr w:type="spellStart"/>
      <w:r w:rsidR="00112983">
        <w:rPr>
          <w:lang w:val="es-ES_tradnl"/>
        </w:rPr>
        <w:t>Rights</w:t>
      </w:r>
      <w:proofErr w:type="spellEnd"/>
      <w:r w:rsidR="00112983">
        <w:rPr>
          <w:lang w:val="es-ES_tradnl"/>
        </w:rPr>
        <w:t xml:space="preserve"> </w:t>
      </w:r>
      <w:proofErr w:type="spellStart"/>
      <w:r w:rsidR="00112983">
        <w:rPr>
          <w:lang w:val="es-ES_tradnl"/>
        </w:rPr>
        <w:t>Watch</w:t>
      </w:r>
      <w:proofErr w:type="spellEnd"/>
      <w:r w:rsidR="00112983">
        <w:rPr>
          <w:lang w:val="es-ES_tradnl"/>
        </w:rPr>
        <w:t xml:space="preserve"> </w:t>
      </w:r>
      <w:r w:rsidR="008A5101">
        <w:rPr>
          <w:lang w:val="es-ES_tradnl"/>
        </w:rPr>
        <w:t>denunció</w:t>
      </w:r>
      <w:r w:rsidR="00112983">
        <w:rPr>
          <w:lang w:val="es-ES_tradnl"/>
        </w:rPr>
        <w:t xml:space="preserve"> </w:t>
      </w:r>
      <w:r w:rsidR="00FC1F59">
        <w:rPr>
          <w:lang w:val="es-ES_tradnl"/>
        </w:rPr>
        <w:t>lo</w:t>
      </w:r>
      <w:r w:rsidR="008A5101">
        <w:rPr>
          <w:lang w:val="es-ES_tradnl"/>
        </w:rPr>
        <w:t>s</w:t>
      </w:r>
      <w:r w:rsidR="00FC1F59">
        <w:rPr>
          <w:lang w:val="es-ES_tradnl"/>
        </w:rPr>
        <w:t xml:space="preserve"> sufri</w:t>
      </w:r>
      <w:r w:rsidR="008A5101">
        <w:rPr>
          <w:lang w:val="es-ES_tradnl"/>
        </w:rPr>
        <w:t>mientos</w:t>
      </w:r>
      <w:r w:rsidR="00FC1F59">
        <w:rPr>
          <w:lang w:val="es-ES_tradnl"/>
        </w:rPr>
        <w:t xml:space="preserve"> </w:t>
      </w:r>
      <w:r w:rsidR="008A5101">
        <w:rPr>
          <w:lang w:val="es-ES_tradnl"/>
        </w:rPr>
        <w:t xml:space="preserve">de </w:t>
      </w:r>
      <w:r w:rsidR="00FC1F59">
        <w:rPr>
          <w:lang w:val="es-ES_tradnl"/>
        </w:rPr>
        <w:t>los desplazados en el interior de Libia antes</w:t>
      </w:r>
      <w:r w:rsidR="00112983">
        <w:rPr>
          <w:lang w:val="es-ES_tradnl"/>
        </w:rPr>
        <w:t xml:space="preserve"> de alcanzar las </w:t>
      </w:r>
      <w:r w:rsidR="00112983">
        <w:rPr>
          <w:lang w:val="es-ES_tradnl"/>
        </w:rPr>
        <w:lastRenderedPageBreak/>
        <w:t xml:space="preserve">costas, </w:t>
      </w:r>
      <w:r w:rsidR="0026302E">
        <w:rPr>
          <w:lang w:val="es-ES_tradnl"/>
        </w:rPr>
        <w:t>lo que incluyó</w:t>
      </w:r>
      <w:r w:rsidR="00112983">
        <w:rPr>
          <w:lang w:val="es-ES_tradnl"/>
        </w:rPr>
        <w:t xml:space="preserve"> torturas, abusos sexuales</w:t>
      </w:r>
      <w:r w:rsidR="00EA3EA4">
        <w:rPr>
          <w:lang w:val="es-ES_tradnl"/>
        </w:rPr>
        <w:t xml:space="preserve"> y </w:t>
      </w:r>
      <w:r w:rsidR="00112983" w:rsidRPr="00591C5D">
        <w:rPr>
          <w:i/>
          <w:iCs/>
          <w:lang w:val="es-ES_tradnl"/>
        </w:rPr>
        <w:t>“compraventa”</w:t>
      </w:r>
      <w:r w:rsidR="00112983">
        <w:rPr>
          <w:lang w:val="es-ES_tradnl"/>
        </w:rPr>
        <w:t xml:space="preserve"> de personas entre traficantes y policías corruptos (Human </w:t>
      </w:r>
      <w:proofErr w:type="spellStart"/>
      <w:r w:rsidR="00112983">
        <w:rPr>
          <w:lang w:val="es-ES_tradnl"/>
        </w:rPr>
        <w:t>Rights</w:t>
      </w:r>
      <w:proofErr w:type="spellEnd"/>
      <w:r w:rsidR="00112983">
        <w:rPr>
          <w:lang w:val="es-ES_tradnl"/>
        </w:rPr>
        <w:t xml:space="preserve"> </w:t>
      </w:r>
      <w:proofErr w:type="spellStart"/>
      <w:r w:rsidR="00112983">
        <w:rPr>
          <w:lang w:val="es-ES_tradnl"/>
        </w:rPr>
        <w:t>Watch</w:t>
      </w:r>
      <w:proofErr w:type="spellEnd"/>
      <w:r w:rsidR="00112983">
        <w:rPr>
          <w:lang w:val="es-ES_tradnl"/>
        </w:rPr>
        <w:t>, 2009: 14-15).</w:t>
      </w:r>
      <w:r w:rsidR="008A5101">
        <w:rPr>
          <w:lang w:val="es-ES_tradnl"/>
        </w:rPr>
        <w:t xml:space="preserve"> </w:t>
      </w:r>
      <w:r w:rsidR="00591C5D">
        <w:rPr>
          <w:lang w:val="es-ES_tradnl"/>
        </w:rPr>
        <w:t>Antes de llegar a las costas, los desplazados debían permanecer un tiempo más o menos largo en distintos centros de acogida, cuyas características surgen del siguiente párrafo:</w:t>
      </w:r>
    </w:p>
    <w:p w14:paraId="6B2C470C" w14:textId="77777777" w:rsidR="0026302E" w:rsidRPr="00112983" w:rsidRDefault="0026302E" w:rsidP="00F676DF">
      <w:pPr>
        <w:pStyle w:val="NormalWeb"/>
        <w:spacing w:line="360" w:lineRule="auto"/>
        <w:ind w:right="680"/>
        <w:contextualSpacing/>
        <w:jc w:val="both"/>
        <w:rPr>
          <w:lang w:val="es-ES_tradnl"/>
        </w:rPr>
      </w:pPr>
    </w:p>
    <w:p w14:paraId="7282045D" w14:textId="14CA1B73" w:rsidR="0023261D" w:rsidRDefault="00FC1F59" w:rsidP="00F676DF">
      <w:pPr>
        <w:pStyle w:val="NormalWeb"/>
        <w:spacing w:line="360" w:lineRule="auto"/>
        <w:ind w:left="680" w:right="680"/>
        <w:contextualSpacing/>
        <w:jc w:val="both"/>
        <w:rPr>
          <w:sz w:val="22"/>
          <w:szCs w:val="22"/>
          <w:lang w:val="es-ES_tradnl"/>
        </w:rPr>
      </w:pPr>
      <w:r>
        <w:rPr>
          <w:sz w:val="22"/>
          <w:szCs w:val="22"/>
          <w:lang w:val="es-ES_tradnl"/>
        </w:rPr>
        <w:t xml:space="preserve">“Hay verdaderos centros de acogida, como aquellos de </w:t>
      </w:r>
      <w:proofErr w:type="spellStart"/>
      <w:r>
        <w:rPr>
          <w:sz w:val="22"/>
          <w:szCs w:val="22"/>
          <w:lang w:val="es-ES_tradnl"/>
        </w:rPr>
        <w:t>Sebha</w:t>
      </w:r>
      <w:proofErr w:type="spellEnd"/>
      <w:r>
        <w:rPr>
          <w:sz w:val="22"/>
          <w:szCs w:val="22"/>
          <w:lang w:val="es-ES_tradnl"/>
        </w:rPr>
        <w:t xml:space="preserve">, </w:t>
      </w:r>
      <w:proofErr w:type="spellStart"/>
      <w:r>
        <w:rPr>
          <w:sz w:val="22"/>
          <w:szCs w:val="22"/>
          <w:lang w:val="es-ES_tradnl"/>
        </w:rPr>
        <w:t>Zlitan</w:t>
      </w:r>
      <w:proofErr w:type="spellEnd"/>
      <w:r>
        <w:rPr>
          <w:sz w:val="22"/>
          <w:szCs w:val="22"/>
          <w:lang w:val="es-ES_tradnl"/>
        </w:rPr>
        <w:t xml:space="preserve">, </w:t>
      </w:r>
      <w:proofErr w:type="spellStart"/>
      <w:r>
        <w:rPr>
          <w:sz w:val="22"/>
          <w:szCs w:val="22"/>
          <w:lang w:val="es-ES_tradnl"/>
        </w:rPr>
        <w:t>Zawiyah</w:t>
      </w:r>
      <w:proofErr w:type="spellEnd"/>
      <w:r>
        <w:rPr>
          <w:sz w:val="22"/>
          <w:szCs w:val="22"/>
          <w:lang w:val="es-ES_tradnl"/>
        </w:rPr>
        <w:t xml:space="preserve">, </w:t>
      </w:r>
      <w:proofErr w:type="spellStart"/>
      <w:r>
        <w:rPr>
          <w:sz w:val="22"/>
          <w:szCs w:val="22"/>
          <w:lang w:val="es-ES_tradnl"/>
        </w:rPr>
        <w:t>Kufrah</w:t>
      </w:r>
      <w:proofErr w:type="spellEnd"/>
      <w:r>
        <w:rPr>
          <w:sz w:val="22"/>
          <w:szCs w:val="22"/>
          <w:lang w:val="es-ES_tradnl"/>
        </w:rPr>
        <w:t xml:space="preserve"> y </w:t>
      </w:r>
      <w:proofErr w:type="spellStart"/>
      <w:r>
        <w:rPr>
          <w:sz w:val="22"/>
          <w:szCs w:val="22"/>
          <w:lang w:val="es-ES_tradnl"/>
        </w:rPr>
        <w:t>Misratha</w:t>
      </w:r>
      <w:proofErr w:type="spellEnd"/>
      <w:r>
        <w:rPr>
          <w:sz w:val="22"/>
          <w:szCs w:val="22"/>
          <w:lang w:val="es-ES_tradnl"/>
        </w:rPr>
        <w:t>, donde se concentra a los migrantes y a los refugiados arrestados durante las redadas o en las fronteras. Además</w:t>
      </w:r>
      <w:r w:rsidR="00EA3EA4">
        <w:rPr>
          <w:sz w:val="22"/>
          <w:szCs w:val="22"/>
          <w:lang w:val="es-ES_tradnl"/>
        </w:rPr>
        <w:t>,</w:t>
      </w:r>
      <w:r>
        <w:rPr>
          <w:sz w:val="22"/>
          <w:szCs w:val="22"/>
          <w:lang w:val="es-ES_tradnl"/>
        </w:rPr>
        <w:t xml:space="preserve"> hay estructuras más pequeñas, como las de </w:t>
      </w:r>
      <w:proofErr w:type="spellStart"/>
      <w:r>
        <w:rPr>
          <w:sz w:val="22"/>
          <w:szCs w:val="22"/>
          <w:lang w:val="es-ES_tradnl"/>
        </w:rPr>
        <w:t>Qatrum</w:t>
      </w:r>
      <w:proofErr w:type="spellEnd"/>
      <w:r>
        <w:rPr>
          <w:sz w:val="22"/>
          <w:szCs w:val="22"/>
          <w:lang w:val="es-ES_tradnl"/>
        </w:rPr>
        <w:t xml:space="preserve">, </w:t>
      </w:r>
      <w:proofErr w:type="spellStart"/>
      <w:r>
        <w:rPr>
          <w:sz w:val="22"/>
          <w:szCs w:val="22"/>
          <w:lang w:val="es-ES_tradnl"/>
        </w:rPr>
        <w:t>Brak</w:t>
      </w:r>
      <w:proofErr w:type="spellEnd"/>
      <w:r>
        <w:rPr>
          <w:sz w:val="22"/>
          <w:szCs w:val="22"/>
          <w:lang w:val="es-ES_tradnl"/>
        </w:rPr>
        <w:t xml:space="preserve">, </w:t>
      </w:r>
      <w:proofErr w:type="spellStart"/>
      <w:r>
        <w:rPr>
          <w:sz w:val="22"/>
          <w:szCs w:val="22"/>
          <w:lang w:val="es-ES_tradnl"/>
        </w:rPr>
        <w:t>Shati</w:t>
      </w:r>
      <w:proofErr w:type="spellEnd"/>
      <w:r>
        <w:rPr>
          <w:sz w:val="22"/>
          <w:szCs w:val="22"/>
          <w:lang w:val="es-ES_tradnl"/>
        </w:rPr>
        <w:t xml:space="preserve">, </w:t>
      </w:r>
      <w:proofErr w:type="spellStart"/>
      <w:r>
        <w:rPr>
          <w:sz w:val="22"/>
          <w:szCs w:val="22"/>
          <w:lang w:val="es-ES_tradnl"/>
        </w:rPr>
        <w:t>Ghat</w:t>
      </w:r>
      <w:proofErr w:type="spellEnd"/>
      <w:r>
        <w:rPr>
          <w:sz w:val="22"/>
          <w:szCs w:val="22"/>
          <w:lang w:val="es-ES_tradnl"/>
        </w:rPr>
        <w:t xml:space="preserve">, </w:t>
      </w:r>
      <w:proofErr w:type="spellStart"/>
      <w:r>
        <w:rPr>
          <w:sz w:val="22"/>
          <w:szCs w:val="22"/>
          <w:lang w:val="es-ES_tradnl"/>
        </w:rPr>
        <w:t>Khums</w:t>
      </w:r>
      <w:proofErr w:type="spellEnd"/>
      <w:r>
        <w:rPr>
          <w:sz w:val="22"/>
          <w:szCs w:val="22"/>
          <w:lang w:val="es-ES_tradnl"/>
        </w:rPr>
        <w:t xml:space="preserve">, donde los extranjeros son detenidos por un breve período antes de ser enviados a los centros de acogida. Por otra </w:t>
      </w:r>
      <w:proofErr w:type="gramStart"/>
      <w:r>
        <w:rPr>
          <w:sz w:val="22"/>
          <w:szCs w:val="22"/>
          <w:lang w:val="es-ES_tradnl"/>
        </w:rPr>
        <w:t>parte</w:t>
      </w:r>
      <w:proofErr w:type="gramEnd"/>
      <w:r>
        <w:rPr>
          <w:sz w:val="22"/>
          <w:szCs w:val="22"/>
          <w:lang w:val="es-ES_tradnl"/>
        </w:rPr>
        <w:t xml:space="preserve"> están las prisiones: Jadida, </w:t>
      </w:r>
      <w:proofErr w:type="spellStart"/>
      <w:r>
        <w:rPr>
          <w:sz w:val="22"/>
          <w:szCs w:val="22"/>
          <w:lang w:val="es-ES_tradnl"/>
        </w:rPr>
        <w:t>Fellah</w:t>
      </w:r>
      <w:proofErr w:type="spellEnd"/>
      <w:r>
        <w:rPr>
          <w:sz w:val="22"/>
          <w:szCs w:val="22"/>
          <w:lang w:val="es-ES_tradnl"/>
        </w:rPr>
        <w:t xml:space="preserve">, </w:t>
      </w:r>
      <w:proofErr w:type="spellStart"/>
      <w:r>
        <w:rPr>
          <w:sz w:val="22"/>
          <w:szCs w:val="22"/>
          <w:lang w:val="es-ES_tradnl"/>
        </w:rPr>
        <w:t>Twaisha</w:t>
      </w:r>
      <w:proofErr w:type="spellEnd"/>
      <w:r>
        <w:rPr>
          <w:sz w:val="22"/>
          <w:szCs w:val="22"/>
          <w:lang w:val="es-ES_tradnl"/>
        </w:rPr>
        <w:t>, Ain Zarah. Prisiones comunes, en las cuales secciones enteras se dedican a la detención de los extranjeros sin documentos</w:t>
      </w:r>
      <w:r w:rsidR="00591C5D">
        <w:rPr>
          <w:sz w:val="22"/>
          <w:szCs w:val="22"/>
          <w:lang w:val="es-ES_tradnl"/>
        </w:rPr>
        <w:t xml:space="preserve">, donde </w:t>
      </w:r>
      <w:r>
        <w:rPr>
          <w:sz w:val="22"/>
          <w:szCs w:val="22"/>
          <w:lang w:val="es-ES_tradnl"/>
        </w:rPr>
        <w:t xml:space="preserve">las condiciones de detención son pésimas. </w:t>
      </w:r>
      <w:r w:rsidR="005B26CF">
        <w:rPr>
          <w:sz w:val="22"/>
          <w:szCs w:val="22"/>
          <w:lang w:val="es-ES_tradnl"/>
        </w:rPr>
        <w:t xml:space="preserve">Sarna, parásitos e infecciones son lo mínimo que uno se puede contagiar. Muchas mujeres son afectadas por infecciones vaginales. Y no faltan los fallecidos, debidos casi siempre a la falta de asistencia sanitaria o </w:t>
      </w:r>
      <w:r w:rsidR="00EA3EA4">
        <w:rPr>
          <w:sz w:val="22"/>
          <w:szCs w:val="22"/>
          <w:lang w:val="es-ES_tradnl"/>
        </w:rPr>
        <w:t xml:space="preserve">a </w:t>
      </w:r>
      <w:r w:rsidR="005B26CF">
        <w:rPr>
          <w:sz w:val="22"/>
          <w:szCs w:val="22"/>
          <w:lang w:val="es-ES_tradnl"/>
        </w:rPr>
        <w:t>recuperaciones en hospitales demasiado tardías”</w:t>
      </w:r>
      <w:r w:rsidR="00EA4DAB">
        <w:rPr>
          <w:sz w:val="22"/>
          <w:szCs w:val="22"/>
          <w:lang w:val="es-ES_tradnl"/>
        </w:rPr>
        <w:t xml:space="preserve"> (Del Grande, 2009).</w:t>
      </w:r>
    </w:p>
    <w:p w14:paraId="288BC96B" w14:textId="77777777" w:rsidR="0026302E" w:rsidRDefault="0026302E" w:rsidP="00F676DF">
      <w:pPr>
        <w:pStyle w:val="NormalWeb"/>
        <w:spacing w:line="360" w:lineRule="auto"/>
        <w:ind w:left="680" w:right="680"/>
        <w:contextualSpacing/>
        <w:jc w:val="both"/>
        <w:rPr>
          <w:sz w:val="22"/>
          <w:szCs w:val="22"/>
          <w:lang w:val="es-ES_tradnl"/>
        </w:rPr>
      </w:pPr>
    </w:p>
    <w:p w14:paraId="62E72DD1" w14:textId="2AF2DF26" w:rsidR="00657B2C" w:rsidRDefault="00EA4DAB" w:rsidP="00412CF3">
      <w:pPr>
        <w:pStyle w:val="NormalWeb"/>
        <w:spacing w:line="360" w:lineRule="auto"/>
        <w:ind w:right="-7"/>
        <w:contextualSpacing/>
        <w:jc w:val="both"/>
        <w:rPr>
          <w:lang w:val="es-ES_tradnl"/>
        </w:rPr>
      </w:pPr>
      <w:r>
        <w:rPr>
          <w:sz w:val="22"/>
          <w:szCs w:val="22"/>
          <w:lang w:val="es-ES_tradnl"/>
        </w:rPr>
        <w:tab/>
      </w:r>
      <w:r w:rsidR="00591C5D">
        <w:rPr>
          <w:lang w:val="es-ES_tradnl"/>
        </w:rPr>
        <w:t xml:space="preserve">De todos modos, </w:t>
      </w:r>
      <w:r>
        <w:rPr>
          <w:lang w:val="es-ES_tradnl"/>
        </w:rPr>
        <w:t xml:space="preserve">en lo que respecta </w:t>
      </w:r>
      <w:r w:rsidR="00EA3EA4">
        <w:rPr>
          <w:lang w:val="es-ES_tradnl"/>
        </w:rPr>
        <w:t>a</w:t>
      </w:r>
      <w:r w:rsidR="00657B2C">
        <w:rPr>
          <w:lang w:val="es-ES_tradnl"/>
        </w:rPr>
        <w:t>l resultado de</w:t>
      </w:r>
      <w:r w:rsidR="00563965">
        <w:rPr>
          <w:lang w:val="es-ES_tradnl"/>
        </w:rPr>
        <w:t xml:space="preserve"> las acciones desarrolladas tras la firma del tratado de amistad</w:t>
      </w:r>
      <w:r w:rsidR="00E66C53">
        <w:rPr>
          <w:lang w:val="es-ES_tradnl"/>
        </w:rPr>
        <w:t xml:space="preserve"> ítalo-</w:t>
      </w:r>
      <w:proofErr w:type="spellStart"/>
      <w:r w:rsidR="00E66C53">
        <w:rPr>
          <w:lang w:val="es-ES_tradnl"/>
        </w:rPr>
        <w:t>líbi</w:t>
      </w:r>
      <w:r w:rsidR="00657B2C">
        <w:rPr>
          <w:lang w:val="es-ES_tradnl"/>
        </w:rPr>
        <w:t>o</w:t>
      </w:r>
      <w:proofErr w:type="spellEnd"/>
      <w:r w:rsidR="00563965">
        <w:rPr>
          <w:lang w:val="es-ES_tradnl"/>
        </w:rPr>
        <w:t>, FRONTEX reportó</w:t>
      </w:r>
      <w:r w:rsidR="00E66C53">
        <w:rPr>
          <w:lang w:val="es-ES_tradnl"/>
        </w:rPr>
        <w:t xml:space="preserve"> para el primer cuarto del año 2010 </w:t>
      </w:r>
      <w:r w:rsidR="00EA3EA4">
        <w:rPr>
          <w:lang w:val="es-ES_tradnl"/>
        </w:rPr>
        <w:t>un resultado</w:t>
      </w:r>
      <w:r w:rsidR="003527B0">
        <w:rPr>
          <w:lang w:val="es-ES_tradnl"/>
        </w:rPr>
        <w:t>, a su criterio,</w:t>
      </w:r>
      <w:r w:rsidR="00EA3EA4">
        <w:rPr>
          <w:lang w:val="es-ES_tradnl"/>
        </w:rPr>
        <w:t xml:space="preserve"> exitoso</w:t>
      </w:r>
      <w:r w:rsidR="00E66C53">
        <w:rPr>
          <w:lang w:val="es-ES_tradnl"/>
        </w:rPr>
        <w:t xml:space="preserve">: </w:t>
      </w:r>
      <w:r w:rsidR="00E66C53" w:rsidRPr="00EA3EA4">
        <w:rPr>
          <w:i/>
          <w:iCs/>
          <w:lang w:val="es-ES_tradnl"/>
        </w:rPr>
        <w:t xml:space="preserve">“En </w:t>
      </w:r>
      <w:r w:rsidR="00563965" w:rsidRPr="00EA3EA4">
        <w:rPr>
          <w:i/>
          <w:iCs/>
          <w:lang w:val="es-ES_tradnl"/>
        </w:rPr>
        <w:t>la</w:t>
      </w:r>
      <w:r w:rsidR="00E66C53" w:rsidRPr="00EA3EA4">
        <w:rPr>
          <w:i/>
          <w:iCs/>
          <w:lang w:val="es-ES_tradnl"/>
        </w:rPr>
        <w:t>s</w:t>
      </w:r>
      <w:r w:rsidR="00563965" w:rsidRPr="00EA3EA4">
        <w:rPr>
          <w:i/>
          <w:iCs/>
          <w:lang w:val="es-ES_tradnl"/>
        </w:rPr>
        <w:t xml:space="preserve"> rutas del Mediterráneo central, los Estados miembros informaron </w:t>
      </w:r>
      <w:r w:rsidR="00E66C53" w:rsidRPr="00EA3EA4">
        <w:rPr>
          <w:i/>
          <w:iCs/>
          <w:lang w:val="es-ES_tradnl"/>
        </w:rPr>
        <w:t xml:space="preserve">solamente 150 detenciones por traspaso ilegal de fronteras comparadas con las 5.200 que se detectaron en el primer cuarto de 2009 y </w:t>
      </w:r>
      <w:r w:rsidR="00EA3EA4">
        <w:rPr>
          <w:i/>
          <w:iCs/>
          <w:lang w:val="es-ES_tradnl"/>
        </w:rPr>
        <w:t xml:space="preserve">las </w:t>
      </w:r>
      <w:r w:rsidR="00E66C53" w:rsidRPr="00EA3EA4">
        <w:rPr>
          <w:i/>
          <w:iCs/>
          <w:lang w:val="es-ES_tradnl"/>
        </w:rPr>
        <w:t xml:space="preserve">1.500 </w:t>
      </w:r>
      <w:r w:rsidR="00657B2C">
        <w:rPr>
          <w:i/>
          <w:iCs/>
          <w:lang w:val="es-ES_tradnl"/>
        </w:rPr>
        <w:t>d</w:t>
      </w:r>
      <w:r w:rsidR="000C18E2" w:rsidRPr="00EA3EA4">
        <w:rPr>
          <w:i/>
          <w:iCs/>
          <w:lang w:val="es-ES_tradnl"/>
        </w:rPr>
        <w:t>el último cuarto</w:t>
      </w:r>
      <w:r w:rsidR="00E66C53" w:rsidRPr="00EA3EA4">
        <w:rPr>
          <w:i/>
          <w:iCs/>
          <w:lang w:val="es-ES_tradnl"/>
        </w:rPr>
        <w:t xml:space="preserve"> de </w:t>
      </w:r>
      <w:r w:rsidR="00657B2C">
        <w:rPr>
          <w:i/>
          <w:iCs/>
          <w:lang w:val="es-ES_tradnl"/>
        </w:rPr>
        <w:t>ese año</w:t>
      </w:r>
      <w:r w:rsidR="00E66C53" w:rsidRPr="00EA3EA4">
        <w:rPr>
          <w:i/>
          <w:iCs/>
          <w:lang w:val="es-ES_tradnl"/>
        </w:rPr>
        <w:t xml:space="preserve">. Esta reducción se debe al acuerdo bilateral implementado entre las autoridades de Italia y Libia en 2009” </w:t>
      </w:r>
      <w:r w:rsidR="00E66C53">
        <w:rPr>
          <w:lang w:val="es-ES_tradnl"/>
        </w:rPr>
        <w:t>(FRONTEX, 2010: News).</w:t>
      </w:r>
      <w:r w:rsidR="00E669DA">
        <w:rPr>
          <w:lang w:val="es-ES_tradnl"/>
        </w:rPr>
        <w:t xml:space="preserve"> Por ello es que, al estallar la guerra civil en Libia en enero de 2011</w:t>
      </w:r>
      <w:r w:rsidR="004672CF">
        <w:rPr>
          <w:lang w:val="es-ES_tradnl"/>
        </w:rPr>
        <w:t xml:space="preserve"> e iniciarse la persecución de Gadafi en el marco de la Primavera Árabe, el líder advirtió que</w:t>
      </w:r>
      <w:r w:rsidR="001C3F10">
        <w:rPr>
          <w:lang w:val="es-ES_tradnl"/>
        </w:rPr>
        <w:t xml:space="preserve">, de producirse su </w:t>
      </w:r>
      <w:r w:rsidR="004672CF">
        <w:rPr>
          <w:lang w:val="es-ES_tradnl"/>
        </w:rPr>
        <w:t xml:space="preserve">derrocamiento definitivo </w:t>
      </w:r>
      <w:r w:rsidR="001C3F10" w:rsidRPr="00EA3EA4">
        <w:rPr>
          <w:i/>
          <w:iCs/>
          <w:lang w:val="es-ES_tradnl"/>
        </w:rPr>
        <w:t>“hay millones de negros que podrían venir al Mediterráneo para cruzar a Francia e Italia y Libia juega un papel en la seguridad del Mediterráneo”</w:t>
      </w:r>
      <w:r w:rsidR="001C3F10">
        <w:rPr>
          <w:lang w:val="es-ES_tradnl"/>
        </w:rPr>
        <w:t xml:space="preserve"> (</w:t>
      </w:r>
      <w:r w:rsidR="000209E2">
        <w:rPr>
          <w:lang w:val="es-ES_tradnl"/>
        </w:rPr>
        <w:t>Blumenthal, 2019: 191-192</w:t>
      </w:r>
      <w:r w:rsidR="003B2F64">
        <w:rPr>
          <w:lang w:val="es-ES_tradnl"/>
        </w:rPr>
        <w:t xml:space="preserve">). La advertencia de </w:t>
      </w:r>
      <w:r w:rsidR="003427EA">
        <w:rPr>
          <w:lang w:val="es-ES_tradnl"/>
        </w:rPr>
        <w:t xml:space="preserve">Gadafi no </w:t>
      </w:r>
      <w:r w:rsidR="000C18E2">
        <w:rPr>
          <w:lang w:val="es-ES_tradnl"/>
        </w:rPr>
        <w:t>dejó</w:t>
      </w:r>
      <w:r w:rsidR="003427EA">
        <w:rPr>
          <w:lang w:val="es-ES_tradnl"/>
        </w:rPr>
        <w:t xml:space="preserve"> de resonar después de su muerte</w:t>
      </w:r>
      <w:r w:rsidR="000C18E2">
        <w:rPr>
          <w:lang w:val="es-ES_tradnl"/>
        </w:rPr>
        <w:t xml:space="preserve">, producida </w:t>
      </w:r>
      <w:r w:rsidR="00657B2C">
        <w:rPr>
          <w:lang w:val="es-ES_tradnl"/>
        </w:rPr>
        <w:t>el 20 de octubre</w:t>
      </w:r>
      <w:r w:rsidR="003427EA">
        <w:rPr>
          <w:lang w:val="es-ES_tradnl"/>
        </w:rPr>
        <w:t xml:space="preserve">. </w:t>
      </w:r>
      <w:r w:rsidR="00657B2C">
        <w:rPr>
          <w:lang w:val="es-ES_tradnl"/>
        </w:rPr>
        <w:t>Sus</w:t>
      </w:r>
      <w:r w:rsidR="000C18E2">
        <w:rPr>
          <w:lang w:val="es-ES_tradnl"/>
        </w:rPr>
        <w:t xml:space="preserve"> políticas migratorias en alianza con Europa se </w:t>
      </w:r>
      <w:r w:rsidR="0026302E">
        <w:rPr>
          <w:lang w:val="es-ES_tradnl"/>
        </w:rPr>
        <w:t xml:space="preserve">habían caracterizado </w:t>
      </w:r>
      <w:r w:rsidR="000C18E2">
        <w:rPr>
          <w:lang w:val="es-ES_tradnl"/>
        </w:rPr>
        <w:t>por ser represivas y por el casi inexistente control con respecto a los traficantes ilegales y a los funcionarios gubernamentales que también lucraban con las detenciones y la explotación de los desplazados</w:t>
      </w:r>
      <w:r w:rsidR="00657B2C">
        <w:rPr>
          <w:lang w:val="es-ES_tradnl"/>
        </w:rPr>
        <w:t>. Sin embargo,</w:t>
      </w:r>
      <w:r w:rsidR="000C18E2">
        <w:rPr>
          <w:lang w:val="es-ES_tradnl"/>
        </w:rPr>
        <w:t xml:space="preserve"> </w:t>
      </w:r>
      <w:r w:rsidR="00657B2C">
        <w:rPr>
          <w:lang w:val="es-ES_tradnl"/>
        </w:rPr>
        <w:t xml:space="preserve">la situación </w:t>
      </w:r>
      <w:r w:rsidR="0026302E">
        <w:rPr>
          <w:lang w:val="es-ES_tradnl"/>
        </w:rPr>
        <w:t>se agravó</w:t>
      </w:r>
      <w:r w:rsidR="00657B2C">
        <w:rPr>
          <w:lang w:val="es-ES_tradnl"/>
        </w:rPr>
        <w:t xml:space="preserve"> con la guerra civil que llevó a la derrota de los partidarios de Gadafi y </w:t>
      </w:r>
      <w:r w:rsidR="0026302E">
        <w:rPr>
          <w:lang w:val="es-ES_tradnl"/>
        </w:rPr>
        <w:t>con la posterior</w:t>
      </w:r>
      <w:r w:rsidR="00422A4D">
        <w:rPr>
          <w:lang w:val="es-ES_tradnl"/>
        </w:rPr>
        <w:t xml:space="preserve"> conflagración interna</w:t>
      </w:r>
      <w:r w:rsidR="0026302E">
        <w:rPr>
          <w:lang w:val="es-ES_tradnl"/>
        </w:rPr>
        <w:t xml:space="preserve"> que se </w:t>
      </w:r>
      <w:r w:rsidR="00B66C82">
        <w:rPr>
          <w:lang w:val="es-ES_tradnl"/>
        </w:rPr>
        <w:t>desarrolló entre 2014 y 2020, cuando el país quedó en un estado total de ingobernabilidad.</w:t>
      </w:r>
    </w:p>
    <w:p w14:paraId="4A6DEF16" w14:textId="0C65F9CB" w:rsidR="003B108D" w:rsidRDefault="004A3261" w:rsidP="00F676DF">
      <w:pPr>
        <w:pStyle w:val="NormalWeb"/>
        <w:spacing w:line="360" w:lineRule="auto"/>
        <w:ind w:right="680"/>
        <w:contextualSpacing/>
        <w:jc w:val="both"/>
        <w:rPr>
          <w:lang w:val="es-ES_tradnl"/>
        </w:rPr>
      </w:pPr>
      <w:r>
        <w:rPr>
          <w:lang w:val="es-ES_tradnl"/>
        </w:rPr>
        <w:tab/>
      </w:r>
      <w:r w:rsidR="00657B2C">
        <w:rPr>
          <w:lang w:val="es-ES_tradnl"/>
        </w:rPr>
        <w:t>Durante el año 2011</w:t>
      </w:r>
      <w:r w:rsidR="006653EA">
        <w:rPr>
          <w:lang w:val="es-ES_tradnl"/>
        </w:rPr>
        <w:t xml:space="preserve"> se calcula que alrededor de 2.000 personas que partieron de Libia con el fin de alcanzar las costas europeas murieron en el mar (La </w:t>
      </w:r>
      <w:proofErr w:type="spellStart"/>
      <w:r w:rsidR="006653EA">
        <w:rPr>
          <w:lang w:val="es-ES_tradnl"/>
        </w:rPr>
        <w:t>Repubblica</w:t>
      </w:r>
      <w:proofErr w:type="spellEnd"/>
      <w:r w:rsidR="006653EA">
        <w:rPr>
          <w:lang w:val="es-ES_tradnl"/>
        </w:rPr>
        <w:t xml:space="preserve">, </w:t>
      </w:r>
      <w:r w:rsidR="000A2521">
        <w:rPr>
          <w:lang w:val="es-ES_tradnl"/>
        </w:rPr>
        <w:t>26-11-</w:t>
      </w:r>
      <w:r w:rsidR="006653EA">
        <w:rPr>
          <w:lang w:val="es-ES_tradnl"/>
        </w:rPr>
        <w:t>2011)</w:t>
      </w:r>
      <w:r w:rsidR="00056471">
        <w:rPr>
          <w:lang w:val="es-ES_tradnl"/>
        </w:rPr>
        <w:t>.</w:t>
      </w:r>
      <w:r>
        <w:rPr>
          <w:lang w:val="es-ES_tradnl"/>
        </w:rPr>
        <w:t xml:space="preserve"> </w:t>
      </w:r>
      <w:r w:rsidR="00056471">
        <w:rPr>
          <w:lang w:val="es-ES_tradnl"/>
        </w:rPr>
        <w:t xml:space="preserve"> Una tragedia sin precedentes</w:t>
      </w:r>
      <w:r w:rsidR="00056471" w:rsidRPr="00056471">
        <w:rPr>
          <w:lang w:val="es-ES_tradnl"/>
        </w:rPr>
        <w:t xml:space="preserve"> se produjo frente las costas de la isla siciliana de Lampedusa</w:t>
      </w:r>
      <w:r w:rsidR="00056471">
        <w:rPr>
          <w:lang w:val="es-ES_tradnl"/>
        </w:rPr>
        <w:t xml:space="preserve"> </w:t>
      </w:r>
      <w:r w:rsidR="00056471" w:rsidRPr="00056471">
        <w:rPr>
          <w:lang w:val="es-ES_tradnl"/>
        </w:rPr>
        <w:t>el 3 de octubre de 2013</w:t>
      </w:r>
      <w:r w:rsidR="00056471">
        <w:rPr>
          <w:lang w:val="es-ES_tradnl"/>
        </w:rPr>
        <w:t xml:space="preserve">, cuando </w:t>
      </w:r>
      <w:r w:rsidR="00056471" w:rsidRPr="00056471">
        <w:rPr>
          <w:lang w:val="es-ES_tradnl"/>
        </w:rPr>
        <w:t xml:space="preserve">se dio vuelta una embarcación que había partido el día anterior de Libia </w:t>
      </w:r>
      <w:r w:rsidR="00056471" w:rsidRPr="00056471">
        <w:rPr>
          <w:lang w:val="es-ES_tradnl"/>
        </w:rPr>
        <w:lastRenderedPageBreak/>
        <w:t>y que llevaba 520</w:t>
      </w:r>
      <w:r w:rsidR="00056471">
        <w:rPr>
          <w:lang w:val="es-ES_tradnl"/>
        </w:rPr>
        <w:t xml:space="preserve"> pasajeros</w:t>
      </w:r>
      <w:r w:rsidR="00056471" w:rsidRPr="00056471">
        <w:rPr>
          <w:lang w:val="es-ES_tradnl"/>
        </w:rPr>
        <w:t xml:space="preserve">, de los cuales 368 perecieron ahogados. </w:t>
      </w:r>
      <w:r w:rsidR="00056471">
        <w:rPr>
          <w:lang w:val="es-ES_tradnl"/>
        </w:rPr>
        <w:t xml:space="preserve">Como consecuencia, </w:t>
      </w:r>
      <w:r w:rsidR="00056471" w:rsidRPr="00056471">
        <w:rPr>
          <w:lang w:val="es-ES_tradnl"/>
        </w:rPr>
        <w:t xml:space="preserve">FRONTEX </w:t>
      </w:r>
      <w:r w:rsidR="00056471">
        <w:rPr>
          <w:lang w:val="es-ES_tradnl"/>
        </w:rPr>
        <w:t>inauguró</w:t>
      </w:r>
      <w:r w:rsidR="00056471" w:rsidRPr="00056471">
        <w:rPr>
          <w:lang w:val="es-ES_tradnl"/>
        </w:rPr>
        <w:t xml:space="preserve"> una nueva operación de control, </w:t>
      </w:r>
      <w:r w:rsidR="00056471" w:rsidRPr="00B2734C">
        <w:rPr>
          <w:i/>
          <w:iCs/>
          <w:lang w:val="es-ES_tradnl"/>
        </w:rPr>
        <w:t>Mare Nostrum</w:t>
      </w:r>
      <w:r w:rsidR="00056471" w:rsidRPr="00056471">
        <w:rPr>
          <w:lang w:val="es-ES_tradnl"/>
        </w:rPr>
        <w:t xml:space="preserve">, </w:t>
      </w:r>
      <w:r w:rsidR="00056471">
        <w:rPr>
          <w:lang w:val="es-ES_tradnl"/>
        </w:rPr>
        <w:t xml:space="preserve">que se inició </w:t>
      </w:r>
      <w:r w:rsidR="00056471" w:rsidRPr="00056471">
        <w:rPr>
          <w:lang w:val="es-ES_tradnl"/>
        </w:rPr>
        <w:t xml:space="preserve">el 18 de octubre de 2013, en cuyo marco </w:t>
      </w:r>
      <w:r w:rsidR="00B2734C">
        <w:rPr>
          <w:lang w:val="es-ES_tradnl"/>
        </w:rPr>
        <w:t>se informó que se habían socorrido</w:t>
      </w:r>
      <w:r w:rsidR="00056471" w:rsidRPr="00056471">
        <w:rPr>
          <w:lang w:val="es-ES_tradnl"/>
        </w:rPr>
        <w:t xml:space="preserve"> a 70.305 migrantes hasta el 13 de agosto de 2014</w:t>
      </w:r>
      <w:r w:rsidR="00056471">
        <w:rPr>
          <w:lang w:val="es-ES_tradnl"/>
        </w:rPr>
        <w:t>. Ese año</w:t>
      </w:r>
      <w:r>
        <w:rPr>
          <w:lang w:val="es-ES_tradnl"/>
        </w:rPr>
        <w:t xml:space="preserve"> estalló </w:t>
      </w:r>
      <w:r w:rsidR="001E391A">
        <w:rPr>
          <w:lang w:val="es-ES_tradnl"/>
        </w:rPr>
        <w:t>la</w:t>
      </w:r>
      <w:r>
        <w:rPr>
          <w:lang w:val="es-ES_tradnl"/>
        </w:rPr>
        <w:t xml:space="preserve"> nueva guerra por la cual el país quedó dividido entre </w:t>
      </w:r>
      <w:r w:rsidR="00D42B4F">
        <w:rPr>
          <w:lang w:val="es-ES_tradnl"/>
        </w:rPr>
        <w:t>diferentes facciones</w:t>
      </w:r>
      <w:r w:rsidR="005D70B9">
        <w:rPr>
          <w:lang w:val="es-ES_tradnl"/>
        </w:rPr>
        <w:t xml:space="preserve">, frente a lo </w:t>
      </w:r>
      <w:r w:rsidR="00F60BC5">
        <w:rPr>
          <w:lang w:val="es-ES_tradnl"/>
        </w:rPr>
        <w:t>cual</w:t>
      </w:r>
      <w:r w:rsidR="005D70B9">
        <w:rPr>
          <w:lang w:val="es-ES_tradnl"/>
        </w:rPr>
        <w:t xml:space="preserve"> </w:t>
      </w:r>
      <w:r w:rsidR="00D42B4F">
        <w:rPr>
          <w:lang w:val="es-ES_tradnl"/>
        </w:rPr>
        <w:t>el Ministerio del Interior italiano registró un aumento de la</w:t>
      </w:r>
      <w:r w:rsidR="001E391A">
        <w:rPr>
          <w:lang w:val="es-ES_tradnl"/>
        </w:rPr>
        <w:t>s</w:t>
      </w:r>
      <w:r w:rsidR="00D42B4F">
        <w:rPr>
          <w:lang w:val="es-ES_tradnl"/>
        </w:rPr>
        <w:t xml:space="preserve"> </w:t>
      </w:r>
      <w:r w:rsidR="001E391A">
        <w:rPr>
          <w:lang w:val="es-ES_tradnl"/>
        </w:rPr>
        <w:t>presiones</w:t>
      </w:r>
      <w:r w:rsidR="00D42B4F">
        <w:rPr>
          <w:lang w:val="es-ES_tradnl"/>
        </w:rPr>
        <w:t xml:space="preserve"> </w:t>
      </w:r>
      <w:r w:rsidR="00B2734C">
        <w:rPr>
          <w:lang w:val="es-ES_tradnl"/>
        </w:rPr>
        <w:t xml:space="preserve">por ingresar </w:t>
      </w:r>
      <w:r w:rsidR="00D42B4F">
        <w:rPr>
          <w:lang w:val="es-ES_tradnl"/>
        </w:rPr>
        <w:t xml:space="preserve">desde Libia, con una permanencia media en el mar de los migrantes de entre 8 y 10 horas a bordo </w:t>
      </w:r>
      <w:r w:rsidR="00163347">
        <w:rPr>
          <w:lang w:val="es-ES_tradnl"/>
        </w:rPr>
        <w:t>de</w:t>
      </w:r>
      <w:r w:rsidR="00D42B4F">
        <w:rPr>
          <w:lang w:val="es-ES_tradnl"/>
        </w:rPr>
        <w:t xml:space="preserve"> embarcaciones sobrecargadas, entre cuyos pasajeros se incluían </w:t>
      </w:r>
      <w:r w:rsidR="00BD6731">
        <w:rPr>
          <w:lang w:val="es-ES_tradnl"/>
        </w:rPr>
        <w:t>mujeres encintas y menores no acompañados.</w:t>
      </w:r>
      <w:r w:rsidR="0062299C">
        <w:rPr>
          <w:lang w:val="es-ES_tradnl"/>
        </w:rPr>
        <w:t xml:space="preserve"> </w:t>
      </w:r>
      <w:r w:rsidR="005D70B9">
        <w:rPr>
          <w:lang w:val="es-ES_tradnl"/>
        </w:rPr>
        <w:t xml:space="preserve">Ingresaron </w:t>
      </w:r>
      <w:r w:rsidR="0062299C">
        <w:rPr>
          <w:lang w:val="es-ES_tradnl"/>
        </w:rPr>
        <w:t xml:space="preserve">a Italia </w:t>
      </w:r>
      <w:r w:rsidR="005D70B9">
        <w:rPr>
          <w:lang w:val="es-ES_tradnl"/>
        </w:rPr>
        <w:t>entre octubre de 2013 y agosto de 2014 un total de</w:t>
      </w:r>
      <w:r w:rsidR="00981284">
        <w:rPr>
          <w:lang w:val="es-ES_tradnl"/>
        </w:rPr>
        <w:t xml:space="preserve"> 116.944 personas, el 81% </w:t>
      </w:r>
      <w:r w:rsidR="005D70B9">
        <w:rPr>
          <w:lang w:val="es-ES_tradnl"/>
        </w:rPr>
        <w:t>a través de</w:t>
      </w:r>
      <w:r w:rsidR="00981284">
        <w:rPr>
          <w:lang w:val="es-ES_tradnl"/>
        </w:rPr>
        <w:t xml:space="preserve"> Sicilia</w:t>
      </w:r>
      <w:r w:rsidR="0062299C">
        <w:rPr>
          <w:rStyle w:val="Refdenotaalpie"/>
          <w:lang w:val="es-ES_tradnl"/>
        </w:rPr>
        <w:footnoteReference w:id="18"/>
      </w:r>
      <w:r w:rsidR="005224B8">
        <w:rPr>
          <w:lang w:val="es-ES_tradnl"/>
        </w:rPr>
        <w:t xml:space="preserve">. </w:t>
      </w:r>
      <w:r w:rsidR="00B2734C">
        <w:rPr>
          <w:lang w:val="es-ES_tradnl"/>
        </w:rPr>
        <w:t>Aunque se suponía que el</w:t>
      </w:r>
      <w:r w:rsidR="00D6286E">
        <w:rPr>
          <w:lang w:val="es-ES_tradnl"/>
        </w:rPr>
        <w:t xml:space="preserve"> papel </w:t>
      </w:r>
      <w:r w:rsidR="00B2734C">
        <w:rPr>
          <w:lang w:val="es-ES_tradnl"/>
        </w:rPr>
        <w:t xml:space="preserve">principal </w:t>
      </w:r>
      <w:r w:rsidR="00D6286E">
        <w:rPr>
          <w:lang w:val="es-ES_tradnl"/>
        </w:rPr>
        <w:t xml:space="preserve">de </w:t>
      </w:r>
      <w:r w:rsidR="00D6286E" w:rsidRPr="001E391A">
        <w:rPr>
          <w:i/>
          <w:iCs/>
          <w:lang w:val="es-ES_tradnl"/>
        </w:rPr>
        <w:t>Mare Nostrum</w:t>
      </w:r>
      <w:r w:rsidR="00D6286E">
        <w:rPr>
          <w:lang w:val="es-ES_tradnl"/>
        </w:rPr>
        <w:t xml:space="preserve"> debía</w:t>
      </w:r>
      <w:r w:rsidR="003B108D">
        <w:rPr>
          <w:lang w:val="es-ES_tradnl"/>
        </w:rPr>
        <w:t xml:space="preserve"> ser </w:t>
      </w:r>
      <w:r w:rsidR="001E391A">
        <w:rPr>
          <w:lang w:val="es-ES_tradnl"/>
        </w:rPr>
        <w:t xml:space="preserve">llevar a efecto </w:t>
      </w:r>
      <w:r w:rsidR="003B108D">
        <w:rPr>
          <w:lang w:val="es-ES_tradnl"/>
        </w:rPr>
        <w:t>acciones de salvataje</w:t>
      </w:r>
      <w:r w:rsidR="00B2734C">
        <w:rPr>
          <w:lang w:val="es-ES_tradnl"/>
        </w:rPr>
        <w:t xml:space="preserve"> y protección, </w:t>
      </w:r>
      <w:r w:rsidR="003B108D">
        <w:rPr>
          <w:lang w:val="es-ES_tradnl"/>
        </w:rPr>
        <w:t xml:space="preserve">el </w:t>
      </w:r>
      <w:r w:rsidR="00A51559">
        <w:rPr>
          <w:lang w:val="es-ES_tradnl"/>
        </w:rPr>
        <w:t>m</w:t>
      </w:r>
      <w:r w:rsidR="003B108D">
        <w:rPr>
          <w:lang w:val="es-ES_tradnl"/>
        </w:rPr>
        <w:t>inistro del Interior italiano, Angelino Alfano</w:t>
      </w:r>
      <w:r w:rsidR="00B2734C">
        <w:rPr>
          <w:lang w:val="es-ES_tradnl"/>
        </w:rPr>
        <w:t>,</w:t>
      </w:r>
      <w:r w:rsidR="003B108D">
        <w:rPr>
          <w:lang w:val="es-ES_tradnl"/>
        </w:rPr>
        <w:t xml:space="preserve"> declaró que las personas socorridas por naves italianas “</w:t>
      </w:r>
      <w:r w:rsidR="003B108D" w:rsidRPr="00B2734C">
        <w:rPr>
          <w:i/>
          <w:iCs/>
          <w:lang w:val="es-ES_tradnl"/>
        </w:rPr>
        <w:t>no serán necesariamente llevadas a Italia”</w:t>
      </w:r>
      <w:r w:rsidR="003B108D">
        <w:rPr>
          <w:lang w:val="es-ES_tradnl"/>
        </w:rPr>
        <w:t xml:space="preserve"> y que el objetivo de </w:t>
      </w:r>
      <w:r w:rsidR="003B108D" w:rsidRPr="00B66C82">
        <w:rPr>
          <w:i/>
          <w:iCs/>
          <w:lang w:val="es-ES_tradnl"/>
        </w:rPr>
        <w:t>Mare Nostrum</w:t>
      </w:r>
      <w:r w:rsidR="003B108D">
        <w:rPr>
          <w:lang w:val="es-ES_tradnl"/>
        </w:rPr>
        <w:t xml:space="preserve"> e</w:t>
      </w:r>
      <w:r w:rsidR="00B2734C">
        <w:rPr>
          <w:lang w:val="es-ES_tradnl"/>
        </w:rPr>
        <w:t>ra</w:t>
      </w:r>
      <w:r w:rsidR="003B108D">
        <w:rPr>
          <w:lang w:val="es-ES_tradnl"/>
        </w:rPr>
        <w:t xml:space="preserve"> </w:t>
      </w:r>
      <w:r w:rsidR="003B108D" w:rsidRPr="00B2734C">
        <w:rPr>
          <w:i/>
          <w:iCs/>
          <w:lang w:val="es-ES_tradnl"/>
        </w:rPr>
        <w:t>“reforzar la protección de la frontera”</w:t>
      </w:r>
      <w:r w:rsidR="003B108D">
        <w:rPr>
          <w:lang w:val="es-ES_tradnl"/>
        </w:rPr>
        <w:t xml:space="preserve"> (</w:t>
      </w:r>
      <w:proofErr w:type="spellStart"/>
      <w:r w:rsidR="003B108D">
        <w:rPr>
          <w:lang w:val="es-ES_tradnl"/>
        </w:rPr>
        <w:t>Gaiani</w:t>
      </w:r>
      <w:proofErr w:type="spellEnd"/>
      <w:r w:rsidR="003B108D">
        <w:rPr>
          <w:lang w:val="es-ES_tradnl"/>
        </w:rPr>
        <w:t xml:space="preserve">, 2013). Por lo tanto, lo que se </w:t>
      </w:r>
      <w:r w:rsidR="00A113BE">
        <w:rPr>
          <w:lang w:val="es-ES_tradnl"/>
        </w:rPr>
        <w:t>presentaba como</w:t>
      </w:r>
      <w:r w:rsidR="003B108D">
        <w:rPr>
          <w:lang w:val="es-ES_tradnl"/>
        </w:rPr>
        <w:t xml:space="preserve"> una misión humanitaria terminó convertida en una operación militar</w:t>
      </w:r>
      <w:r w:rsidR="00A113BE">
        <w:rPr>
          <w:lang w:val="es-ES_tradnl"/>
        </w:rPr>
        <w:t xml:space="preserve"> que privilegió </w:t>
      </w:r>
      <w:r w:rsidR="009554AA">
        <w:rPr>
          <w:lang w:val="es-ES_tradnl"/>
        </w:rPr>
        <w:t>la “</w:t>
      </w:r>
      <w:proofErr w:type="spellStart"/>
      <w:r w:rsidR="009554AA">
        <w:rPr>
          <w:lang w:val="es-ES_tradnl"/>
        </w:rPr>
        <w:t>securitización</w:t>
      </w:r>
      <w:proofErr w:type="spellEnd"/>
      <w:r w:rsidR="009554AA">
        <w:rPr>
          <w:lang w:val="es-ES_tradnl"/>
        </w:rPr>
        <w:t>”</w:t>
      </w:r>
      <w:r w:rsidR="00A113BE">
        <w:rPr>
          <w:lang w:val="es-ES_tradnl"/>
        </w:rPr>
        <w:t xml:space="preserve"> del espacio de exclusión europeo y no la “seguridad” de las personas, muchas de las cuales fueron salvadas en el mar, pero abandonadas a merced de las organizaciones ilegales en un territorio libio sin autoridad unificada.</w:t>
      </w:r>
    </w:p>
    <w:p w14:paraId="779D5B8B" w14:textId="5EF742DB" w:rsidR="00033C8B" w:rsidRDefault="00033C8B" w:rsidP="00F676DF">
      <w:pPr>
        <w:pStyle w:val="NormalWeb"/>
        <w:spacing w:line="360" w:lineRule="auto"/>
        <w:ind w:right="680"/>
        <w:contextualSpacing/>
        <w:jc w:val="both"/>
        <w:rPr>
          <w:lang w:val="es-ES_tradnl"/>
        </w:rPr>
      </w:pPr>
      <w:r>
        <w:rPr>
          <w:lang w:val="es-ES_tradnl"/>
        </w:rPr>
        <w:tab/>
      </w:r>
      <w:r w:rsidR="00A113BE">
        <w:rPr>
          <w:lang w:val="es-ES_tradnl"/>
        </w:rPr>
        <w:t>De la misma forma funcionará</w:t>
      </w:r>
      <w:r>
        <w:rPr>
          <w:lang w:val="es-ES_tradnl"/>
        </w:rPr>
        <w:t xml:space="preserve"> el Memor</w:t>
      </w:r>
      <w:r w:rsidR="00A51559">
        <w:rPr>
          <w:lang w:val="es-ES_tradnl"/>
        </w:rPr>
        <w:t>án</w:t>
      </w:r>
      <w:r>
        <w:rPr>
          <w:lang w:val="es-ES_tradnl"/>
        </w:rPr>
        <w:t xml:space="preserve">dum de Entendimiento sobre la Cooperación en el Campo del Desarrollo, de la Lucha contra la Inmigración Ilegal, el Tráfico de Seres Humanos, el Contrabando y sobre el reforzamiento de la seguridad de las Fronteras firmado entre Italia y el Estado de Libia el 2 de febrero de 2017, </w:t>
      </w:r>
      <w:r w:rsidR="00A113BE">
        <w:rPr>
          <w:lang w:val="es-ES_tradnl"/>
        </w:rPr>
        <w:t xml:space="preserve">a través del cual </w:t>
      </w:r>
      <w:r w:rsidR="00A51559">
        <w:rPr>
          <w:lang w:val="es-ES_tradnl"/>
        </w:rPr>
        <w:t>se renovaron</w:t>
      </w:r>
      <w:r w:rsidR="00A113BE">
        <w:rPr>
          <w:lang w:val="es-ES_tradnl"/>
        </w:rPr>
        <w:t xml:space="preserve"> los términos </w:t>
      </w:r>
      <w:r>
        <w:rPr>
          <w:lang w:val="es-ES_tradnl"/>
        </w:rPr>
        <w:t xml:space="preserve">del acuerdo del año 2008. </w:t>
      </w:r>
      <w:r w:rsidR="00A113BE">
        <w:rPr>
          <w:lang w:val="es-ES_tradnl"/>
        </w:rPr>
        <w:t>En el nuevo memorándum</w:t>
      </w:r>
      <w:r w:rsidR="0033487D">
        <w:rPr>
          <w:lang w:val="es-ES_tradnl"/>
        </w:rPr>
        <w:t>, sin embargo,</w:t>
      </w:r>
      <w:r w:rsidR="00A113BE">
        <w:rPr>
          <w:lang w:val="es-ES_tradnl"/>
        </w:rPr>
        <w:t xml:space="preserve"> </w:t>
      </w:r>
      <w:r w:rsidR="00EF1EDB">
        <w:rPr>
          <w:lang w:val="es-ES_tradnl"/>
        </w:rPr>
        <w:t>la protección de los migrantes</w:t>
      </w:r>
      <w:r w:rsidR="0033487D">
        <w:rPr>
          <w:lang w:val="es-ES_tradnl"/>
        </w:rPr>
        <w:t xml:space="preserve"> resultó ser un tema marginal</w:t>
      </w:r>
      <w:r w:rsidR="00EF1EDB">
        <w:rPr>
          <w:lang w:val="es-ES_tradnl"/>
        </w:rPr>
        <w:t xml:space="preserve">. En realidad, </w:t>
      </w:r>
      <w:r w:rsidR="00A51559">
        <w:rPr>
          <w:lang w:val="es-ES_tradnl"/>
        </w:rPr>
        <w:t>se limitó a</w:t>
      </w:r>
      <w:r w:rsidR="0033487D">
        <w:rPr>
          <w:lang w:val="es-ES_tradnl"/>
        </w:rPr>
        <w:t xml:space="preserve"> proclamar </w:t>
      </w:r>
      <w:r w:rsidR="00EF1EDB">
        <w:rPr>
          <w:lang w:val="es-ES_tradnl"/>
        </w:rPr>
        <w:t>la cooperación</w:t>
      </w:r>
      <w:r w:rsidR="0033487D">
        <w:rPr>
          <w:lang w:val="es-ES_tradnl"/>
        </w:rPr>
        <w:t xml:space="preserve"> entre ambos países</w:t>
      </w:r>
      <w:r w:rsidR="00EF1EDB">
        <w:rPr>
          <w:lang w:val="es-ES_tradnl"/>
        </w:rPr>
        <w:t xml:space="preserve"> para </w:t>
      </w:r>
      <w:r w:rsidR="00EF1EDB" w:rsidRPr="0033487D">
        <w:rPr>
          <w:i/>
          <w:iCs/>
          <w:lang w:val="es-ES_tradnl"/>
        </w:rPr>
        <w:t xml:space="preserve">“sostener a las instituciones de seguridad </w:t>
      </w:r>
      <w:r w:rsidR="0033487D">
        <w:rPr>
          <w:i/>
          <w:iCs/>
          <w:lang w:val="es-ES_tradnl"/>
        </w:rPr>
        <w:t>y</w:t>
      </w:r>
      <w:r w:rsidR="00EF1EDB" w:rsidRPr="0033487D">
        <w:rPr>
          <w:i/>
          <w:iCs/>
          <w:lang w:val="es-ES_tradnl"/>
        </w:rPr>
        <w:t xml:space="preserve"> militares con el fin de frenar los flujos de migrantes ilegales”</w:t>
      </w:r>
      <w:r w:rsidR="00EF1EDB">
        <w:rPr>
          <w:lang w:val="es-ES_tradnl"/>
        </w:rPr>
        <w:t xml:space="preserve">, comprometiéndose Italia a </w:t>
      </w:r>
      <w:r w:rsidR="00EF1EDB" w:rsidRPr="0033487D">
        <w:rPr>
          <w:i/>
          <w:iCs/>
          <w:lang w:val="es-ES_tradnl"/>
        </w:rPr>
        <w:t>“proveer apoyo técnico y tecnológico a los organismos libios encargados de la lucha contra la inmigración clandestina”</w:t>
      </w:r>
      <w:r w:rsidR="00EF1EDB">
        <w:rPr>
          <w:lang w:val="es-ES_tradnl"/>
        </w:rPr>
        <w:t xml:space="preserve"> y a financiar </w:t>
      </w:r>
      <w:r w:rsidR="00EF1EDB" w:rsidRPr="00B66C82">
        <w:rPr>
          <w:i/>
          <w:iCs/>
          <w:lang w:val="es-ES_tradnl"/>
        </w:rPr>
        <w:t>“los centro</w:t>
      </w:r>
      <w:r w:rsidR="00806196" w:rsidRPr="00B66C82">
        <w:rPr>
          <w:i/>
          <w:iCs/>
          <w:lang w:val="es-ES_tradnl"/>
        </w:rPr>
        <w:t>s</w:t>
      </w:r>
      <w:r w:rsidR="00EF1EDB" w:rsidRPr="00B66C82">
        <w:rPr>
          <w:i/>
          <w:iCs/>
          <w:lang w:val="es-ES_tradnl"/>
        </w:rPr>
        <w:t xml:space="preserve"> de acogida</w:t>
      </w:r>
      <w:r w:rsidR="00806196" w:rsidRPr="00B66C82">
        <w:rPr>
          <w:i/>
          <w:iCs/>
          <w:lang w:val="es-ES_tradnl"/>
        </w:rPr>
        <w:t>”</w:t>
      </w:r>
      <w:r w:rsidR="0033487D">
        <w:rPr>
          <w:lang w:val="es-ES_tradnl"/>
        </w:rPr>
        <w:t xml:space="preserve">, contribuyendo a la </w:t>
      </w:r>
      <w:r w:rsidR="00806196">
        <w:rPr>
          <w:lang w:val="es-ES_tradnl"/>
        </w:rPr>
        <w:t>provisión de asistencia sanitaria</w:t>
      </w:r>
      <w:r w:rsidR="00806196">
        <w:rPr>
          <w:rStyle w:val="Refdenotaalpie"/>
          <w:lang w:val="es-ES_tradnl"/>
        </w:rPr>
        <w:footnoteReference w:id="19"/>
      </w:r>
      <w:r w:rsidR="00806196">
        <w:rPr>
          <w:lang w:val="es-ES_tradnl"/>
        </w:rPr>
        <w:t xml:space="preserve">.  </w:t>
      </w:r>
      <w:r w:rsidR="0063575D">
        <w:rPr>
          <w:lang w:val="es-ES_tradnl"/>
        </w:rPr>
        <w:t>La vigencia del memorándum fue prorrogada por tres años a su vencimiento en el año 2020</w:t>
      </w:r>
      <w:r w:rsidR="00806196">
        <w:rPr>
          <w:lang w:val="es-ES_tradnl"/>
        </w:rPr>
        <w:t xml:space="preserve">, </w:t>
      </w:r>
      <w:r w:rsidR="0063575D">
        <w:rPr>
          <w:lang w:val="es-ES_tradnl"/>
        </w:rPr>
        <w:t>pero los resultados que tuvo en materia humanitaria han llevado a que se impulsaran campañas para evitar una nueva prórroga</w:t>
      </w:r>
      <w:r w:rsidR="00B66C82">
        <w:rPr>
          <w:lang w:val="es-ES_tradnl"/>
        </w:rPr>
        <w:t>, dado</w:t>
      </w:r>
      <w:r w:rsidR="0063575D">
        <w:rPr>
          <w:lang w:val="es-ES_tradnl"/>
        </w:rPr>
        <w:t xml:space="preserve"> </w:t>
      </w:r>
      <w:r w:rsidR="00806196">
        <w:rPr>
          <w:lang w:val="es-ES_tradnl"/>
        </w:rPr>
        <w:t xml:space="preserve">que </w:t>
      </w:r>
      <w:r w:rsidR="00533285">
        <w:rPr>
          <w:lang w:val="es-ES_tradnl"/>
        </w:rPr>
        <w:t>s</w:t>
      </w:r>
      <w:r w:rsidR="00EF1170">
        <w:rPr>
          <w:lang w:val="es-ES_tradnl"/>
        </w:rPr>
        <w:t xml:space="preserve">u puesta en práctica implicó la intercepción de más de 85.000 personas en el </w:t>
      </w:r>
      <w:r w:rsidR="00EF1170">
        <w:rPr>
          <w:lang w:val="es-ES_tradnl"/>
        </w:rPr>
        <w:lastRenderedPageBreak/>
        <w:t>mar y su devolución a Libia, en donde han sido sometid</w:t>
      </w:r>
      <w:r w:rsidR="000A2521">
        <w:rPr>
          <w:lang w:val="es-ES_tradnl"/>
        </w:rPr>
        <w:t>a</w:t>
      </w:r>
      <w:r w:rsidR="00EF1170">
        <w:rPr>
          <w:lang w:val="es-ES_tradnl"/>
        </w:rPr>
        <w:t>s a detenciones, tortura, abusos sexuales y trabajos forzados</w:t>
      </w:r>
      <w:r w:rsidR="00EF1170">
        <w:rPr>
          <w:rStyle w:val="Refdenotaalpie"/>
          <w:lang w:val="es-ES_tradnl"/>
        </w:rPr>
        <w:footnoteReference w:id="20"/>
      </w:r>
      <w:r w:rsidR="00751E3A">
        <w:rPr>
          <w:lang w:val="es-ES_tradnl"/>
        </w:rPr>
        <w:t>.</w:t>
      </w:r>
    </w:p>
    <w:p w14:paraId="14AE060A" w14:textId="732A76E9" w:rsidR="00DD5B15" w:rsidRDefault="00DD5B15" w:rsidP="00F676DF">
      <w:pPr>
        <w:pStyle w:val="NormalWeb"/>
        <w:spacing w:line="360" w:lineRule="auto"/>
        <w:ind w:right="680"/>
        <w:contextualSpacing/>
        <w:jc w:val="both"/>
        <w:rPr>
          <w:lang w:val="es-ES_tradnl"/>
        </w:rPr>
      </w:pPr>
    </w:p>
    <w:p w14:paraId="3F20BB36" w14:textId="19189C7C" w:rsidR="00DD5B15" w:rsidRDefault="00DD5B15" w:rsidP="00F676DF">
      <w:pPr>
        <w:pStyle w:val="NormalWeb"/>
        <w:spacing w:line="360" w:lineRule="auto"/>
        <w:ind w:right="680"/>
        <w:contextualSpacing/>
        <w:jc w:val="both"/>
        <w:rPr>
          <w:b/>
          <w:bCs/>
          <w:lang w:val="es-ES_tradnl"/>
        </w:rPr>
      </w:pPr>
      <w:r>
        <w:rPr>
          <w:b/>
          <w:bCs/>
          <w:lang w:val="es-ES_tradnl"/>
        </w:rPr>
        <w:t>Conclusiones</w:t>
      </w:r>
    </w:p>
    <w:p w14:paraId="1795D84B" w14:textId="1D0A4423" w:rsidR="00C44257" w:rsidRDefault="00DD5B15" w:rsidP="00F676DF">
      <w:pPr>
        <w:pStyle w:val="NormalWeb"/>
        <w:spacing w:line="360" w:lineRule="auto"/>
        <w:ind w:right="680"/>
        <w:contextualSpacing/>
        <w:jc w:val="both"/>
        <w:rPr>
          <w:lang w:val="es-ES_tradnl"/>
        </w:rPr>
      </w:pPr>
      <w:r>
        <w:rPr>
          <w:lang w:val="es-ES_tradnl"/>
        </w:rPr>
        <w:tab/>
      </w:r>
      <w:r w:rsidR="008368D7">
        <w:rPr>
          <w:lang w:val="es-ES_tradnl"/>
        </w:rPr>
        <w:t xml:space="preserve">Con el éxito </w:t>
      </w:r>
      <w:r w:rsidR="0013559B">
        <w:rPr>
          <w:lang w:val="es-ES_tradnl"/>
        </w:rPr>
        <w:t>en la reducción de las migraciones marítimas que se alcanzó como resultado de</w:t>
      </w:r>
      <w:r w:rsidR="008368D7">
        <w:rPr>
          <w:lang w:val="es-ES_tradnl"/>
        </w:rPr>
        <w:t xml:space="preserve"> las operaciones de </w:t>
      </w:r>
      <w:r w:rsidR="0013559B">
        <w:rPr>
          <w:lang w:val="es-ES_tradnl"/>
        </w:rPr>
        <w:t>patrullaje</w:t>
      </w:r>
      <w:r w:rsidR="008368D7">
        <w:rPr>
          <w:lang w:val="es-ES_tradnl"/>
        </w:rPr>
        <w:t xml:space="preserve"> en el oeste y el noroeste de África</w:t>
      </w:r>
      <w:r w:rsidR="0013559B">
        <w:rPr>
          <w:lang w:val="es-ES_tradnl"/>
        </w:rPr>
        <w:t xml:space="preserve"> durante la primera década de este siglo</w:t>
      </w:r>
      <w:r w:rsidR="008368D7">
        <w:rPr>
          <w:lang w:val="es-ES_tradnl"/>
        </w:rPr>
        <w:t xml:space="preserve">, Libia se convirtió en el punto de partida </w:t>
      </w:r>
      <w:r w:rsidR="009B2C40">
        <w:rPr>
          <w:lang w:val="es-ES_tradnl"/>
        </w:rPr>
        <w:t>preferido</w:t>
      </w:r>
      <w:r w:rsidR="008368D7">
        <w:rPr>
          <w:lang w:val="es-ES_tradnl"/>
        </w:rPr>
        <w:t xml:space="preserve"> para </w:t>
      </w:r>
      <w:r w:rsidR="00A8437B">
        <w:rPr>
          <w:lang w:val="es-ES_tradnl"/>
        </w:rPr>
        <w:t xml:space="preserve">los desplazados de este continente que buscaban llegar </w:t>
      </w:r>
      <w:r w:rsidR="0013559B">
        <w:rPr>
          <w:lang w:val="es-ES_tradnl"/>
        </w:rPr>
        <w:t>a Europa</w:t>
      </w:r>
      <w:r w:rsidR="00A8437B">
        <w:rPr>
          <w:lang w:val="es-ES_tradnl"/>
        </w:rPr>
        <w:t xml:space="preserve">. La situación económica y </w:t>
      </w:r>
      <w:r w:rsidR="001E391A">
        <w:rPr>
          <w:lang w:val="es-ES_tradnl"/>
        </w:rPr>
        <w:t>los embargos que aplicó a este país la comunidad internacional</w:t>
      </w:r>
      <w:r w:rsidR="00A8437B">
        <w:rPr>
          <w:lang w:val="es-ES_tradnl"/>
        </w:rPr>
        <w:t>, recién levantado</w:t>
      </w:r>
      <w:r w:rsidR="001E391A">
        <w:rPr>
          <w:lang w:val="es-ES_tradnl"/>
        </w:rPr>
        <w:t>s</w:t>
      </w:r>
      <w:r w:rsidR="00A8437B">
        <w:rPr>
          <w:lang w:val="es-ES_tradnl"/>
        </w:rPr>
        <w:t xml:space="preserve"> totalmente en el año 2004, llevaron a que el que fuera un territorio atractivo para la inmigración por su actividad petrolera</w:t>
      </w:r>
      <w:r w:rsidR="00D77B64">
        <w:rPr>
          <w:lang w:val="es-ES_tradnl"/>
        </w:rPr>
        <w:t xml:space="preserve"> </w:t>
      </w:r>
      <w:r w:rsidR="00A8437B">
        <w:rPr>
          <w:lang w:val="es-ES_tradnl"/>
        </w:rPr>
        <w:t xml:space="preserve">se convirtiera </w:t>
      </w:r>
      <w:r w:rsidR="0013559B">
        <w:rPr>
          <w:lang w:val="es-ES_tradnl"/>
        </w:rPr>
        <w:t xml:space="preserve">principalmente </w:t>
      </w:r>
      <w:r w:rsidR="00A8437B">
        <w:rPr>
          <w:lang w:val="es-ES_tradnl"/>
        </w:rPr>
        <w:t xml:space="preserve">en </w:t>
      </w:r>
      <w:r w:rsidR="00AD56E6">
        <w:rPr>
          <w:lang w:val="es-ES_tradnl"/>
        </w:rPr>
        <w:t>un espacio de tránsito</w:t>
      </w:r>
      <w:r w:rsidR="000B1925">
        <w:rPr>
          <w:lang w:val="es-ES_tradnl"/>
        </w:rPr>
        <w:t xml:space="preserve">. Su ubicación como </w:t>
      </w:r>
      <w:r w:rsidR="00D77B64">
        <w:rPr>
          <w:lang w:val="es-ES_tradnl"/>
        </w:rPr>
        <w:t>escenario</w:t>
      </w:r>
      <w:r w:rsidR="000B1925">
        <w:rPr>
          <w:lang w:val="es-ES_tradnl"/>
        </w:rPr>
        <w:t xml:space="preserve"> de entrecruzamiento en el que </w:t>
      </w:r>
      <w:r w:rsidR="00537C59">
        <w:rPr>
          <w:lang w:val="es-ES_tradnl"/>
        </w:rPr>
        <w:t xml:space="preserve">históricamente </w:t>
      </w:r>
      <w:r w:rsidR="00D77B64">
        <w:rPr>
          <w:lang w:val="es-ES_tradnl"/>
        </w:rPr>
        <w:t>convergieron</w:t>
      </w:r>
      <w:r w:rsidR="00537C59">
        <w:rPr>
          <w:lang w:val="es-ES_tradnl"/>
        </w:rPr>
        <w:t xml:space="preserve"> </w:t>
      </w:r>
      <w:r w:rsidR="000B1925">
        <w:rPr>
          <w:lang w:val="es-ES_tradnl"/>
        </w:rPr>
        <w:t>desplazados de las diferentes regiones africanas</w:t>
      </w:r>
      <w:r w:rsidR="00537C59">
        <w:rPr>
          <w:lang w:val="es-ES_tradnl"/>
        </w:rPr>
        <w:t xml:space="preserve"> </w:t>
      </w:r>
      <w:r w:rsidR="00D77B64">
        <w:rPr>
          <w:lang w:val="es-ES_tradnl"/>
        </w:rPr>
        <w:t xml:space="preserve">circundantes </w:t>
      </w:r>
      <w:r w:rsidR="00537C59">
        <w:rPr>
          <w:lang w:val="es-ES_tradnl"/>
        </w:rPr>
        <w:t xml:space="preserve">propició este papel, el cual se vio acentuado tras la Primera Árabe. Ante las guerras civiles y </w:t>
      </w:r>
      <w:r w:rsidR="00D77B64">
        <w:rPr>
          <w:lang w:val="es-ES_tradnl"/>
        </w:rPr>
        <w:t>la ingobernabilidad</w:t>
      </w:r>
      <w:r w:rsidR="00537C59">
        <w:rPr>
          <w:lang w:val="es-ES_tradnl"/>
        </w:rPr>
        <w:t xml:space="preserve"> en </w:t>
      </w:r>
      <w:r w:rsidR="00D77B64">
        <w:rPr>
          <w:lang w:val="es-ES_tradnl"/>
        </w:rPr>
        <w:t xml:space="preserve">las </w:t>
      </w:r>
      <w:r w:rsidR="00537C59">
        <w:rPr>
          <w:lang w:val="es-ES_tradnl"/>
        </w:rPr>
        <w:t xml:space="preserve">que se vio sumergido el país, el apremio de los </w:t>
      </w:r>
      <w:r w:rsidR="00D77B64">
        <w:rPr>
          <w:lang w:val="es-ES_tradnl"/>
        </w:rPr>
        <w:t>desplazados</w:t>
      </w:r>
      <w:r w:rsidR="00537C59">
        <w:rPr>
          <w:lang w:val="es-ES_tradnl"/>
        </w:rPr>
        <w:t xml:space="preserve"> por llegar a las costas mediterráneas se hizo cada vez mayor</w:t>
      </w:r>
      <w:r w:rsidR="00C44257">
        <w:rPr>
          <w:lang w:val="es-ES_tradnl"/>
        </w:rPr>
        <w:t xml:space="preserve"> y los propios libios se sumaron a la masa de emigrantes.</w:t>
      </w:r>
    </w:p>
    <w:p w14:paraId="409CF576" w14:textId="1DE138B4" w:rsidR="005C47E8" w:rsidRDefault="00537C59" w:rsidP="00F676DF">
      <w:pPr>
        <w:pStyle w:val="NormalWeb"/>
        <w:spacing w:line="360" w:lineRule="auto"/>
        <w:ind w:right="680"/>
        <w:contextualSpacing/>
        <w:jc w:val="both"/>
        <w:rPr>
          <w:lang w:val="es-ES_tradnl"/>
        </w:rPr>
      </w:pPr>
      <w:r>
        <w:rPr>
          <w:lang w:val="es-ES_tradnl"/>
        </w:rPr>
        <w:tab/>
        <w:t>La actuación de organizaciones delictivas de tráfico de personas</w:t>
      </w:r>
      <w:r w:rsidR="005378B2">
        <w:rPr>
          <w:lang w:val="es-ES_tradnl"/>
        </w:rPr>
        <w:t xml:space="preserve"> y</w:t>
      </w:r>
      <w:r>
        <w:rPr>
          <w:lang w:val="es-ES_tradnl"/>
        </w:rPr>
        <w:t xml:space="preserve"> </w:t>
      </w:r>
      <w:r w:rsidR="00C44257">
        <w:rPr>
          <w:lang w:val="es-ES_tradnl"/>
        </w:rPr>
        <w:t>l</w:t>
      </w:r>
      <w:r>
        <w:rPr>
          <w:lang w:val="es-ES_tradnl"/>
        </w:rPr>
        <w:t xml:space="preserve">a connivencia de </w:t>
      </w:r>
      <w:r w:rsidR="00D77B64">
        <w:rPr>
          <w:lang w:val="es-ES_tradnl"/>
        </w:rPr>
        <w:t>la policía y los funcionarios</w:t>
      </w:r>
      <w:r>
        <w:rPr>
          <w:lang w:val="es-ES_tradnl"/>
        </w:rPr>
        <w:t xml:space="preserve"> llev</w:t>
      </w:r>
      <w:r w:rsidR="00D77B64">
        <w:rPr>
          <w:lang w:val="es-ES_tradnl"/>
        </w:rPr>
        <w:t>aron</w:t>
      </w:r>
      <w:r>
        <w:rPr>
          <w:lang w:val="es-ES_tradnl"/>
        </w:rPr>
        <w:t xml:space="preserve">, sin embargo, a que este espacio se transformara en un </w:t>
      </w:r>
      <w:r w:rsidR="0067469F">
        <w:rPr>
          <w:lang w:val="es-ES_tradnl"/>
        </w:rPr>
        <w:t xml:space="preserve">riesgoso </w:t>
      </w:r>
      <w:r>
        <w:rPr>
          <w:lang w:val="es-ES_tradnl"/>
        </w:rPr>
        <w:t xml:space="preserve">camino </w:t>
      </w:r>
      <w:r w:rsidR="0067469F">
        <w:rPr>
          <w:lang w:val="es-ES_tradnl"/>
        </w:rPr>
        <w:t xml:space="preserve">para los </w:t>
      </w:r>
      <w:r w:rsidR="0048398E">
        <w:rPr>
          <w:lang w:val="es-ES_tradnl"/>
        </w:rPr>
        <w:t>desplazados</w:t>
      </w:r>
      <w:r>
        <w:rPr>
          <w:lang w:val="es-ES_tradnl"/>
        </w:rPr>
        <w:t xml:space="preserve">. </w:t>
      </w:r>
      <w:r w:rsidR="00C44257">
        <w:rPr>
          <w:lang w:val="es-ES_tradnl"/>
        </w:rPr>
        <w:t xml:space="preserve">Frente a ello, la Unión Europea y, en este caso particular, Italia, </w:t>
      </w:r>
      <w:r w:rsidR="002B2908">
        <w:rPr>
          <w:lang w:val="es-ES_tradnl"/>
        </w:rPr>
        <w:t xml:space="preserve">se presentaron como garantes de la protección </w:t>
      </w:r>
      <w:r w:rsidR="003F20E7">
        <w:rPr>
          <w:lang w:val="es-ES_tradnl"/>
        </w:rPr>
        <w:t xml:space="preserve">de los </w:t>
      </w:r>
      <w:r w:rsidR="0048398E">
        <w:rPr>
          <w:lang w:val="es-ES_tradnl"/>
        </w:rPr>
        <w:t>migrante</w:t>
      </w:r>
      <w:r w:rsidR="003F20E7">
        <w:rPr>
          <w:lang w:val="es-ES_tradnl"/>
        </w:rPr>
        <w:t>s</w:t>
      </w:r>
      <w:r w:rsidR="005378B2">
        <w:rPr>
          <w:lang w:val="es-ES_tradnl"/>
        </w:rPr>
        <w:t>, al menos</w:t>
      </w:r>
      <w:r w:rsidR="003F20E7">
        <w:rPr>
          <w:lang w:val="es-ES_tradnl"/>
        </w:rPr>
        <w:t xml:space="preserve"> en la última parte del trayecto, o sea, el cruce del mar que separa a ambos continentes. </w:t>
      </w:r>
      <w:r w:rsidR="00231192">
        <w:rPr>
          <w:lang w:val="es-ES_tradnl"/>
        </w:rPr>
        <w:t>De todos modos</w:t>
      </w:r>
      <w:r w:rsidR="003F20E7">
        <w:rPr>
          <w:lang w:val="es-ES_tradnl"/>
        </w:rPr>
        <w:t xml:space="preserve">, con los tratados firmados por este país con Libia, tanto en los tiempos de Gadafi como tras su derrocamiento, las medidas puestas en práctica se concentraron en un objetivo: </w:t>
      </w:r>
      <w:r w:rsidR="002C27AD">
        <w:rPr>
          <w:lang w:val="es-ES_tradnl"/>
        </w:rPr>
        <w:t xml:space="preserve">controlar </w:t>
      </w:r>
      <w:r w:rsidR="005378B2">
        <w:rPr>
          <w:lang w:val="es-ES_tradnl"/>
        </w:rPr>
        <w:t>las</w:t>
      </w:r>
      <w:r w:rsidR="003F20E7">
        <w:rPr>
          <w:lang w:val="es-ES_tradnl"/>
        </w:rPr>
        <w:t xml:space="preserve"> fronteras. Las operaciones de “</w:t>
      </w:r>
      <w:proofErr w:type="spellStart"/>
      <w:r w:rsidR="003F20E7">
        <w:rPr>
          <w:lang w:val="es-ES_tradnl"/>
        </w:rPr>
        <w:t>securitización</w:t>
      </w:r>
      <w:proofErr w:type="spellEnd"/>
      <w:r w:rsidR="003F20E7">
        <w:rPr>
          <w:lang w:val="es-ES_tradnl"/>
        </w:rPr>
        <w:t xml:space="preserve">” tuvieron como finalidad principal </w:t>
      </w:r>
      <w:r w:rsidR="002C27AD">
        <w:rPr>
          <w:lang w:val="es-ES_tradnl"/>
        </w:rPr>
        <w:t>no la protección de los desplazados, sino la protección del espacio europeo. Por ello</w:t>
      </w:r>
      <w:r w:rsidR="006305EB">
        <w:rPr>
          <w:lang w:val="es-ES_tradnl"/>
        </w:rPr>
        <w:t xml:space="preserve"> es que el </w:t>
      </w:r>
      <w:r w:rsidR="005378B2">
        <w:rPr>
          <w:lang w:val="es-ES_tradnl"/>
        </w:rPr>
        <w:t>recorrido</w:t>
      </w:r>
      <w:r w:rsidR="006305EB">
        <w:rPr>
          <w:lang w:val="es-ES_tradnl"/>
        </w:rPr>
        <w:t xml:space="preserve"> de Libia a Italia ha sido calificado como “el cementerio del Mediterráneo”, con 24.646 desaparecidos en los últimos ocho años. Y esto es solamente en el mar porque </w:t>
      </w:r>
      <w:r w:rsidR="0067469F">
        <w:rPr>
          <w:lang w:val="es-ES_tradnl"/>
        </w:rPr>
        <w:t xml:space="preserve">no hay registros </w:t>
      </w:r>
      <w:r w:rsidR="005378B2">
        <w:rPr>
          <w:lang w:val="es-ES_tradnl"/>
        </w:rPr>
        <w:t>que permitan</w:t>
      </w:r>
      <w:r w:rsidR="0067469F">
        <w:rPr>
          <w:lang w:val="es-ES_tradnl"/>
        </w:rPr>
        <w:t xml:space="preserve"> conocer fehacientemente la suerte de</w:t>
      </w:r>
      <w:r w:rsidR="006305EB">
        <w:rPr>
          <w:lang w:val="es-ES_tradnl"/>
        </w:rPr>
        <w:t xml:space="preserve"> los interceptados por las patrullas europeas </w:t>
      </w:r>
      <w:r w:rsidR="00D77B64">
        <w:rPr>
          <w:lang w:val="es-ES_tradnl"/>
        </w:rPr>
        <w:t>y</w:t>
      </w:r>
      <w:r w:rsidR="006305EB">
        <w:rPr>
          <w:lang w:val="es-ES_tradnl"/>
        </w:rPr>
        <w:t xml:space="preserve"> devueltos a tierras libias</w:t>
      </w:r>
      <w:r w:rsidR="00D77B64">
        <w:rPr>
          <w:lang w:val="es-ES_tradnl"/>
        </w:rPr>
        <w:t xml:space="preserve"> para ser puestos </w:t>
      </w:r>
      <w:r w:rsidR="006305EB">
        <w:rPr>
          <w:lang w:val="es-ES_tradnl"/>
        </w:rPr>
        <w:t>a merced de traficantes ilegales</w:t>
      </w:r>
      <w:r w:rsidR="0067469F">
        <w:rPr>
          <w:lang w:val="es-ES_tradnl"/>
        </w:rPr>
        <w:t xml:space="preserve"> y autoridades corruptas</w:t>
      </w:r>
      <w:r w:rsidR="00D77B64">
        <w:rPr>
          <w:lang w:val="es-ES_tradnl"/>
        </w:rPr>
        <w:t xml:space="preserve">. </w:t>
      </w:r>
      <w:r w:rsidR="00A73D15">
        <w:rPr>
          <w:lang w:val="es-ES_tradnl"/>
        </w:rPr>
        <w:t xml:space="preserve">Esto contradice </w:t>
      </w:r>
      <w:r w:rsidR="00417B5C">
        <w:rPr>
          <w:lang w:val="es-ES_tradnl"/>
        </w:rPr>
        <w:t xml:space="preserve">uno de los principales </w:t>
      </w:r>
      <w:r w:rsidR="0048398E">
        <w:rPr>
          <w:lang w:val="es-ES_tradnl"/>
        </w:rPr>
        <w:t>objetivos declarados</w:t>
      </w:r>
      <w:r w:rsidR="00A73D15">
        <w:rPr>
          <w:lang w:val="es-ES_tradnl"/>
        </w:rPr>
        <w:t xml:space="preserve"> de los acuerdos </w:t>
      </w:r>
      <w:r w:rsidR="00D77B64">
        <w:rPr>
          <w:lang w:val="es-ES_tradnl"/>
        </w:rPr>
        <w:t xml:space="preserve">de cooperación y </w:t>
      </w:r>
      <w:r w:rsidR="00A73D15">
        <w:rPr>
          <w:lang w:val="es-ES_tradnl"/>
        </w:rPr>
        <w:t xml:space="preserve">de las operaciones </w:t>
      </w:r>
      <w:r w:rsidR="00A73D15">
        <w:rPr>
          <w:lang w:val="es-ES_tradnl"/>
        </w:rPr>
        <w:lastRenderedPageBreak/>
        <w:t>de FRONTEX, tanto</w:t>
      </w:r>
      <w:r w:rsidR="00D77B64">
        <w:rPr>
          <w:lang w:val="es-ES_tradnl"/>
        </w:rPr>
        <w:t xml:space="preserve"> </w:t>
      </w:r>
      <w:r w:rsidR="005C47E8" w:rsidRPr="00D77B64">
        <w:rPr>
          <w:i/>
          <w:iCs/>
          <w:lang w:val="es-ES_tradnl"/>
        </w:rPr>
        <w:t>Mare Nostrum</w:t>
      </w:r>
      <w:r w:rsidR="00D77B64">
        <w:rPr>
          <w:lang w:val="es-ES_tradnl"/>
        </w:rPr>
        <w:t xml:space="preserve"> como </w:t>
      </w:r>
      <w:r w:rsidR="00A73D15">
        <w:rPr>
          <w:lang w:val="es-ES_tradnl"/>
        </w:rPr>
        <w:t xml:space="preserve">las posteriores </w:t>
      </w:r>
      <w:r w:rsidR="005C47E8" w:rsidRPr="00D77B64">
        <w:rPr>
          <w:i/>
          <w:iCs/>
          <w:lang w:val="es-ES_tradnl"/>
        </w:rPr>
        <w:t>Tritón</w:t>
      </w:r>
      <w:r w:rsidR="00A73D15">
        <w:rPr>
          <w:lang w:val="es-ES_tradnl"/>
        </w:rPr>
        <w:t xml:space="preserve">, </w:t>
      </w:r>
      <w:proofErr w:type="spellStart"/>
      <w:r w:rsidR="005C47E8" w:rsidRPr="00D77B64">
        <w:rPr>
          <w:i/>
          <w:iCs/>
          <w:lang w:val="es-ES_tradnl"/>
        </w:rPr>
        <w:t>Sophia</w:t>
      </w:r>
      <w:proofErr w:type="spellEnd"/>
      <w:r w:rsidR="005C47E8">
        <w:rPr>
          <w:lang w:val="es-ES_tradnl"/>
        </w:rPr>
        <w:t xml:space="preserve"> </w:t>
      </w:r>
      <w:r w:rsidR="00A73D15">
        <w:rPr>
          <w:lang w:val="es-ES_tradnl"/>
        </w:rPr>
        <w:t xml:space="preserve">y </w:t>
      </w:r>
      <w:r w:rsidR="00A73D15">
        <w:rPr>
          <w:i/>
          <w:iCs/>
          <w:lang w:val="es-ES_tradnl"/>
        </w:rPr>
        <w:t>Themis</w:t>
      </w:r>
      <w:r w:rsidR="005378B2">
        <w:rPr>
          <w:i/>
          <w:iCs/>
          <w:lang w:val="es-ES_tradnl"/>
        </w:rPr>
        <w:t xml:space="preserve">, </w:t>
      </w:r>
      <w:r w:rsidR="00417B5C">
        <w:rPr>
          <w:lang w:val="es-ES_tradnl"/>
        </w:rPr>
        <w:t xml:space="preserve">que es luchar contra </w:t>
      </w:r>
      <w:r w:rsidR="005C47E8">
        <w:rPr>
          <w:lang w:val="es-ES_tradnl"/>
        </w:rPr>
        <w:t>las redes de tráfico de personas</w:t>
      </w:r>
      <w:r w:rsidR="00A73D15">
        <w:rPr>
          <w:lang w:val="es-ES_tradnl"/>
        </w:rPr>
        <w:t xml:space="preserve"> y no poner migrantes a </w:t>
      </w:r>
      <w:r w:rsidR="00231192">
        <w:rPr>
          <w:lang w:val="es-ES_tradnl"/>
        </w:rPr>
        <w:t>su disposición.</w:t>
      </w:r>
    </w:p>
    <w:p w14:paraId="3B17480E" w14:textId="02EF7114" w:rsidR="00A73D15" w:rsidRPr="00B27470" w:rsidRDefault="005C47E8" w:rsidP="00F676DF">
      <w:pPr>
        <w:pStyle w:val="NormalWeb"/>
        <w:spacing w:line="360" w:lineRule="auto"/>
        <w:ind w:right="680"/>
        <w:contextualSpacing/>
        <w:jc w:val="both"/>
        <w:rPr>
          <w:lang w:val="es-ES_tradnl"/>
        </w:rPr>
      </w:pPr>
      <w:r>
        <w:rPr>
          <w:lang w:val="es-ES_tradnl"/>
        </w:rPr>
        <w:tab/>
      </w:r>
      <w:r w:rsidR="00FF0B2B">
        <w:rPr>
          <w:lang w:val="es-ES_tradnl"/>
        </w:rPr>
        <w:t>Se calcula que unas</w:t>
      </w:r>
      <w:r>
        <w:rPr>
          <w:lang w:val="es-ES_tradnl"/>
        </w:rPr>
        <w:t xml:space="preserve"> 40.000 personas </w:t>
      </w:r>
      <w:r w:rsidR="00FF0B2B">
        <w:rPr>
          <w:lang w:val="es-ES_tradnl"/>
        </w:rPr>
        <w:t>por año han</w:t>
      </w:r>
      <w:r>
        <w:rPr>
          <w:lang w:val="es-ES_tradnl"/>
        </w:rPr>
        <w:t xml:space="preserve"> intenta</w:t>
      </w:r>
      <w:r w:rsidR="00FF0B2B">
        <w:rPr>
          <w:lang w:val="es-ES_tradnl"/>
        </w:rPr>
        <w:t xml:space="preserve">do </w:t>
      </w:r>
      <w:r>
        <w:rPr>
          <w:lang w:val="es-ES_tradnl"/>
        </w:rPr>
        <w:t xml:space="preserve">llegar a las costas europeas </w:t>
      </w:r>
      <w:r w:rsidR="00FF0B2B">
        <w:rPr>
          <w:lang w:val="es-ES_tradnl"/>
        </w:rPr>
        <w:t>a partir del</w:t>
      </w:r>
      <w:r>
        <w:rPr>
          <w:lang w:val="es-ES_tradnl"/>
        </w:rPr>
        <w:t xml:space="preserve"> </w:t>
      </w:r>
      <w:r w:rsidR="005378B2">
        <w:rPr>
          <w:lang w:val="es-ES_tradnl"/>
        </w:rPr>
        <w:t xml:space="preserve">territorio libio </w:t>
      </w:r>
      <w:r w:rsidR="00FF0B2B">
        <w:rPr>
          <w:lang w:val="es-ES_tradnl"/>
        </w:rPr>
        <w:t>desde los inicios del presente siglo.</w:t>
      </w:r>
      <w:r>
        <w:rPr>
          <w:lang w:val="es-ES_tradnl"/>
        </w:rPr>
        <w:t xml:space="preserve"> </w:t>
      </w:r>
      <w:r w:rsidR="00FF0B2B">
        <w:rPr>
          <w:lang w:val="es-ES_tradnl"/>
        </w:rPr>
        <w:t>E</w:t>
      </w:r>
      <w:r>
        <w:rPr>
          <w:lang w:val="es-ES_tradnl"/>
        </w:rPr>
        <w:t>ste número</w:t>
      </w:r>
      <w:r w:rsidR="00FF0B2B">
        <w:rPr>
          <w:lang w:val="es-ES_tradnl"/>
        </w:rPr>
        <w:t>, no obstante,</w:t>
      </w:r>
      <w:r>
        <w:rPr>
          <w:lang w:val="es-ES_tradnl"/>
        </w:rPr>
        <w:t xml:space="preserve"> se triplicó en</w:t>
      </w:r>
      <w:r w:rsidR="007D6909">
        <w:rPr>
          <w:lang w:val="es-ES_tradnl"/>
        </w:rPr>
        <w:t>tre 2013 y</w:t>
      </w:r>
      <w:r>
        <w:rPr>
          <w:lang w:val="es-ES_tradnl"/>
        </w:rPr>
        <w:t xml:space="preserve"> 2014 ante el estallido de la nueva guerra </w:t>
      </w:r>
      <w:r w:rsidR="00CD7D01">
        <w:rPr>
          <w:lang w:val="es-ES_tradnl"/>
        </w:rPr>
        <w:t xml:space="preserve">civil </w:t>
      </w:r>
      <w:r>
        <w:rPr>
          <w:lang w:val="es-ES_tradnl"/>
        </w:rPr>
        <w:t xml:space="preserve">en el país. </w:t>
      </w:r>
      <w:r w:rsidR="00A73D15">
        <w:rPr>
          <w:lang w:val="es-ES_tradnl"/>
        </w:rPr>
        <w:t xml:space="preserve"> </w:t>
      </w:r>
      <w:r w:rsidR="00A7491B">
        <w:rPr>
          <w:lang w:val="es-ES_tradnl"/>
        </w:rPr>
        <w:t>Lejos de finalizar</w:t>
      </w:r>
      <w:r w:rsidR="004F0119">
        <w:rPr>
          <w:lang w:val="es-ES_tradnl"/>
        </w:rPr>
        <w:t>,</w:t>
      </w:r>
      <w:r w:rsidR="00A7491B">
        <w:rPr>
          <w:lang w:val="es-ES_tradnl"/>
        </w:rPr>
        <w:t xml:space="preserve"> los desplazamientos continuaron en medio operaciones de guardia y de patrullaje, pero </w:t>
      </w:r>
      <w:r w:rsidR="0070766D">
        <w:rPr>
          <w:lang w:val="es-ES_tradnl"/>
        </w:rPr>
        <w:t>también en un marco de</w:t>
      </w:r>
      <w:r w:rsidR="00A7491B">
        <w:rPr>
          <w:lang w:val="es-ES_tradnl"/>
        </w:rPr>
        <w:t xml:space="preserve"> </w:t>
      </w:r>
      <w:r w:rsidR="00B27470">
        <w:rPr>
          <w:lang w:val="es-ES_tradnl"/>
        </w:rPr>
        <w:t xml:space="preserve">violaciones a los derechos humanos </w:t>
      </w:r>
      <w:r w:rsidR="0070766D">
        <w:rPr>
          <w:lang w:val="es-ES_tradnl"/>
        </w:rPr>
        <w:t xml:space="preserve">que </w:t>
      </w:r>
      <w:r w:rsidR="00561433">
        <w:rPr>
          <w:lang w:val="es-ES_tradnl"/>
        </w:rPr>
        <w:t>se constituyeron en</w:t>
      </w:r>
      <w:r w:rsidR="00417B5C">
        <w:rPr>
          <w:lang w:val="es-ES_tradnl"/>
        </w:rPr>
        <w:t xml:space="preserve"> un</w:t>
      </w:r>
      <w:r w:rsidR="0070766D">
        <w:rPr>
          <w:lang w:val="es-ES_tradnl"/>
        </w:rPr>
        <w:t xml:space="preserve"> tema</w:t>
      </w:r>
      <w:r w:rsidR="00B27470">
        <w:rPr>
          <w:lang w:val="es-ES_tradnl"/>
        </w:rPr>
        <w:t xml:space="preserve"> secundari</w:t>
      </w:r>
      <w:r w:rsidR="0070766D">
        <w:rPr>
          <w:lang w:val="es-ES_tradnl"/>
        </w:rPr>
        <w:t>o</w:t>
      </w:r>
      <w:r w:rsidR="00B27470">
        <w:rPr>
          <w:lang w:val="es-ES_tradnl"/>
        </w:rPr>
        <w:t xml:space="preserve"> </w:t>
      </w:r>
      <w:r w:rsidR="00A7491B">
        <w:rPr>
          <w:lang w:val="es-ES_tradnl"/>
        </w:rPr>
        <w:t>para</w:t>
      </w:r>
      <w:r w:rsidR="00B27470">
        <w:rPr>
          <w:lang w:val="es-ES_tradnl"/>
        </w:rPr>
        <w:t xml:space="preserve"> los operadores europeos y </w:t>
      </w:r>
      <w:r w:rsidR="00A7491B">
        <w:rPr>
          <w:lang w:val="es-ES_tradnl"/>
        </w:rPr>
        <w:t xml:space="preserve">sus </w:t>
      </w:r>
      <w:r w:rsidR="00B27470">
        <w:rPr>
          <w:lang w:val="es-ES_tradnl"/>
        </w:rPr>
        <w:t xml:space="preserve">colaboradores. </w:t>
      </w:r>
      <w:r w:rsidR="00417B5C">
        <w:rPr>
          <w:lang w:val="es-ES_tradnl"/>
        </w:rPr>
        <w:t>Antonio Gramsci hablaba</w:t>
      </w:r>
      <w:r w:rsidR="00FF0B2B">
        <w:rPr>
          <w:lang w:val="es-ES_tradnl"/>
        </w:rPr>
        <w:t xml:space="preserve"> de la</w:t>
      </w:r>
      <w:r w:rsidR="00B27470">
        <w:rPr>
          <w:lang w:val="es-ES_tradnl"/>
        </w:rPr>
        <w:t xml:space="preserve"> </w:t>
      </w:r>
      <w:r w:rsidR="00A7491B">
        <w:rPr>
          <w:i/>
          <w:iCs/>
          <w:lang w:val="es-ES_tradnl"/>
        </w:rPr>
        <w:t>“</w:t>
      </w:r>
      <w:proofErr w:type="spellStart"/>
      <w:r w:rsidR="00B27470">
        <w:rPr>
          <w:i/>
          <w:iCs/>
          <w:lang w:val="es-ES_tradnl"/>
        </w:rPr>
        <w:t>questione</w:t>
      </w:r>
      <w:proofErr w:type="spellEnd"/>
      <w:r w:rsidR="00B27470">
        <w:rPr>
          <w:i/>
          <w:iCs/>
          <w:lang w:val="es-ES_tradnl"/>
        </w:rPr>
        <w:t xml:space="preserve"> </w:t>
      </w:r>
      <w:proofErr w:type="spellStart"/>
      <w:r w:rsidR="00B27470">
        <w:rPr>
          <w:i/>
          <w:iCs/>
          <w:lang w:val="es-ES_tradnl"/>
        </w:rPr>
        <w:t>meridionale</w:t>
      </w:r>
      <w:proofErr w:type="spellEnd"/>
      <w:r w:rsidR="00A7491B">
        <w:rPr>
          <w:i/>
          <w:iCs/>
          <w:lang w:val="es-ES_tradnl"/>
        </w:rPr>
        <w:t>”</w:t>
      </w:r>
      <w:r w:rsidR="00B27470">
        <w:rPr>
          <w:i/>
          <w:iCs/>
          <w:lang w:val="es-ES_tradnl"/>
        </w:rPr>
        <w:t xml:space="preserve"> </w:t>
      </w:r>
      <w:r w:rsidR="00417B5C">
        <w:rPr>
          <w:lang w:val="es-ES_tradnl"/>
        </w:rPr>
        <w:t>para referirse</w:t>
      </w:r>
      <w:r w:rsidR="00B27470">
        <w:rPr>
          <w:lang w:val="es-ES_tradnl"/>
        </w:rPr>
        <w:t xml:space="preserve"> a la marginalidad y el sometimiento </w:t>
      </w:r>
      <w:r w:rsidR="00417B5C">
        <w:rPr>
          <w:lang w:val="es-ES_tradnl"/>
        </w:rPr>
        <w:t xml:space="preserve">por parte </w:t>
      </w:r>
      <w:r w:rsidR="00FF0B2B">
        <w:rPr>
          <w:lang w:val="es-ES_tradnl"/>
        </w:rPr>
        <w:t>de las burguesías septentrionales d</w:t>
      </w:r>
      <w:r w:rsidR="00B27470">
        <w:rPr>
          <w:lang w:val="es-ES_tradnl"/>
        </w:rPr>
        <w:t>e</w:t>
      </w:r>
      <w:r w:rsidR="00A7491B">
        <w:rPr>
          <w:lang w:val="es-ES_tradnl"/>
        </w:rPr>
        <w:t xml:space="preserve"> la población del </w:t>
      </w:r>
      <w:r w:rsidR="00B27470">
        <w:rPr>
          <w:lang w:val="es-ES_tradnl"/>
        </w:rPr>
        <w:t>sur de Italia</w:t>
      </w:r>
      <w:r w:rsidR="00FF0B2B">
        <w:rPr>
          <w:lang w:val="es-ES_tradnl"/>
        </w:rPr>
        <w:t xml:space="preserve">. Hoy esa </w:t>
      </w:r>
      <w:r w:rsidR="00FF0B2B">
        <w:rPr>
          <w:i/>
          <w:iCs/>
          <w:lang w:val="es-ES_tradnl"/>
        </w:rPr>
        <w:t>“</w:t>
      </w:r>
      <w:proofErr w:type="spellStart"/>
      <w:r w:rsidR="00FF0B2B">
        <w:rPr>
          <w:i/>
          <w:iCs/>
          <w:lang w:val="es-ES_tradnl"/>
        </w:rPr>
        <w:t>questione</w:t>
      </w:r>
      <w:proofErr w:type="spellEnd"/>
      <w:r w:rsidR="00FF0B2B">
        <w:rPr>
          <w:i/>
          <w:iCs/>
          <w:lang w:val="es-ES_tradnl"/>
        </w:rPr>
        <w:t xml:space="preserve">” </w:t>
      </w:r>
      <w:r w:rsidR="00FF0B2B">
        <w:rPr>
          <w:lang w:val="es-ES_tradnl"/>
        </w:rPr>
        <w:t xml:space="preserve">se ha trasladado </w:t>
      </w:r>
      <w:r w:rsidR="00F244B6">
        <w:rPr>
          <w:lang w:val="es-ES_tradnl"/>
        </w:rPr>
        <w:t xml:space="preserve">más al sur, </w:t>
      </w:r>
      <w:r w:rsidR="00A7491B">
        <w:rPr>
          <w:lang w:val="es-ES_tradnl"/>
        </w:rPr>
        <w:t>fuera de sus fronteras</w:t>
      </w:r>
      <w:r w:rsidR="00F244B6">
        <w:rPr>
          <w:lang w:val="es-ES_tradnl"/>
        </w:rPr>
        <w:t xml:space="preserve">, </w:t>
      </w:r>
      <w:r w:rsidR="00A13CBE">
        <w:rPr>
          <w:lang w:val="es-ES_tradnl"/>
        </w:rPr>
        <w:t xml:space="preserve">y </w:t>
      </w:r>
      <w:r w:rsidR="004F0119">
        <w:rPr>
          <w:lang w:val="es-ES_tradnl"/>
        </w:rPr>
        <w:t xml:space="preserve">reclama atención desde </w:t>
      </w:r>
      <w:r w:rsidR="00417B5C">
        <w:rPr>
          <w:lang w:val="es-ES_tradnl"/>
        </w:rPr>
        <w:t>la que fuera su antigua colonia de Libia.</w:t>
      </w:r>
      <w:r w:rsidR="004F0119">
        <w:rPr>
          <w:lang w:val="es-ES_tradnl"/>
        </w:rPr>
        <w:t xml:space="preserve"> </w:t>
      </w:r>
    </w:p>
    <w:p w14:paraId="73131853" w14:textId="77777777" w:rsidR="00CD7D01" w:rsidRPr="00CD7D01" w:rsidRDefault="00CD7D01" w:rsidP="00F676DF">
      <w:pPr>
        <w:pStyle w:val="NormalWeb"/>
        <w:spacing w:line="360" w:lineRule="auto"/>
        <w:ind w:right="680"/>
        <w:contextualSpacing/>
        <w:jc w:val="both"/>
        <w:rPr>
          <w:b/>
          <w:bCs/>
        </w:rPr>
      </w:pPr>
    </w:p>
    <w:p w14:paraId="72D2AEE3" w14:textId="2CFEB47D" w:rsidR="00660D42" w:rsidRPr="009C45D0" w:rsidRDefault="00F3536F" w:rsidP="00F676DF">
      <w:pPr>
        <w:pStyle w:val="NormalWeb"/>
        <w:spacing w:line="360" w:lineRule="auto"/>
        <w:contextualSpacing/>
        <w:jc w:val="both"/>
        <w:rPr>
          <w:lang w:val="es-ES_tradnl"/>
        </w:rPr>
      </w:pPr>
      <w:r>
        <w:rPr>
          <w:lang w:val="es-ES_tradnl"/>
        </w:rPr>
        <w:tab/>
      </w:r>
      <w:r w:rsidR="009B7671">
        <w:rPr>
          <w:lang w:val="es-ES_tradnl"/>
        </w:rPr>
        <w:t xml:space="preserve"> </w:t>
      </w:r>
    </w:p>
    <w:p w14:paraId="337CD48C" w14:textId="6DEC1D42" w:rsidR="00D84290" w:rsidRPr="009C45D0" w:rsidRDefault="009C45D0" w:rsidP="00F676DF">
      <w:pPr>
        <w:pStyle w:val="NormalWeb"/>
        <w:spacing w:line="360" w:lineRule="auto"/>
        <w:contextualSpacing/>
        <w:jc w:val="center"/>
        <w:rPr>
          <w:b/>
          <w:bCs/>
          <w:lang w:val="es-ES"/>
        </w:rPr>
      </w:pPr>
      <w:r w:rsidRPr="009C45D0">
        <w:rPr>
          <w:b/>
          <w:bCs/>
          <w:lang w:val="es-ES"/>
        </w:rPr>
        <w:t>REFERENCIAS</w:t>
      </w:r>
    </w:p>
    <w:p w14:paraId="0F0F1734" w14:textId="7CE3F2BC" w:rsidR="00E16DEA" w:rsidRPr="00CC2855" w:rsidRDefault="00376ED8" w:rsidP="00F676DF">
      <w:pPr>
        <w:pStyle w:val="Textonotapie"/>
        <w:numPr>
          <w:ilvl w:val="0"/>
          <w:numId w:val="5"/>
        </w:numPr>
        <w:snapToGrid w:val="0"/>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Abad, R. y Rodríguez, J. (29-09-2005). “Cinco inmigrantes mueren tiroteados en Ceuta tras intentar saltar la valla 600 subsaharianos”. El País. En: </w:t>
      </w:r>
      <w:hyperlink r:id="rId8" w:history="1">
        <w:r w:rsidRPr="00CC2855">
          <w:rPr>
            <w:rStyle w:val="Hipervnculo"/>
            <w:rFonts w:ascii="Times New Roman" w:hAnsi="Times New Roman" w:cs="Times New Roman"/>
            <w:color w:val="000000" w:themeColor="text1"/>
            <w:sz w:val="24"/>
            <w:szCs w:val="24"/>
            <w:lang w:val="es-ES"/>
          </w:rPr>
          <w:t>https://elpais.com/diario/2005/09/30/espana/1128031201_850215.html</w:t>
        </w:r>
      </w:hyperlink>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Cons</w:t>
      </w:r>
      <w:proofErr w:type="spellEnd"/>
      <w:r w:rsidRPr="00CC2855">
        <w:rPr>
          <w:rFonts w:ascii="Times New Roman" w:hAnsi="Times New Roman" w:cs="Times New Roman"/>
          <w:color w:val="000000" w:themeColor="text1"/>
          <w:sz w:val="24"/>
          <w:szCs w:val="24"/>
          <w:lang w:val="es-ES"/>
        </w:rPr>
        <w:t>. 29-08-2022.</w:t>
      </w:r>
    </w:p>
    <w:p w14:paraId="0A5497F9" w14:textId="02F83E9A" w:rsidR="004F3680" w:rsidRPr="00CC2855" w:rsidRDefault="00E16DEA" w:rsidP="00F676DF">
      <w:pPr>
        <w:pStyle w:val="NormalWeb"/>
        <w:numPr>
          <w:ilvl w:val="0"/>
          <w:numId w:val="5"/>
        </w:numPr>
        <w:spacing w:line="360" w:lineRule="auto"/>
        <w:contextualSpacing/>
        <w:jc w:val="both"/>
        <w:rPr>
          <w:color w:val="000000" w:themeColor="text1"/>
          <w:lang w:val="es-ES"/>
        </w:rPr>
      </w:pPr>
      <w:r w:rsidRPr="00CC2855">
        <w:rPr>
          <w:color w:val="000000" w:themeColor="text1"/>
          <w:lang w:val="es-ES"/>
        </w:rPr>
        <w:t xml:space="preserve">Acosta Sánchez, </w:t>
      </w:r>
      <w:r w:rsidR="009C45D0" w:rsidRPr="00CC2855">
        <w:rPr>
          <w:color w:val="000000" w:themeColor="text1"/>
          <w:lang w:val="es-ES"/>
        </w:rPr>
        <w:t>M.</w:t>
      </w:r>
      <w:r w:rsidRPr="00CC2855">
        <w:rPr>
          <w:color w:val="000000" w:themeColor="text1"/>
          <w:lang w:val="es-ES"/>
        </w:rPr>
        <w:t xml:space="preserve"> y </w:t>
      </w:r>
      <w:r w:rsidR="009C45D0" w:rsidRPr="00CC2855">
        <w:rPr>
          <w:color w:val="000000" w:themeColor="text1"/>
          <w:lang w:val="es-ES"/>
        </w:rPr>
        <w:t>Del</w:t>
      </w:r>
      <w:r w:rsidRPr="00CC2855">
        <w:rPr>
          <w:color w:val="000000" w:themeColor="text1"/>
          <w:lang w:val="es-ES"/>
        </w:rPr>
        <w:t xml:space="preserve"> Valle-Gálvez</w:t>
      </w:r>
      <w:r w:rsidR="009C45D0" w:rsidRPr="00CC2855">
        <w:rPr>
          <w:color w:val="000000" w:themeColor="text1"/>
          <w:lang w:val="es-ES"/>
        </w:rPr>
        <w:t>, A.</w:t>
      </w:r>
      <w:r w:rsidRPr="00CC2855">
        <w:rPr>
          <w:color w:val="000000" w:themeColor="text1"/>
          <w:lang w:val="es-ES"/>
        </w:rPr>
        <w:t xml:space="preserve"> (2006). “La crisis de los cayucos. La Agencia Europea de las Fronteras FRONTEX y el control marítimo de la inmigración clandestina”. Tiempo de Paz 83, pp. 19-30.</w:t>
      </w:r>
    </w:p>
    <w:p w14:paraId="08864C3A" w14:textId="6DB5FCDB" w:rsidR="00384730" w:rsidRPr="00CC2855" w:rsidRDefault="00384730" w:rsidP="00F676DF">
      <w:pPr>
        <w:pStyle w:val="NormalWeb"/>
        <w:numPr>
          <w:ilvl w:val="0"/>
          <w:numId w:val="5"/>
        </w:numPr>
        <w:spacing w:line="360" w:lineRule="auto"/>
        <w:contextualSpacing/>
        <w:jc w:val="both"/>
        <w:rPr>
          <w:color w:val="000000" w:themeColor="text1"/>
          <w:lang w:val="es-ES_tradnl"/>
        </w:rPr>
      </w:pPr>
      <w:r w:rsidRPr="00CC2855">
        <w:rPr>
          <w:color w:val="000000" w:themeColor="text1"/>
          <w:lang w:val="es-ES_tradnl"/>
        </w:rPr>
        <w:t xml:space="preserve">Arias Fernández, G. </w:t>
      </w:r>
      <w:r w:rsidR="00646C13" w:rsidRPr="00CC2855">
        <w:rPr>
          <w:color w:val="000000" w:themeColor="text1"/>
          <w:lang w:val="es-ES_tradnl"/>
        </w:rPr>
        <w:t xml:space="preserve"> (2007</w:t>
      </w:r>
      <w:proofErr w:type="gramStart"/>
      <w:r w:rsidR="00646C13" w:rsidRPr="00CC2855">
        <w:rPr>
          <w:color w:val="000000" w:themeColor="text1"/>
          <w:lang w:val="es-ES_tradnl"/>
        </w:rPr>
        <w:t>) .</w:t>
      </w:r>
      <w:proofErr w:type="gramEnd"/>
      <w:r w:rsidRPr="00CC2855">
        <w:rPr>
          <w:color w:val="000000" w:themeColor="text1"/>
          <w:lang w:val="es-ES_tradnl"/>
        </w:rPr>
        <w:t>“FRONTEX. La agencia europea para la gestión de la cooperación operativa en las fronteras exteriores de los Estados miembros de la Unión Europea”. V Seminario Internacional sobre Seguridad y Defensa en el Mediterráneo. La seguridad multidimensional. Una oportunidad para la cooperación en el Mediterráneo, pp. 129-235.</w:t>
      </w:r>
    </w:p>
    <w:p w14:paraId="388455AE" w14:textId="540DC48C" w:rsidR="00C046A2" w:rsidRPr="00CC2855" w:rsidRDefault="00C046A2" w:rsidP="00F676DF">
      <w:pPr>
        <w:pStyle w:val="NormalWeb"/>
        <w:numPr>
          <w:ilvl w:val="0"/>
          <w:numId w:val="5"/>
        </w:numPr>
        <w:spacing w:line="360" w:lineRule="auto"/>
        <w:contextualSpacing/>
        <w:jc w:val="both"/>
        <w:rPr>
          <w:color w:val="000000" w:themeColor="text1"/>
        </w:rPr>
      </w:pPr>
      <w:proofErr w:type="spellStart"/>
      <w:r w:rsidRPr="00CC2855">
        <w:rPr>
          <w:color w:val="000000" w:themeColor="text1"/>
          <w:lang w:val="es-ES"/>
        </w:rPr>
        <w:t>Asín</w:t>
      </w:r>
      <w:proofErr w:type="spellEnd"/>
      <w:r w:rsidRPr="00CC2855">
        <w:rPr>
          <w:color w:val="000000" w:themeColor="text1"/>
          <w:lang w:val="es-ES"/>
        </w:rPr>
        <w:t>, Cabrera, María (2008). “</w:t>
      </w:r>
      <w:r w:rsidRPr="00CC2855">
        <w:rPr>
          <w:color w:val="000000" w:themeColor="text1"/>
        </w:rPr>
        <w:t>Los acuerdos bilaterales suscritos por España en materia migratoria con países del continente africanoespecial consideración de la readmisión de inmigrantes en situación irregular</w:t>
      </w:r>
      <w:r w:rsidRPr="00CC2855">
        <w:rPr>
          <w:color w:val="000000" w:themeColor="text1"/>
          <w:lang w:val="es-ES"/>
        </w:rPr>
        <w:t xml:space="preserve">”. Revista de Derecho Constitucional Europeo, </w:t>
      </w:r>
      <w:r w:rsidRPr="00CC2855">
        <w:rPr>
          <w:color w:val="000000" w:themeColor="text1"/>
        </w:rPr>
        <w:t>ISSN 1697-7890, </w:t>
      </w:r>
      <w:hyperlink r:id="rId9" w:history="1">
        <w:r w:rsidRPr="00CC2855">
          <w:rPr>
            <w:rStyle w:val="Hipervnculo"/>
            <w:color w:val="000000" w:themeColor="text1"/>
          </w:rPr>
          <w:t>Nº. 10, 2008</w:t>
        </w:r>
      </w:hyperlink>
      <w:r w:rsidRPr="00CC2855">
        <w:rPr>
          <w:color w:val="000000" w:themeColor="text1"/>
        </w:rPr>
        <w:t>, págs. 165-188</w:t>
      </w:r>
    </w:p>
    <w:p w14:paraId="458EB2D4" w14:textId="20BDE9E5" w:rsidR="00C046A2" w:rsidRPr="00CC2855" w:rsidRDefault="004F3680" w:rsidP="00F676DF">
      <w:pPr>
        <w:pStyle w:val="NormalWeb"/>
        <w:numPr>
          <w:ilvl w:val="0"/>
          <w:numId w:val="5"/>
        </w:numPr>
        <w:spacing w:line="360" w:lineRule="auto"/>
        <w:contextualSpacing/>
        <w:jc w:val="both"/>
        <w:rPr>
          <w:color w:val="000000" w:themeColor="text1"/>
          <w:lang w:val="es-ES"/>
        </w:rPr>
      </w:pPr>
      <w:r w:rsidRPr="00CC2855">
        <w:rPr>
          <w:color w:val="000000" w:themeColor="text1"/>
        </w:rPr>
        <w:t xml:space="preserve">Aznar Sánchez, </w:t>
      </w:r>
      <w:r w:rsidRPr="00CC2855">
        <w:rPr>
          <w:color w:val="000000" w:themeColor="text1"/>
          <w:lang w:val="es-ES"/>
        </w:rPr>
        <w:t>J. “La unión de Egipto y Libia y el nacimiento de un nuevo Estado”.</w:t>
      </w:r>
      <w:r w:rsidR="00424335" w:rsidRPr="00CC2855">
        <w:rPr>
          <w:color w:val="000000" w:themeColor="text1"/>
        </w:rPr>
        <w:t xml:space="preserve"> </w:t>
      </w:r>
      <w:r w:rsidR="00424335" w:rsidRPr="00CC2855">
        <w:rPr>
          <w:color w:val="000000" w:themeColor="text1"/>
          <w:lang w:val="es-ES"/>
        </w:rPr>
        <w:t>Revista de Política Internacional, número 125, enero-febrero 1973, pp. 67-89 (23 páginas)</w:t>
      </w:r>
    </w:p>
    <w:p w14:paraId="56271558" w14:textId="2821FDD3" w:rsidR="00A4495C" w:rsidRPr="00CC2855" w:rsidRDefault="00A4495C" w:rsidP="00F676DF">
      <w:pPr>
        <w:pStyle w:val="NormalWeb"/>
        <w:numPr>
          <w:ilvl w:val="0"/>
          <w:numId w:val="5"/>
        </w:numPr>
        <w:spacing w:line="360" w:lineRule="auto"/>
        <w:contextualSpacing/>
        <w:jc w:val="both"/>
        <w:rPr>
          <w:color w:val="000000" w:themeColor="text1"/>
          <w:lang w:val="en-US"/>
        </w:rPr>
      </w:pPr>
      <w:r w:rsidRPr="00CC2855">
        <w:rPr>
          <w:color w:val="000000" w:themeColor="text1"/>
        </w:rPr>
        <w:t xml:space="preserve">Bechtold, </w:t>
      </w:r>
      <w:r w:rsidR="00090000" w:rsidRPr="00CC2855">
        <w:rPr>
          <w:color w:val="000000" w:themeColor="text1"/>
        </w:rPr>
        <w:t xml:space="preserve">P. </w:t>
      </w:r>
      <w:r w:rsidRPr="00CC2855">
        <w:rPr>
          <w:color w:val="000000" w:themeColor="text1"/>
        </w:rPr>
        <w:t xml:space="preserve">(1973). </w:t>
      </w:r>
      <w:r w:rsidRPr="00CC2855">
        <w:rPr>
          <w:color w:val="000000" w:themeColor="text1"/>
          <w:lang w:val="en-US"/>
        </w:rPr>
        <w:t xml:space="preserve">“New attempts at Arab cooperation. The Federation of Arab Republics, 1971-?”. </w:t>
      </w:r>
      <w:r w:rsidRPr="00CC2855">
        <w:rPr>
          <w:color w:val="000000" w:themeColor="text1"/>
        </w:rPr>
        <w:t>Middle East Journal</w:t>
      </w:r>
      <w:r w:rsidRPr="00CC2855">
        <w:rPr>
          <w:color w:val="000000" w:themeColor="text1"/>
          <w:lang w:val="en-US"/>
        </w:rPr>
        <w:t>, Vol. 27 Nº 2</w:t>
      </w:r>
      <w:r w:rsidR="00090000" w:rsidRPr="00CC2855">
        <w:rPr>
          <w:color w:val="000000" w:themeColor="text1"/>
          <w:lang w:val="en-US"/>
        </w:rPr>
        <w:t xml:space="preserve">, pp. 152-172 (21 </w:t>
      </w:r>
      <w:proofErr w:type="spellStart"/>
      <w:r w:rsidR="00090000" w:rsidRPr="00CC2855">
        <w:rPr>
          <w:color w:val="000000" w:themeColor="text1"/>
          <w:lang w:val="en-US"/>
        </w:rPr>
        <w:t>páginas</w:t>
      </w:r>
      <w:proofErr w:type="spellEnd"/>
      <w:r w:rsidR="00090000" w:rsidRPr="00CC2855">
        <w:rPr>
          <w:color w:val="000000" w:themeColor="text1"/>
          <w:lang w:val="en-US"/>
        </w:rPr>
        <w:t>)</w:t>
      </w:r>
    </w:p>
    <w:p w14:paraId="3B135E0C" w14:textId="39F7AD33" w:rsidR="00CB4119" w:rsidRPr="00CC2855" w:rsidRDefault="00CB4119" w:rsidP="00F676DF">
      <w:pPr>
        <w:pStyle w:val="NormalWeb"/>
        <w:numPr>
          <w:ilvl w:val="0"/>
          <w:numId w:val="5"/>
        </w:numPr>
        <w:spacing w:line="360" w:lineRule="auto"/>
        <w:contextualSpacing/>
        <w:jc w:val="both"/>
        <w:rPr>
          <w:color w:val="000000" w:themeColor="text1"/>
          <w:lang w:val="en-US"/>
        </w:rPr>
      </w:pPr>
      <w:proofErr w:type="spellStart"/>
      <w:r w:rsidRPr="00CC2855">
        <w:rPr>
          <w:color w:val="000000" w:themeColor="text1"/>
          <w:lang w:val="en-US"/>
        </w:rPr>
        <w:t>Bezabih</w:t>
      </w:r>
      <w:proofErr w:type="spellEnd"/>
      <w:r w:rsidRPr="00CC2855">
        <w:rPr>
          <w:color w:val="000000" w:themeColor="text1"/>
          <w:lang w:val="en-US"/>
        </w:rPr>
        <w:t xml:space="preserve">, W. (2014). “Fundamental consequences of the Ethio-Eritrean War [1998-2000]”. Journal of </w:t>
      </w:r>
      <w:proofErr w:type="spellStart"/>
      <w:r w:rsidRPr="00CC2855">
        <w:rPr>
          <w:color w:val="000000" w:themeColor="text1"/>
          <w:lang w:val="en-US"/>
        </w:rPr>
        <w:t>Conflictology</w:t>
      </w:r>
      <w:proofErr w:type="spellEnd"/>
      <w:r w:rsidRPr="00CC2855">
        <w:rPr>
          <w:color w:val="000000" w:themeColor="text1"/>
          <w:lang w:val="en-US"/>
        </w:rPr>
        <w:t>, v. 5, n. 2, pp. 39-47.</w:t>
      </w:r>
    </w:p>
    <w:p w14:paraId="21B8FCD9" w14:textId="6DBC5A96" w:rsidR="00EA41C7" w:rsidRPr="00CC2855" w:rsidRDefault="00384730" w:rsidP="00F676DF">
      <w:pPr>
        <w:pStyle w:val="NormalWeb"/>
        <w:numPr>
          <w:ilvl w:val="0"/>
          <w:numId w:val="5"/>
        </w:numPr>
        <w:spacing w:line="360" w:lineRule="auto"/>
        <w:contextualSpacing/>
        <w:jc w:val="both"/>
        <w:rPr>
          <w:color w:val="000000" w:themeColor="text1"/>
          <w:lang w:val="en-US"/>
        </w:rPr>
      </w:pPr>
      <w:r w:rsidRPr="00384730">
        <w:rPr>
          <w:color w:val="000000" w:themeColor="text1"/>
          <w:lang w:val="en-US"/>
        </w:rPr>
        <w:lastRenderedPageBreak/>
        <w:t xml:space="preserve">Blumenthal, Max (2019) </w:t>
      </w:r>
      <w:r w:rsidRPr="00384730">
        <w:rPr>
          <w:i/>
          <w:iCs/>
          <w:color w:val="000000" w:themeColor="text1"/>
          <w:lang w:val="en-US"/>
        </w:rPr>
        <w:t xml:space="preserve">The </w:t>
      </w:r>
      <w:proofErr w:type="spellStart"/>
      <w:r w:rsidRPr="00384730">
        <w:rPr>
          <w:i/>
          <w:iCs/>
          <w:color w:val="000000" w:themeColor="text1"/>
          <w:lang w:val="en-US"/>
        </w:rPr>
        <w:t>manage</w:t>
      </w:r>
      <w:proofErr w:type="spellEnd"/>
      <w:r w:rsidRPr="00384730">
        <w:rPr>
          <w:i/>
          <w:iCs/>
          <w:color w:val="000000" w:themeColor="text1"/>
          <w:lang w:val="en-US"/>
        </w:rPr>
        <w:t xml:space="preserve"> of savagery, </w:t>
      </w:r>
      <w:proofErr w:type="spellStart"/>
      <w:r w:rsidRPr="00384730">
        <w:rPr>
          <w:color w:val="000000" w:themeColor="text1"/>
          <w:lang w:val="en-US"/>
        </w:rPr>
        <w:t>Londres</w:t>
      </w:r>
      <w:proofErr w:type="spellEnd"/>
      <w:r w:rsidRPr="00384730">
        <w:rPr>
          <w:color w:val="000000" w:themeColor="text1"/>
          <w:lang w:val="en-US"/>
        </w:rPr>
        <w:t>-Nueva York: Verso.</w:t>
      </w:r>
    </w:p>
    <w:p w14:paraId="04ECB77E" w14:textId="5979E034" w:rsidR="00041B96" w:rsidRPr="00CC2855" w:rsidRDefault="00EA41C7"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spellStart"/>
      <w:r w:rsidRPr="00CC2855">
        <w:rPr>
          <w:rFonts w:ascii="Times New Roman" w:hAnsi="Times New Roman" w:cs="Times New Roman"/>
          <w:color w:val="000000" w:themeColor="text1"/>
          <w:sz w:val="24"/>
          <w:szCs w:val="24"/>
          <w:lang w:val="es-ES"/>
        </w:rPr>
        <w:t>Cerigioni</w:t>
      </w:r>
      <w:proofErr w:type="spellEnd"/>
      <w:r w:rsidRPr="00CC2855">
        <w:rPr>
          <w:rFonts w:ascii="Times New Roman" w:hAnsi="Times New Roman" w:cs="Times New Roman"/>
          <w:color w:val="000000" w:themeColor="text1"/>
          <w:sz w:val="24"/>
          <w:szCs w:val="24"/>
          <w:lang w:val="es-ES"/>
        </w:rPr>
        <w:t>, E</w:t>
      </w:r>
      <w:r w:rsidR="00B306E2" w:rsidRPr="00CC2855">
        <w:rPr>
          <w:rFonts w:ascii="Times New Roman" w:hAnsi="Times New Roman" w:cs="Times New Roman"/>
          <w:color w:val="000000" w:themeColor="text1"/>
          <w:sz w:val="24"/>
          <w:szCs w:val="24"/>
          <w:lang w:val="es-ES"/>
        </w:rPr>
        <w:t>.</w:t>
      </w:r>
      <w:r w:rsidRPr="00CC2855">
        <w:rPr>
          <w:rFonts w:ascii="Times New Roman" w:hAnsi="Times New Roman" w:cs="Times New Roman"/>
          <w:color w:val="000000" w:themeColor="text1"/>
          <w:sz w:val="24"/>
          <w:szCs w:val="24"/>
          <w:lang w:val="es-ES"/>
        </w:rPr>
        <w:t xml:space="preserve"> (2004). “Fortaleza Europa. Comentario a las políticas sobre refugiados en la Unión Europea”. </w:t>
      </w:r>
      <w:r w:rsidRPr="00CC2855">
        <w:rPr>
          <w:rFonts w:ascii="Times New Roman" w:hAnsi="Times New Roman" w:cs="Times New Roman"/>
          <w:color w:val="000000" w:themeColor="text1"/>
          <w:sz w:val="24"/>
          <w:szCs w:val="24"/>
        </w:rPr>
        <w:t xml:space="preserve">Gazeta de Antropología, </w:t>
      </w:r>
      <w:r w:rsidR="00A0495F" w:rsidRPr="00CC2855">
        <w:rPr>
          <w:rFonts w:ascii="Times New Roman" w:hAnsi="Times New Roman" w:cs="Times New Roman"/>
          <w:color w:val="000000" w:themeColor="text1"/>
          <w:sz w:val="24"/>
          <w:szCs w:val="24"/>
          <w:lang w:val="es-ES"/>
        </w:rPr>
        <w:t>n</w:t>
      </w:r>
      <w:r w:rsidR="00B306E2"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rPr>
        <w:t>20, artículo 31</w:t>
      </w:r>
      <w:r w:rsidR="00B306E2" w:rsidRPr="00CC2855">
        <w:rPr>
          <w:rFonts w:ascii="Times New Roman" w:hAnsi="Times New Roman" w:cs="Times New Roman"/>
          <w:color w:val="000000" w:themeColor="text1"/>
          <w:sz w:val="24"/>
          <w:szCs w:val="24"/>
          <w:lang w:val="es-ES"/>
        </w:rPr>
        <w:t xml:space="preserve">, </w:t>
      </w:r>
      <w:r w:rsidR="00A0495F" w:rsidRPr="00CC2855">
        <w:rPr>
          <w:rFonts w:ascii="Times New Roman" w:hAnsi="Times New Roman" w:cs="Times New Roman"/>
          <w:color w:val="000000" w:themeColor="text1"/>
          <w:sz w:val="24"/>
          <w:szCs w:val="24"/>
          <w:lang w:val="es-ES"/>
        </w:rPr>
        <w:t>pp. 1-16</w:t>
      </w:r>
      <w:r w:rsidR="00B306E2" w:rsidRPr="00CC2855">
        <w:rPr>
          <w:rFonts w:ascii="Times New Roman" w:hAnsi="Times New Roman" w:cs="Times New Roman"/>
          <w:color w:val="000000" w:themeColor="text1"/>
          <w:sz w:val="24"/>
          <w:szCs w:val="24"/>
          <w:lang w:val="es-ES"/>
        </w:rPr>
        <w:t>.</w:t>
      </w:r>
      <w:r w:rsidR="008761CD" w:rsidRPr="00CC2855">
        <w:rPr>
          <w:rFonts w:ascii="Times New Roman" w:hAnsi="Times New Roman" w:cs="Times New Roman"/>
          <w:color w:val="000000" w:themeColor="text1"/>
          <w:sz w:val="24"/>
          <w:szCs w:val="24"/>
          <w:lang w:val="es-ES"/>
        </w:rPr>
        <w:t xml:space="preserve"> En:</w:t>
      </w:r>
      <w:r w:rsidR="00B306E2"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rPr>
        <w:t xml:space="preserve"> </w:t>
      </w:r>
      <w:hyperlink r:id="rId10" w:history="1">
        <w:r w:rsidRPr="00CC2855">
          <w:rPr>
            <w:rStyle w:val="Hipervnculo"/>
            <w:rFonts w:ascii="Times New Roman" w:hAnsi="Times New Roman" w:cs="Times New Roman"/>
            <w:color w:val="000000" w:themeColor="text1"/>
            <w:sz w:val="24"/>
            <w:szCs w:val="24"/>
          </w:rPr>
          <w:t>http://hdl.handle.net/10481/7282</w:t>
        </w:r>
      </w:hyperlink>
      <w:r w:rsidR="008761CD" w:rsidRPr="00CC2855">
        <w:rPr>
          <w:rFonts w:ascii="Times New Roman" w:hAnsi="Times New Roman" w:cs="Times New Roman"/>
          <w:color w:val="000000" w:themeColor="text1"/>
          <w:sz w:val="24"/>
          <w:szCs w:val="24"/>
          <w:lang w:val="es-ES"/>
        </w:rPr>
        <w:t xml:space="preserve">. </w:t>
      </w:r>
      <w:proofErr w:type="spellStart"/>
      <w:r w:rsidR="008761CD" w:rsidRPr="00CC2855">
        <w:rPr>
          <w:rFonts w:ascii="Times New Roman" w:hAnsi="Times New Roman" w:cs="Times New Roman"/>
          <w:color w:val="000000" w:themeColor="text1"/>
          <w:sz w:val="24"/>
          <w:szCs w:val="24"/>
          <w:lang w:val="es-ES"/>
        </w:rPr>
        <w:t>Cons</w:t>
      </w:r>
      <w:proofErr w:type="spellEnd"/>
      <w:r w:rsidR="008761CD" w:rsidRPr="00CC2855">
        <w:rPr>
          <w:rFonts w:ascii="Times New Roman" w:hAnsi="Times New Roman" w:cs="Times New Roman"/>
          <w:color w:val="000000" w:themeColor="text1"/>
          <w:sz w:val="24"/>
          <w:szCs w:val="24"/>
          <w:lang w:val="es-ES"/>
        </w:rPr>
        <w:t>. 10-05-2022.</w:t>
      </w:r>
    </w:p>
    <w:p w14:paraId="301DF8FB" w14:textId="47BBCE99" w:rsidR="00AB1243" w:rsidRPr="00CC2855" w:rsidRDefault="00041B96"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spellStart"/>
      <w:r w:rsidRPr="00CC2855">
        <w:rPr>
          <w:rFonts w:ascii="Times New Roman" w:hAnsi="Times New Roman" w:cs="Times New Roman"/>
          <w:color w:val="000000" w:themeColor="text1"/>
          <w:sz w:val="24"/>
          <w:szCs w:val="24"/>
          <w:lang w:val="es-ES"/>
        </w:rPr>
        <w:t>Ciabarri</w:t>
      </w:r>
      <w:proofErr w:type="spellEnd"/>
      <w:r w:rsidRPr="00CC2855">
        <w:rPr>
          <w:rFonts w:ascii="Times New Roman" w:hAnsi="Times New Roman" w:cs="Times New Roman"/>
          <w:color w:val="000000" w:themeColor="text1"/>
          <w:sz w:val="24"/>
          <w:szCs w:val="24"/>
          <w:lang w:val="es-ES"/>
        </w:rPr>
        <w:t>, L</w:t>
      </w:r>
      <w:r w:rsidR="009C45D0" w:rsidRPr="00CC2855">
        <w:rPr>
          <w:rFonts w:ascii="Times New Roman" w:hAnsi="Times New Roman" w:cs="Times New Roman"/>
          <w:color w:val="000000" w:themeColor="text1"/>
          <w:sz w:val="24"/>
          <w:szCs w:val="24"/>
          <w:lang w:val="es-ES"/>
        </w:rPr>
        <w:t>.</w:t>
      </w:r>
      <w:r w:rsidRPr="00CC2855">
        <w:rPr>
          <w:rFonts w:ascii="Times New Roman" w:hAnsi="Times New Roman" w:cs="Times New Roman"/>
          <w:color w:val="000000" w:themeColor="text1"/>
          <w:sz w:val="24"/>
          <w:szCs w:val="24"/>
          <w:lang w:val="es-ES"/>
        </w:rPr>
        <w:t xml:space="preserve"> (2013). “</w:t>
      </w:r>
      <w:proofErr w:type="spellStart"/>
      <w:r w:rsidRPr="00CC2855">
        <w:rPr>
          <w:rFonts w:ascii="Times New Roman" w:hAnsi="Times New Roman" w:cs="Times New Roman"/>
          <w:color w:val="000000" w:themeColor="text1"/>
          <w:sz w:val="24"/>
          <w:szCs w:val="24"/>
          <w:lang w:val="es-ES"/>
        </w:rPr>
        <w:t>Oltre</w:t>
      </w:r>
      <w:proofErr w:type="spellEnd"/>
      <w:r w:rsidRPr="00CC2855">
        <w:rPr>
          <w:rFonts w:ascii="Times New Roman" w:hAnsi="Times New Roman" w:cs="Times New Roman"/>
          <w:color w:val="000000" w:themeColor="text1"/>
          <w:sz w:val="24"/>
          <w:szCs w:val="24"/>
          <w:lang w:val="es-ES"/>
        </w:rPr>
        <w:t xml:space="preserve"> la </w:t>
      </w:r>
      <w:proofErr w:type="spellStart"/>
      <w:r w:rsidRPr="00CC2855">
        <w:rPr>
          <w:rFonts w:ascii="Times New Roman" w:hAnsi="Times New Roman" w:cs="Times New Roman"/>
          <w:color w:val="000000" w:themeColor="text1"/>
          <w:sz w:val="24"/>
          <w:szCs w:val="24"/>
          <w:lang w:val="es-ES"/>
        </w:rPr>
        <w:t>frontiera</w:t>
      </w:r>
      <w:proofErr w:type="spellEnd"/>
      <w:r w:rsidRPr="00CC2855">
        <w:rPr>
          <w:rFonts w:ascii="Times New Roman" w:hAnsi="Times New Roman" w:cs="Times New Roman"/>
          <w:color w:val="000000" w:themeColor="text1"/>
          <w:sz w:val="24"/>
          <w:szCs w:val="24"/>
          <w:lang w:val="es-ES"/>
        </w:rPr>
        <w:t xml:space="preserve"> Europa: </w:t>
      </w:r>
      <w:proofErr w:type="spellStart"/>
      <w:r w:rsidRPr="00CC2855">
        <w:rPr>
          <w:rFonts w:ascii="Times New Roman" w:hAnsi="Times New Roman" w:cs="Times New Roman"/>
          <w:color w:val="000000" w:themeColor="text1"/>
          <w:sz w:val="24"/>
          <w:szCs w:val="24"/>
          <w:lang w:val="es-ES"/>
        </w:rPr>
        <w:t>ascesa</w:t>
      </w:r>
      <w:proofErr w:type="spellEnd"/>
      <w:r w:rsidRPr="00CC2855">
        <w:rPr>
          <w:rFonts w:ascii="Times New Roman" w:hAnsi="Times New Roman" w:cs="Times New Roman"/>
          <w:color w:val="000000" w:themeColor="text1"/>
          <w:sz w:val="24"/>
          <w:szCs w:val="24"/>
          <w:lang w:val="es-ES"/>
        </w:rPr>
        <w:t xml:space="preserve"> e declino </w:t>
      </w:r>
      <w:proofErr w:type="spellStart"/>
      <w:r w:rsidRPr="00CC2855">
        <w:rPr>
          <w:rFonts w:ascii="Times New Roman" w:hAnsi="Times New Roman" w:cs="Times New Roman"/>
          <w:color w:val="000000" w:themeColor="text1"/>
          <w:sz w:val="24"/>
          <w:szCs w:val="24"/>
          <w:lang w:val="es-ES"/>
        </w:rPr>
        <w:t>della</w:t>
      </w:r>
      <w:proofErr w:type="spellEnd"/>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rotta</w:t>
      </w:r>
      <w:proofErr w:type="spellEnd"/>
      <w:r w:rsidRPr="00CC2855">
        <w:rPr>
          <w:rFonts w:ascii="Times New Roman" w:hAnsi="Times New Roman" w:cs="Times New Roman"/>
          <w:color w:val="000000" w:themeColor="text1"/>
          <w:sz w:val="24"/>
          <w:szCs w:val="24"/>
          <w:lang w:val="es-ES"/>
        </w:rPr>
        <w:t xml:space="preserve"> migratoria Libia-Lampedusa </w:t>
      </w:r>
      <w:proofErr w:type="gramStart"/>
      <w:r w:rsidRPr="00CC2855">
        <w:rPr>
          <w:rFonts w:ascii="Times New Roman" w:hAnsi="Times New Roman" w:cs="Times New Roman"/>
          <w:color w:val="000000" w:themeColor="text1"/>
          <w:sz w:val="24"/>
          <w:szCs w:val="24"/>
          <w:lang w:val="es-ES"/>
        </w:rPr>
        <w:t>e</w:t>
      </w:r>
      <w:proofErr w:type="gramEnd"/>
      <w:r w:rsidRPr="00CC2855">
        <w:rPr>
          <w:rFonts w:ascii="Times New Roman" w:hAnsi="Times New Roman" w:cs="Times New Roman"/>
          <w:color w:val="000000" w:themeColor="text1"/>
          <w:sz w:val="24"/>
          <w:szCs w:val="24"/>
          <w:lang w:val="es-ES"/>
        </w:rPr>
        <w:t xml:space="preserve"> forme di </w:t>
      </w:r>
      <w:proofErr w:type="spellStart"/>
      <w:r w:rsidRPr="00CC2855">
        <w:rPr>
          <w:rFonts w:ascii="Times New Roman" w:hAnsi="Times New Roman" w:cs="Times New Roman"/>
          <w:color w:val="000000" w:themeColor="text1"/>
          <w:sz w:val="24"/>
          <w:szCs w:val="24"/>
          <w:lang w:val="es-ES"/>
        </w:rPr>
        <w:t>mobilità</w:t>
      </w:r>
      <w:proofErr w:type="spellEnd"/>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dal</w:t>
      </w:r>
      <w:proofErr w:type="spellEnd"/>
      <w:r w:rsidRPr="00CC2855">
        <w:rPr>
          <w:rFonts w:ascii="Times New Roman" w:hAnsi="Times New Roman" w:cs="Times New Roman"/>
          <w:color w:val="000000" w:themeColor="text1"/>
          <w:sz w:val="24"/>
          <w:szCs w:val="24"/>
          <w:lang w:val="es-ES"/>
        </w:rPr>
        <w:t xml:space="preserve"> Corno </w:t>
      </w:r>
      <w:proofErr w:type="spellStart"/>
      <w:r w:rsidRPr="00CC2855">
        <w:rPr>
          <w:rFonts w:ascii="Times New Roman" w:hAnsi="Times New Roman" w:cs="Times New Roman"/>
          <w:color w:val="000000" w:themeColor="text1"/>
          <w:sz w:val="24"/>
          <w:szCs w:val="24"/>
          <w:lang w:val="es-ES"/>
        </w:rPr>
        <w:t>d’Africa</w:t>
      </w:r>
      <w:proofErr w:type="spellEnd"/>
      <w:r w:rsidRPr="00CC2855">
        <w:rPr>
          <w:rFonts w:ascii="Times New Roman" w:hAnsi="Times New Roman" w:cs="Times New Roman"/>
          <w:color w:val="000000" w:themeColor="text1"/>
          <w:sz w:val="24"/>
          <w:szCs w:val="24"/>
          <w:lang w:val="es-ES"/>
        </w:rPr>
        <w:t xml:space="preserve"> (</w:t>
      </w:r>
      <w:r w:rsidR="00C307FA" w:rsidRPr="00CC2855">
        <w:rPr>
          <w:rFonts w:ascii="Times New Roman" w:hAnsi="Times New Roman" w:cs="Times New Roman"/>
          <w:color w:val="000000" w:themeColor="text1"/>
          <w:sz w:val="24"/>
          <w:szCs w:val="24"/>
          <w:lang w:val="es-ES"/>
        </w:rPr>
        <w:t xml:space="preserve">2000-2009). </w:t>
      </w:r>
      <w:proofErr w:type="spellStart"/>
      <w:r w:rsidR="00C307FA" w:rsidRPr="00CC2855">
        <w:rPr>
          <w:rFonts w:ascii="Times New Roman" w:hAnsi="Times New Roman" w:cs="Times New Roman"/>
          <w:color w:val="000000" w:themeColor="text1"/>
          <w:sz w:val="24"/>
          <w:szCs w:val="24"/>
          <w:lang w:val="es-ES"/>
        </w:rPr>
        <w:t>Antropologia</w:t>
      </w:r>
      <w:proofErr w:type="spellEnd"/>
      <w:r w:rsidR="00C307FA" w:rsidRPr="00CC2855">
        <w:rPr>
          <w:rFonts w:ascii="Times New Roman" w:hAnsi="Times New Roman" w:cs="Times New Roman"/>
          <w:color w:val="000000" w:themeColor="text1"/>
          <w:sz w:val="24"/>
          <w:szCs w:val="24"/>
          <w:lang w:val="es-ES"/>
        </w:rPr>
        <w:t xml:space="preserve">, </w:t>
      </w:r>
      <w:proofErr w:type="spellStart"/>
      <w:r w:rsidR="00C307FA" w:rsidRPr="00CC2855">
        <w:rPr>
          <w:rFonts w:ascii="Times New Roman" w:hAnsi="Times New Roman" w:cs="Times New Roman"/>
          <w:color w:val="000000" w:themeColor="text1"/>
          <w:sz w:val="24"/>
          <w:szCs w:val="24"/>
          <w:lang w:val="es-ES"/>
        </w:rPr>
        <w:t>migrazioni</w:t>
      </w:r>
      <w:proofErr w:type="spellEnd"/>
      <w:r w:rsidR="00C307FA" w:rsidRPr="00CC2855">
        <w:rPr>
          <w:rFonts w:ascii="Times New Roman" w:hAnsi="Times New Roman" w:cs="Times New Roman"/>
          <w:color w:val="000000" w:themeColor="text1"/>
          <w:sz w:val="24"/>
          <w:szCs w:val="24"/>
          <w:lang w:val="es-ES"/>
        </w:rPr>
        <w:t xml:space="preserve"> e asilo </w:t>
      </w:r>
      <w:proofErr w:type="spellStart"/>
      <w:r w:rsidR="00C307FA" w:rsidRPr="00CC2855">
        <w:rPr>
          <w:rFonts w:ascii="Times New Roman" w:hAnsi="Times New Roman" w:cs="Times New Roman"/>
          <w:color w:val="000000" w:themeColor="text1"/>
          <w:sz w:val="24"/>
          <w:szCs w:val="24"/>
          <w:lang w:val="es-ES"/>
        </w:rPr>
        <w:t>politico</w:t>
      </w:r>
      <w:proofErr w:type="spellEnd"/>
      <w:r w:rsidR="00C307FA" w:rsidRPr="00CC2855">
        <w:rPr>
          <w:rFonts w:ascii="Times New Roman" w:hAnsi="Times New Roman" w:cs="Times New Roman"/>
          <w:color w:val="000000" w:themeColor="text1"/>
          <w:sz w:val="24"/>
          <w:szCs w:val="24"/>
          <w:lang w:val="es-ES"/>
        </w:rPr>
        <w:t>, pp. 63-83.</w:t>
      </w:r>
    </w:p>
    <w:p w14:paraId="69FC780E" w14:textId="2C14B97B" w:rsidR="00384730" w:rsidRPr="00CC2855" w:rsidRDefault="00AB1243"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Corriere </w:t>
      </w:r>
      <w:proofErr w:type="spellStart"/>
      <w:r w:rsidRPr="00CC2855">
        <w:rPr>
          <w:rFonts w:ascii="Times New Roman" w:hAnsi="Times New Roman" w:cs="Times New Roman"/>
          <w:color w:val="000000" w:themeColor="text1"/>
          <w:sz w:val="24"/>
          <w:szCs w:val="24"/>
          <w:lang w:val="es-ES"/>
        </w:rPr>
        <w:t>della</w:t>
      </w:r>
      <w:proofErr w:type="spellEnd"/>
      <w:r w:rsidRPr="00CC2855">
        <w:rPr>
          <w:rFonts w:ascii="Times New Roman" w:hAnsi="Times New Roman" w:cs="Times New Roman"/>
          <w:color w:val="000000" w:themeColor="text1"/>
          <w:sz w:val="24"/>
          <w:szCs w:val="24"/>
          <w:lang w:val="es-ES"/>
        </w:rPr>
        <w:t xml:space="preserve"> Sera (13-08-19</w:t>
      </w:r>
      <w:r w:rsidR="0077737C" w:rsidRPr="00CC2855">
        <w:rPr>
          <w:rFonts w:ascii="Times New Roman" w:hAnsi="Times New Roman" w:cs="Times New Roman"/>
          <w:color w:val="000000" w:themeColor="text1"/>
          <w:sz w:val="24"/>
          <w:szCs w:val="24"/>
          <w:lang w:val="es-ES"/>
        </w:rPr>
        <w:t xml:space="preserve">80) </w:t>
      </w:r>
      <w:r w:rsidR="0077737C" w:rsidRPr="00CC2855">
        <w:rPr>
          <w:rFonts w:ascii="Times New Roman" w:hAnsi="Times New Roman" w:cs="Times New Roman"/>
          <w:i/>
          <w:iCs/>
          <w:color w:val="000000" w:themeColor="text1"/>
          <w:sz w:val="24"/>
          <w:szCs w:val="24"/>
          <w:lang w:val="es-ES"/>
        </w:rPr>
        <w:t xml:space="preserve">“La rete </w:t>
      </w:r>
      <w:proofErr w:type="spellStart"/>
      <w:r w:rsidR="0077737C" w:rsidRPr="00CC2855">
        <w:rPr>
          <w:rFonts w:ascii="Times New Roman" w:hAnsi="Times New Roman" w:cs="Times New Roman"/>
          <w:i/>
          <w:iCs/>
          <w:color w:val="000000" w:themeColor="text1"/>
          <w:sz w:val="24"/>
          <w:szCs w:val="24"/>
          <w:lang w:val="es-ES"/>
        </w:rPr>
        <w:t>segreta</w:t>
      </w:r>
      <w:proofErr w:type="spellEnd"/>
      <w:r w:rsidR="0077737C" w:rsidRPr="00CC2855">
        <w:rPr>
          <w:rFonts w:ascii="Times New Roman" w:hAnsi="Times New Roman" w:cs="Times New Roman"/>
          <w:i/>
          <w:iCs/>
          <w:color w:val="000000" w:themeColor="text1"/>
          <w:sz w:val="24"/>
          <w:szCs w:val="24"/>
          <w:lang w:val="es-ES"/>
        </w:rPr>
        <w:t xml:space="preserve"> di </w:t>
      </w:r>
      <w:proofErr w:type="spellStart"/>
      <w:r w:rsidR="0077737C" w:rsidRPr="00CC2855">
        <w:rPr>
          <w:rFonts w:ascii="Times New Roman" w:hAnsi="Times New Roman" w:cs="Times New Roman"/>
          <w:i/>
          <w:iCs/>
          <w:color w:val="000000" w:themeColor="text1"/>
          <w:sz w:val="24"/>
          <w:szCs w:val="24"/>
          <w:lang w:val="es-ES"/>
        </w:rPr>
        <w:t>Gheddafi</w:t>
      </w:r>
      <w:proofErr w:type="spellEnd"/>
      <w:r w:rsidR="0077737C" w:rsidRPr="00CC2855">
        <w:rPr>
          <w:rFonts w:ascii="Times New Roman" w:hAnsi="Times New Roman" w:cs="Times New Roman"/>
          <w:i/>
          <w:iCs/>
          <w:color w:val="000000" w:themeColor="text1"/>
          <w:sz w:val="24"/>
          <w:szCs w:val="24"/>
          <w:lang w:val="es-ES"/>
        </w:rPr>
        <w:t xml:space="preserve"> in Italia”</w:t>
      </w:r>
      <w:r w:rsidR="0077737C" w:rsidRPr="00CC2855">
        <w:rPr>
          <w:rFonts w:ascii="Times New Roman" w:hAnsi="Times New Roman" w:cs="Times New Roman"/>
          <w:color w:val="000000" w:themeColor="text1"/>
          <w:sz w:val="24"/>
          <w:szCs w:val="24"/>
          <w:lang w:val="es-ES"/>
        </w:rPr>
        <w:t xml:space="preserve">. En: </w:t>
      </w:r>
    </w:p>
    <w:p w14:paraId="6007CDFE" w14:textId="394E3F17" w:rsidR="00B94B97" w:rsidRPr="00CC2855" w:rsidRDefault="0038473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384730">
        <w:rPr>
          <w:rFonts w:ascii="Times New Roman" w:hAnsi="Times New Roman" w:cs="Times New Roman"/>
          <w:color w:val="000000" w:themeColor="text1"/>
          <w:sz w:val="24"/>
          <w:szCs w:val="24"/>
          <w:lang w:val="es-ES"/>
        </w:rPr>
        <w:t xml:space="preserve">Corriere </w:t>
      </w:r>
      <w:proofErr w:type="spellStart"/>
      <w:r w:rsidRPr="00384730">
        <w:rPr>
          <w:rFonts w:ascii="Times New Roman" w:hAnsi="Times New Roman" w:cs="Times New Roman"/>
          <w:color w:val="000000" w:themeColor="text1"/>
          <w:sz w:val="24"/>
          <w:szCs w:val="24"/>
          <w:lang w:val="es-ES"/>
        </w:rPr>
        <w:t>della</w:t>
      </w:r>
      <w:proofErr w:type="spellEnd"/>
      <w:r w:rsidRPr="00384730">
        <w:rPr>
          <w:rFonts w:ascii="Times New Roman" w:hAnsi="Times New Roman" w:cs="Times New Roman"/>
          <w:color w:val="000000" w:themeColor="text1"/>
          <w:sz w:val="24"/>
          <w:szCs w:val="24"/>
          <w:lang w:val="es-ES"/>
        </w:rPr>
        <w:t xml:space="preserve"> Sera (12-08-1991). “</w:t>
      </w:r>
      <w:proofErr w:type="spellStart"/>
      <w:r w:rsidRPr="00384730">
        <w:rPr>
          <w:rFonts w:ascii="Times New Roman" w:hAnsi="Times New Roman" w:cs="Times New Roman"/>
          <w:color w:val="000000" w:themeColor="text1"/>
          <w:sz w:val="24"/>
          <w:szCs w:val="24"/>
          <w:lang w:val="es-ES"/>
        </w:rPr>
        <w:t>Strage</w:t>
      </w:r>
      <w:proofErr w:type="spellEnd"/>
      <w:r w:rsidRPr="00384730">
        <w:rPr>
          <w:rFonts w:ascii="Times New Roman" w:hAnsi="Times New Roman" w:cs="Times New Roman"/>
          <w:color w:val="000000" w:themeColor="text1"/>
          <w:sz w:val="24"/>
          <w:szCs w:val="24"/>
          <w:lang w:val="es-ES"/>
        </w:rPr>
        <w:t xml:space="preserve"> di </w:t>
      </w:r>
      <w:proofErr w:type="spellStart"/>
      <w:r w:rsidRPr="00384730">
        <w:rPr>
          <w:rFonts w:ascii="Times New Roman" w:hAnsi="Times New Roman" w:cs="Times New Roman"/>
          <w:color w:val="000000" w:themeColor="text1"/>
          <w:sz w:val="24"/>
          <w:szCs w:val="24"/>
          <w:lang w:val="es-ES"/>
        </w:rPr>
        <w:t>Bologna</w:t>
      </w:r>
      <w:proofErr w:type="spellEnd"/>
      <w:r w:rsidRPr="00384730">
        <w:rPr>
          <w:rFonts w:ascii="Times New Roman" w:hAnsi="Times New Roman" w:cs="Times New Roman"/>
          <w:color w:val="000000" w:themeColor="text1"/>
          <w:sz w:val="24"/>
          <w:szCs w:val="24"/>
          <w:lang w:val="es-ES"/>
        </w:rPr>
        <w:t xml:space="preserve">: </w:t>
      </w:r>
      <w:proofErr w:type="spellStart"/>
      <w:proofErr w:type="gramStart"/>
      <w:r w:rsidRPr="00384730">
        <w:rPr>
          <w:rFonts w:ascii="Times New Roman" w:hAnsi="Times New Roman" w:cs="Times New Roman"/>
          <w:color w:val="000000" w:themeColor="text1"/>
          <w:sz w:val="24"/>
          <w:szCs w:val="24"/>
          <w:lang w:val="es-ES"/>
        </w:rPr>
        <w:t>c’entra</w:t>
      </w:r>
      <w:proofErr w:type="spellEnd"/>
      <w:r w:rsidRPr="00384730">
        <w:rPr>
          <w:rFonts w:ascii="Times New Roman" w:hAnsi="Times New Roman" w:cs="Times New Roman"/>
          <w:color w:val="000000" w:themeColor="text1"/>
          <w:sz w:val="24"/>
          <w:szCs w:val="24"/>
          <w:lang w:val="es-ES"/>
        </w:rPr>
        <w:t xml:space="preserve"> </w:t>
      </w:r>
      <w:proofErr w:type="spellStart"/>
      <w:r w:rsidRPr="00384730">
        <w:rPr>
          <w:rFonts w:ascii="Times New Roman" w:hAnsi="Times New Roman" w:cs="Times New Roman"/>
          <w:color w:val="000000" w:themeColor="text1"/>
          <w:sz w:val="24"/>
          <w:szCs w:val="24"/>
          <w:lang w:val="es-ES"/>
        </w:rPr>
        <w:t>Ghedaffi</w:t>
      </w:r>
      <w:proofErr w:type="spellEnd"/>
      <w:r w:rsidRPr="00384730">
        <w:rPr>
          <w:rFonts w:ascii="Times New Roman" w:hAnsi="Times New Roman" w:cs="Times New Roman"/>
          <w:color w:val="000000" w:themeColor="text1"/>
          <w:sz w:val="24"/>
          <w:szCs w:val="24"/>
          <w:lang w:val="es-ES"/>
        </w:rPr>
        <w:t>?</w:t>
      </w:r>
      <w:proofErr w:type="gramEnd"/>
      <w:r w:rsidRPr="00384730">
        <w:rPr>
          <w:rFonts w:ascii="Times New Roman" w:hAnsi="Times New Roman" w:cs="Times New Roman"/>
          <w:color w:val="000000" w:themeColor="text1"/>
          <w:sz w:val="24"/>
          <w:szCs w:val="24"/>
          <w:lang w:val="es-ES"/>
        </w:rPr>
        <w:t xml:space="preserve">”. </w:t>
      </w:r>
      <w:proofErr w:type="spellStart"/>
      <w:r w:rsidRPr="00384730">
        <w:rPr>
          <w:rFonts w:ascii="Times New Roman" w:hAnsi="Times New Roman" w:cs="Times New Roman"/>
          <w:color w:val="000000" w:themeColor="text1"/>
          <w:sz w:val="24"/>
          <w:szCs w:val="24"/>
          <w:lang w:val="es-ES"/>
        </w:rPr>
        <w:t>Cronache</w:t>
      </w:r>
      <w:proofErr w:type="spellEnd"/>
      <w:r w:rsidRPr="00384730">
        <w:rPr>
          <w:rFonts w:ascii="Times New Roman" w:hAnsi="Times New Roman" w:cs="Times New Roman"/>
          <w:color w:val="000000" w:themeColor="text1"/>
          <w:sz w:val="24"/>
          <w:szCs w:val="24"/>
          <w:lang w:val="es-ES"/>
        </w:rPr>
        <w:t>, p. 12</w:t>
      </w:r>
    </w:p>
    <w:p w14:paraId="7C79E3EC" w14:textId="0D14AD53" w:rsidR="00EA41C7" w:rsidRPr="00CC2855" w:rsidRDefault="00B94B97"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rPr>
      </w:pPr>
      <w:proofErr w:type="spellStart"/>
      <w:r w:rsidRPr="00CC2855">
        <w:rPr>
          <w:rFonts w:ascii="Times New Roman" w:hAnsi="Times New Roman" w:cs="Times New Roman"/>
          <w:color w:val="000000" w:themeColor="text1"/>
          <w:sz w:val="24"/>
          <w:szCs w:val="24"/>
          <w:lang w:val="es-ES"/>
        </w:rPr>
        <w:t>Coslovi</w:t>
      </w:r>
      <w:proofErr w:type="spellEnd"/>
      <w:r w:rsidRPr="00CC2855">
        <w:rPr>
          <w:rFonts w:ascii="Times New Roman" w:hAnsi="Times New Roman" w:cs="Times New Roman"/>
          <w:color w:val="000000" w:themeColor="text1"/>
          <w:sz w:val="24"/>
          <w:szCs w:val="24"/>
          <w:lang w:val="es-ES"/>
        </w:rPr>
        <w:t>, L</w:t>
      </w:r>
      <w:r w:rsidR="009C45D0" w:rsidRPr="00CC2855">
        <w:rPr>
          <w:rFonts w:ascii="Times New Roman" w:hAnsi="Times New Roman" w:cs="Times New Roman"/>
          <w:color w:val="000000" w:themeColor="text1"/>
          <w:sz w:val="24"/>
          <w:szCs w:val="24"/>
          <w:lang w:val="es-ES"/>
        </w:rPr>
        <w:t>.</w:t>
      </w:r>
      <w:r w:rsidRPr="00CC2855">
        <w:rPr>
          <w:rFonts w:ascii="Times New Roman" w:hAnsi="Times New Roman" w:cs="Times New Roman"/>
          <w:color w:val="000000" w:themeColor="text1"/>
          <w:sz w:val="24"/>
          <w:szCs w:val="24"/>
          <w:lang w:val="es-ES"/>
        </w:rPr>
        <w:t xml:space="preserve"> (2007) “</w:t>
      </w:r>
      <w:r w:rsidRPr="00CC2855">
        <w:rPr>
          <w:rFonts w:ascii="Times New Roman" w:hAnsi="Times New Roman" w:cs="Times New Roman"/>
          <w:color w:val="000000" w:themeColor="text1"/>
          <w:sz w:val="24"/>
          <w:szCs w:val="24"/>
        </w:rPr>
        <w:t>Brevi note sull'immigrazione via mare in Italia e in Spagna</w:t>
      </w:r>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CeSPI</w:t>
      </w:r>
      <w:proofErr w:type="spellEnd"/>
      <w:r w:rsidRPr="00CC2855">
        <w:rPr>
          <w:rFonts w:ascii="Times New Roman" w:hAnsi="Times New Roman" w:cs="Times New Roman"/>
          <w:color w:val="000000" w:themeColor="text1"/>
          <w:sz w:val="24"/>
          <w:szCs w:val="24"/>
          <w:lang w:val="es-ES"/>
        </w:rPr>
        <w:t xml:space="preserve">. Centro </w:t>
      </w:r>
      <w:proofErr w:type="spellStart"/>
      <w:r w:rsidRPr="00CC2855">
        <w:rPr>
          <w:rFonts w:ascii="Times New Roman" w:hAnsi="Times New Roman" w:cs="Times New Roman"/>
          <w:color w:val="000000" w:themeColor="text1"/>
          <w:sz w:val="24"/>
          <w:szCs w:val="24"/>
          <w:lang w:val="es-ES"/>
        </w:rPr>
        <w:t>Studi</w:t>
      </w:r>
      <w:proofErr w:type="spellEnd"/>
      <w:r w:rsidRPr="00CC2855">
        <w:rPr>
          <w:rFonts w:ascii="Times New Roman" w:hAnsi="Times New Roman" w:cs="Times New Roman"/>
          <w:color w:val="000000" w:themeColor="text1"/>
          <w:sz w:val="24"/>
          <w:szCs w:val="24"/>
          <w:lang w:val="es-ES"/>
        </w:rPr>
        <w:t xml:space="preserve"> di </w:t>
      </w:r>
      <w:proofErr w:type="spellStart"/>
      <w:r w:rsidRPr="00CC2855">
        <w:rPr>
          <w:rFonts w:ascii="Times New Roman" w:hAnsi="Times New Roman" w:cs="Times New Roman"/>
          <w:color w:val="000000" w:themeColor="text1"/>
          <w:sz w:val="24"/>
          <w:szCs w:val="24"/>
          <w:lang w:val="es-ES"/>
        </w:rPr>
        <w:t>Politica</w:t>
      </w:r>
      <w:proofErr w:type="spellEnd"/>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Internazionale</w:t>
      </w:r>
      <w:proofErr w:type="spellEnd"/>
      <w:r w:rsidRPr="00CC2855">
        <w:rPr>
          <w:rFonts w:ascii="Times New Roman" w:hAnsi="Times New Roman" w:cs="Times New Roman"/>
          <w:color w:val="000000" w:themeColor="text1"/>
          <w:sz w:val="24"/>
          <w:szCs w:val="24"/>
          <w:lang w:val="es-ES"/>
        </w:rPr>
        <w:t xml:space="preserve">, Roma, enero 2007, </w:t>
      </w:r>
      <w:r w:rsidRPr="00CC2855">
        <w:rPr>
          <w:rFonts w:ascii="Times New Roman" w:hAnsi="Times New Roman" w:cs="Times New Roman"/>
          <w:color w:val="000000" w:themeColor="text1"/>
          <w:sz w:val="24"/>
          <w:szCs w:val="24"/>
        </w:rPr>
        <w:t>Roma, 2007, http://www.cespi.it/PDF/mig-mare.pdf.</w:t>
      </w:r>
    </w:p>
    <w:p w14:paraId="197434F3" w14:textId="3C1DA837" w:rsidR="00384730" w:rsidRPr="00CC2855" w:rsidRDefault="00EA41C7"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n-US"/>
        </w:rPr>
      </w:pPr>
      <w:r w:rsidRPr="00CC2855">
        <w:rPr>
          <w:rFonts w:ascii="Times New Roman" w:hAnsi="Times New Roman" w:cs="Times New Roman"/>
          <w:color w:val="000000" w:themeColor="text1"/>
          <w:sz w:val="24"/>
          <w:szCs w:val="24"/>
        </w:rPr>
        <w:t>De Haas, H</w:t>
      </w:r>
      <w:r w:rsidR="00A0495F" w:rsidRPr="00CC2855">
        <w:rPr>
          <w:rFonts w:ascii="Times New Roman" w:hAnsi="Times New Roman" w:cs="Times New Roman"/>
          <w:color w:val="000000" w:themeColor="text1"/>
          <w:sz w:val="24"/>
          <w:szCs w:val="24"/>
          <w:lang w:val="en-US"/>
        </w:rPr>
        <w:t>.</w:t>
      </w:r>
      <w:r w:rsidRPr="00CC2855">
        <w:rPr>
          <w:rFonts w:ascii="Times New Roman" w:hAnsi="Times New Roman" w:cs="Times New Roman"/>
          <w:color w:val="000000" w:themeColor="text1"/>
          <w:sz w:val="24"/>
          <w:szCs w:val="24"/>
          <w:lang w:val="en-US"/>
        </w:rPr>
        <w:t xml:space="preserve"> (2008)</w:t>
      </w:r>
      <w:r w:rsidRPr="00CC2855">
        <w:rPr>
          <w:rFonts w:ascii="Times New Roman" w:hAnsi="Times New Roman" w:cs="Times New Roman"/>
          <w:color w:val="000000" w:themeColor="text1"/>
          <w:sz w:val="24"/>
          <w:szCs w:val="24"/>
        </w:rPr>
        <w:t xml:space="preserve"> The Myth of Invasion: the inconvenient realities of African migration to Europe, Third World Quarterly, 29:7, </w:t>
      </w:r>
      <w:r w:rsidR="00E32835" w:rsidRPr="00CC2855">
        <w:rPr>
          <w:rFonts w:ascii="Times New Roman" w:hAnsi="Times New Roman" w:cs="Times New Roman"/>
          <w:color w:val="000000" w:themeColor="text1"/>
          <w:sz w:val="24"/>
          <w:szCs w:val="24"/>
          <w:lang w:val="en-US"/>
        </w:rPr>
        <w:t xml:space="preserve">pp. </w:t>
      </w:r>
      <w:r w:rsidRPr="00CC2855">
        <w:rPr>
          <w:rFonts w:ascii="Times New Roman" w:hAnsi="Times New Roman" w:cs="Times New Roman"/>
          <w:color w:val="000000" w:themeColor="text1"/>
          <w:sz w:val="24"/>
          <w:szCs w:val="24"/>
        </w:rPr>
        <w:t>1305-1322</w:t>
      </w:r>
      <w:r w:rsidR="00E32835" w:rsidRPr="00CC2855">
        <w:rPr>
          <w:rFonts w:ascii="Times New Roman" w:hAnsi="Times New Roman" w:cs="Times New Roman"/>
          <w:color w:val="000000" w:themeColor="text1"/>
          <w:sz w:val="24"/>
          <w:szCs w:val="24"/>
          <w:lang w:val="en-US"/>
        </w:rPr>
        <w:t>.</w:t>
      </w:r>
    </w:p>
    <w:p w14:paraId="6CE5103A" w14:textId="6D462471" w:rsidR="001D11F8" w:rsidRPr="00CC2855" w:rsidRDefault="0038473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n-US"/>
        </w:rPr>
      </w:pPr>
      <w:r w:rsidRPr="00384730">
        <w:rPr>
          <w:rFonts w:ascii="Times New Roman" w:hAnsi="Times New Roman" w:cs="Times New Roman"/>
          <w:color w:val="000000" w:themeColor="text1"/>
          <w:sz w:val="24"/>
          <w:szCs w:val="24"/>
          <w:lang w:val="es-ES_tradnl"/>
        </w:rPr>
        <w:t>Del Grande, G</w:t>
      </w:r>
      <w:r w:rsidR="00646C13" w:rsidRPr="00CC2855">
        <w:rPr>
          <w:rFonts w:ascii="Times New Roman" w:hAnsi="Times New Roman" w:cs="Times New Roman"/>
          <w:color w:val="000000" w:themeColor="text1"/>
          <w:sz w:val="24"/>
          <w:szCs w:val="24"/>
          <w:lang w:val="es-ES_tradnl"/>
        </w:rPr>
        <w:t>.</w:t>
      </w:r>
      <w:r w:rsidRPr="00384730">
        <w:rPr>
          <w:rFonts w:ascii="Times New Roman" w:hAnsi="Times New Roman" w:cs="Times New Roman"/>
          <w:color w:val="000000" w:themeColor="text1"/>
          <w:sz w:val="24"/>
          <w:szCs w:val="24"/>
          <w:lang w:val="es-ES_tradnl"/>
        </w:rPr>
        <w:t xml:space="preserve"> (</w:t>
      </w:r>
      <w:r w:rsidR="00646C13" w:rsidRPr="00CC2855">
        <w:rPr>
          <w:rFonts w:ascii="Times New Roman" w:hAnsi="Times New Roman" w:cs="Times New Roman"/>
          <w:color w:val="000000" w:themeColor="text1"/>
          <w:sz w:val="24"/>
          <w:szCs w:val="24"/>
          <w:lang w:val="es-ES_tradnl"/>
        </w:rPr>
        <w:t>02-02-</w:t>
      </w:r>
      <w:r w:rsidRPr="00384730">
        <w:rPr>
          <w:rFonts w:ascii="Times New Roman" w:hAnsi="Times New Roman" w:cs="Times New Roman"/>
          <w:color w:val="000000" w:themeColor="text1"/>
          <w:sz w:val="24"/>
          <w:szCs w:val="24"/>
          <w:lang w:val="es-ES_tradnl"/>
        </w:rPr>
        <w:t xml:space="preserve">2009) </w:t>
      </w:r>
      <w:r w:rsidR="00CB4119" w:rsidRPr="00CC2855">
        <w:rPr>
          <w:rFonts w:ascii="Times New Roman" w:hAnsi="Times New Roman" w:cs="Times New Roman"/>
          <w:color w:val="000000" w:themeColor="text1"/>
          <w:sz w:val="24"/>
          <w:szCs w:val="24"/>
          <w:lang w:val="es-ES_tradnl"/>
        </w:rPr>
        <w:t>“</w:t>
      </w:r>
      <w:proofErr w:type="spellStart"/>
      <w:r w:rsidRPr="00384730">
        <w:rPr>
          <w:rFonts w:ascii="Times New Roman" w:hAnsi="Times New Roman" w:cs="Times New Roman"/>
          <w:color w:val="000000" w:themeColor="text1"/>
          <w:sz w:val="24"/>
          <w:szCs w:val="24"/>
          <w:lang w:val="es-ES_tradnl"/>
        </w:rPr>
        <w:t>Guantanamo</w:t>
      </w:r>
      <w:proofErr w:type="spellEnd"/>
      <w:r w:rsidRPr="00384730">
        <w:rPr>
          <w:rFonts w:ascii="Times New Roman" w:hAnsi="Times New Roman" w:cs="Times New Roman"/>
          <w:color w:val="000000" w:themeColor="text1"/>
          <w:sz w:val="24"/>
          <w:szCs w:val="24"/>
          <w:lang w:val="es-ES_tradnl"/>
        </w:rPr>
        <w:t xml:space="preserve"> Libia. </w:t>
      </w:r>
      <w:proofErr w:type="spellStart"/>
      <w:r w:rsidRPr="00384730">
        <w:rPr>
          <w:rFonts w:ascii="Times New Roman" w:hAnsi="Times New Roman" w:cs="Times New Roman"/>
          <w:color w:val="000000" w:themeColor="text1"/>
          <w:sz w:val="24"/>
          <w:szCs w:val="24"/>
          <w:lang w:val="es-ES_tradnl"/>
        </w:rPr>
        <w:t>Il</w:t>
      </w:r>
      <w:proofErr w:type="spellEnd"/>
      <w:r w:rsidRPr="00384730">
        <w:rPr>
          <w:rFonts w:ascii="Times New Roman" w:hAnsi="Times New Roman" w:cs="Times New Roman"/>
          <w:color w:val="000000" w:themeColor="text1"/>
          <w:sz w:val="24"/>
          <w:szCs w:val="24"/>
          <w:lang w:val="es-ES_tradnl"/>
        </w:rPr>
        <w:t xml:space="preserve"> </w:t>
      </w:r>
      <w:proofErr w:type="spellStart"/>
      <w:r w:rsidRPr="00384730">
        <w:rPr>
          <w:rFonts w:ascii="Times New Roman" w:hAnsi="Times New Roman" w:cs="Times New Roman"/>
          <w:color w:val="000000" w:themeColor="text1"/>
          <w:sz w:val="24"/>
          <w:szCs w:val="24"/>
          <w:lang w:val="es-ES_tradnl"/>
        </w:rPr>
        <w:t>nu</w:t>
      </w:r>
      <w:r w:rsidR="00646C13" w:rsidRPr="00CC2855">
        <w:rPr>
          <w:rFonts w:ascii="Times New Roman" w:hAnsi="Times New Roman" w:cs="Times New Roman"/>
          <w:color w:val="000000" w:themeColor="text1"/>
          <w:sz w:val="24"/>
          <w:szCs w:val="24"/>
          <w:lang w:val="es-ES_tradnl"/>
        </w:rPr>
        <w:t>o</w:t>
      </w:r>
      <w:r w:rsidRPr="00384730">
        <w:rPr>
          <w:rFonts w:ascii="Times New Roman" w:hAnsi="Times New Roman" w:cs="Times New Roman"/>
          <w:color w:val="000000" w:themeColor="text1"/>
          <w:sz w:val="24"/>
          <w:szCs w:val="24"/>
          <w:lang w:val="es-ES_tradnl"/>
        </w:rPr>
        <w:t>vo</w:t>
      </w:r>
      <w:proofErr w:type="spellEnd"/>
      <w:r w:rsidRPr="00384730">
        <w:rPr>
          <w:rFonts w:ascii="Times New Roman" w:hAnsi="Times New Roman" w:cs="Times New Roman"/>
          <w:color w:val="000000" w:themeColor="text1"/>
          <w:sz w:val="24"/>
          <w:szCs w:val="24"/>
          <w:lang w:val="es-ES_tradnl"/>
        </w:rPr>
        <w:t xml:space="preserve"> gendarme </w:t>
      </w:r>
      <w:proofErr w:type="spellStart"/>
      <w:r w:rsidRPr="00384730">
        <w:rPr>
          <w:rFonts w:ascii="Times New Roman" w:hAnsi="Times New Roman" w:cs="Times New Roman"/>
          <w:color w:val="000000" w:themeColor="text1"/>
          <w:sz w:val="24"/>
          <w:szCs w:val="24"/>
          <w:lang w:val="es-ES_tradnl"/>
        </w:rPr>
        <w:t>delle</w:t>
      </w:r>
      <w:proofErr w:type="spellEnd"/>
      <w:r w:rsidRPr="00384730">
        <w:rPr>
          <w:rFonts w:ascii="Times New Roman" w:hAnsi="Times New Roman" w:cs="Times New Roman"/>
          <w:color w:val="000000" w:themeColor="text1"/>
          <w:sz w:val="24"/>
          <w:szCs w:val="24"/>
          <w:lang w:val="es-ES_tradnl"/>
        </w:rPr>
        <w:t xml:space="preserve"> </w:t>
      </w:r>
      <w:proofErr w:type="spellStart"/>
      <w:r w:rsidRPr="00384730">
        <w:rPr>
          <w:rFonts w:ascii="Times New Roman" w:hAnsi="Times New Roman" w:cs="Times New Roman"/>
          <w:color w:val="000000" w:themeColor="text1"/>
          <w:sz w:val="24"/>
          <w:szCs w:val="24"/>
          <w:lang w:val="es-ES_tradnl"/>
        </w:rPr>
        <w:t>frontiere</w:t>
      </w:r>
      <w:proofErr w:type="spellEnd"/>
      <w:r w:rsidRPr="00384730">
        <w:rPr>
          <w:rFonts w:ascii="Times New Roman" w:hAnsi="Times New Roman" w:cs="Times New Roman"/>
          <w:color w:val="000000" w:themeColor="text1"/>
          <w:sz w:val="24"/>
          <w:szCs w:val="24"/>
          <w:lang w:val="es-ES_tradnl"/>
        </w:rPr>
        <w:t xml:space="preserve"> italiane. </w:t>
      </w:r>
      <w:r w:rsidRPr="00384730">
        <w:rPr>
          <w:rFonts w:ascii="Times New Roman" w:hAnsi="Times New Roman" w:cs="Times New Roman"/>
          <w:color w:val="000000" w:themeColor="text1"/>
          <w:sz w:val="24"/>
          <w:szCs w:val="24"/>
          <w:lang w:val="en-US"/>
        </w:rPr>
        <w:t>Fortress Europe</w:t>
      </w:r>
      <w:r w:rsidR="00CB4119" w:rsidRPr="00CC2855">
        <w:rPr>
          <w:rFonts w:ascii="Times New Roman" w:hAnsi="Times New Roman" w:cs="Times New Roman"/>
          <w:color w:val="000000" w:themeColor="text1"/>
          <w:sz w:val="24"/>
          <w:szCs w:val="24"/>
          <w:lang w:val="en-US"/>
        </w:rPr>
        <w:t>”</w:t>
      </w:r>
      <w:r w:rsidRPr="00384730">
        <w:rPr>
          <w:rFonts w:ascii="Times New Roman" w:hAnsi="Times New Roman" w:cs="Times New Roman"/>
          <w:color w:val="000000" w:themeColor="text1"/>
          <w:sz w:val="24"/>
          <w:szCs w:val="24"/>
          <w:lang w:val="en-US"/>
        </w:rPr>
        <w:t>. Blog. http://fortresseurope.blogspot.com/2006/01/guantanamo-libia-il-nuovo-gendarme.htm</w:t>
      </w:r>
      <w:r w:rsidR="00CB4119" w:rsidRPr="00CC2855">
        <w:rPr>
          <w:rFonts w:ascii="Times New Roman" w:hAnsi="Times New Roman" w:cs="Times New Roman"/>
          <w:color w:val="000000" w:themeColor="text1"/>
          <w:sz w:val="24"/>
          <w:szCs w:val="24"/>
          <w:lang w:val="en-US"/>
        </w:rPr>
        <w:t>l</w:t>
      </w:r>
    </w:p>
    <w:p w14:paraId="0E3BF282" w14:textId="2FEAF984" w:rsidR="00A0495F" w:rsidRPr="00CC2855" w:rsidRDefault="001D11F8"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Díez </w:t>
      </w:r>
      <w:proofErr w:type="gramStart"/>
      <w:r w:rsidRPr="00CC2855">
        <w:rPr>
          <w:rFonts w:ascii="Times New Roman" w:hAnsi="Times New Roman" w:cs="Times New Roman"/>
          <w:color w:val="000000" w:themeColor="text1"/>
          <w:sz w:val="24"/>
          <w:szCs w:val="24"/>
          <w:lang w:val="es-ES"/>
        </w:rPr>
        <w:t>Alcalde</w:t>
      </w:r>
      <w:proofErr w:type="gramEnd"/>
      <w:r w:rsidRPr="00CC2855">
        <w:rPr>
          <w:rFonts w:ascii="Times New Roman" w:hAnsi="Times New Roman" w:cs="Times New Roman"/>
          <w:color w:val="000000" w:themeColor="text1"/>
          <w:sz w:val="24"/>
          <w:szCs w:val="24"/>
          <w:lang w:val="es-ES"/>
        </w:rPr>
        <w:t xml:space="preserve">, J. y Vacas Fernández, F. (2008) </w:t>
      </w:r>
      <w:r w:rsidRPr="00CC2855">
        <w:rPr>
          <w:rFonts w:ascii="Times New Roman" w:hAnsi="Times New Roman" w:cs="Times New Roman"/>
          <w:i/>
          <w:iCs/>
          <w:color w:val="000000" w:themeColor="text1"/>
          <w:sz w:val="24"/>
          <w:szCs w:val="24"/>
          <w:lang w:val="es-ES"/>
        </w:rPr>
        <w:t xml:space="preserve">Los conflictos de Sudán, </w:t>
      </w:r>
      <w:r w:rsidRPr="00CC2855">
        <w:rPr>
          <w:rFonts w:ascii="Times New Roman" w:hAnsi="Times New Roman" w:cs="Times New Roman"/>
          <w:color w:val="000000" w:themeColor="text1"/>
          <w:sz w:val="24"/>
          <w:szCs w:val="24"/>
          <w:lang w:val="es-ES"/>
        </w:rPr>
        <w:t>Madrid: Ministerio de Defensa/Instituto de Estudios Internacionales y Europeos “Francisco de Vitoria”</w:t>
      </w:r>
      <w:r w:rsidR="002B2FBC" w:rsidRPr="00CC2855">
        <w:rPr>
          <w:rFonts w:ascii="Times New Roman" w:hAnsi="Times New Roman" w:cs="Times New Roman"/>
          <w:color w:val="000000" w:themeColor="text1"/>
          <w:sz w:val="24"/>
          <w:szCs w:val="24"/>
          <w:lang w:val="es-ES"/>
        </w:rPr>
        <w:t>- Universidad Carlos III de Madrid.</w:t>
      </w:r>
    </w:p>
    <w:p w14:paraId="4EFEDA16" w14:textId="240AA9B8" w:rsidR="00522D60" w:rsidRPr="00CC2855" w:rsidRDefault="00A0495F" w:rsidP="00F676DF">
      <w:pPr>
        <w:pStyle w:val="Textonotapie"/>
        <w:numPr>
          <w:ilvl w:val="0"/>
          <w:numId w:val="5"/>
        </w:numPr>
        <w:snapToGrid w:val="0"/>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El Mundo (29-09-2005). “Cinco muertos en un asalto a la frontera de Ceuta; Zapatero moviliza a más de 480 soldados”. </w:t>
      </w:r>
      <w:r w:rsidR="00952966" w:rsidRPr="00CC2855">
        <w:rPr>
          <w:rFonts w:ascii="Times New Roman" w:hAnsi="Times New Roman" w:cs="Times New Roman"/>
          <w:color w:val="000000" w:themeColor="text1"/>
          <w:sz w:val="24"/>
          <w:szCs w:val="24"/>
          <w:lang w:val="es-ES"/>
        </w:rPr>
        <w:t xml:space="preserve">Sociedad. Urgente. En: </w:t>
      </w:r>
      <w:hyperlink r:id="rId11" w:history="1">
        <w:r w:rsidR="00952966" w:rsidRPr="00CC2855">
          <w:rPr>
            <w:rStyle w:val="Hipervnculo"/>
            <w:rFonts w:ascii="Times New Roman" w:hAnsi="Times New Roman" w:cs="Times New Roman"/>
            <w:color w:val="000000" w:themeColor="text1"/>
            <w:sz w:val="24"/>
            <w:szCs w:val="24"/>
            <w:lang w:val="es-ES"/>
          </w:rPr>
          <w:t>https://www.elmundo.es/elmundo/2005/09/29/sociedad/1127968660.html</w:t>
        </w:r>
      </w:hyperlink>
      <w:r w:rsidR="00952966" w:rsidRPr="00CC2855">
        <w:rPr>
          <w:rFonts w:ascii="Times New Roman" w:hAnsi="Times New Roman" w:cs="Times New Roman"/>
          <w:color w:val="000000" w:themeColor="text1"/>
          <w:sz w:val="24"/>
          <w:szCs w:val="24"/>
          <w:lang w:val="es-ES"/>
        </w:rPr>
        <w:t xml:space="preserve">. </w:t>
      </w:r>
      <w:proofErr w:type="spellStart"/>
      <w:r w:rsidR="00952966" w:rsidRPr="00CC2855">
        <w:rPr>
          <w:rFonts w:ascii="Times New Roman" w:hAnsi="Times New Roman" w:cs="Times New Roman"/>
          <w:color w:val="000000" w:themeColor="text1"/>
          <w:sz w:val="24"/>
          <w:szCs w:val="24"/>
          <w:lang w:val="es-ES"/>
        </w:rPr>
        <w:t>Cons</w:t>
      </w:r>
      <w:proofErr w:type="spellEnd"/>
      <w:r w:rsidR="00952966" w:rsidRPr="00CC2855">
        <w:rPr>
          <w:rFonts w:ascii="Times New Roman" w:hAnsi="Times New Roman" w:cs="Times New Roman"/>
          <w:color w:val="000000" w:themeColor="text1"/>
          <w:sz w:val="24"/>
          <w:szCs w:val="24"/>
          <w:lang w:val="es-ES"/>
        </w:rPr>
        <w:t>. 02-09-2022</w:t>
      </w:r>
      <w:r w:rsidRPr="00CC2855">
        <w:rPr>
          <w:rFonts w:ascii="Times New Roman" w:hAnsi="Times New Roman" w:cs="Times New Roman"/>
          <w:color w:val="000000" w:themeColor="text1"/>
          <w:sz w:val="24"/>
          <w:szCs w:val="24"/>
          <w:lang w:val="es-ES"/>
        </w:rPr>
        <w:t>.</w:t>
      </w:r>
    </w:p>
    <w:p w14:paraId="344AC109" w14:textId="7A7F7AFA" w:rsidR="00062851" w:rsidRPr="00412CF3" w:rsidRDefault="00522D6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El País (6-4-1999) “Libia entrega once años después a los sospechosos del atentado de </w:t>
      </w:r>
      <w:proofErr w:type="spellStart"/>
      <w:r w:rsidRPr="00CC2855">
        <w:rPr>
          <w:rFonts w:ascii="Times New Roman" w:hAnsi="Times New Roman" w:cs="Times New Roman"/>
          <w:color w:val="000000" w:themeColor="text1"/>
          <w:sz w:val="24"/>
          <w:szCs w:val="24"/>
          <w:lang w:val="es-ES"/>
        </w:rPr>
        <w:t>Lockerbie</w:t>
      </w:r>
      <w:proofErr w:type="spellEnd"/>
      <w:r w:rsidRPr="00CC2855">
        <w:rPr>
          <w:rFonts w:ascii="Times New Roman" w:hAnsi="Times New Roman" w:cs="Times New Roman"/>
          <w:color w:val="000000" w:themeColor="text1"/>
          <w:sz w:val="24"/>
          <w:szCs w:val="24"/>
          <w:lang w:val="es-ES"/>
        </w:rPr>
        <w:t xml:space="preserve">”, En: </w:t>
      </w:r>
      <w:hyperlink r:id="rId12" w:history="1">
        <w:r w:rsidRPr="00CC2855">
          <w:rPr>
            <w:rStyle w:val="Hipervnculo"/>
            <w:rFonts w:ascii="Times New Roman" w:hAnsi="Times New Roman" w:cs="Times New Roman"/>
            <w:color w:val="000000" w:themeColor="text1"/>
            <w:sz w:val="24"/>
            <w:szCs w:val="24"/>
            <w:lang w:val="es-ES"/>
          </w:rPr>
          <w:t>https://elpais.com/diario/1999/04/06/portada/923349602_850215.html</w:t>
        </w:r>
      </w:hyperlink>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Cons</w:t>
      </w:r>
      <w:proofErr w:type="spellEnd"/>
      <w:r w:rsidRPr="00CC2855">
        <w:rPr>
          <w:rFonts w:ascii="Times New Roman" w:hAnsi="Times New Roman" w:cs="Times New Roman"/>
          <w:color w:val="000000" w:themeColor="text1"/>
          <w:sz w:val="24"/>
          <w:szCs w:val="24"/>
          <w:lang w:val="es-ES"/>
        </w:rPr>
        <w:t>. 06-04-2022.</w:t>
      </w:r>
    </w:p>
    <w:p w14:paraId="3B34CE03" w14:textId="7911D19F" w:rsidR="00C92690" w:rsidRPr="00CC2855" w:rsidRDefault="00062851"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Estévez, </w:t>
      </w:r>
      <w:r w:rsidR="00646C13" w:rsidRPr="00CC2855">
        <w:rPr>
          <w:rFonts w:ascii="Times New Roman" w:hAnsi="Times New Roman" w:cs="Times New Roman"/>
          <w:color w:val="000000" w:themeColor="text1"/>
          <w:sz w:val="24"/>
          <w:szCs w:val="24"/>
          <w:lang w:val="es-ES"/>
        </w:rPr>
        <w:t xml:space="preserve">J. </w:t>
      </w:r>
      <w:r w:rsidRPr="00CC2855">
        <w:rPr>
          <w:rFonts w:ascii="Times New Roman" w:hAnsi="Times New Roman" w:cs="Times New Roman"/>
          <w:color w:val="000000" w:themeColor="text1"/>
          <w:sz w:val="24"/>
          <w:szCs w:val="24"/>
          <w:lang w:val="es-ES"/>
        </w:rPr>
        <w:t xml:space="preserve">(13 </w:t>
      </w:r>
      <w:r w:rsidR="002B70C8" w:rsidRPr="00CC2855">
        <w:rPr>
          <w:rFonts w:ascii="Times New Roman" w:hAnsi="Times New Roman" w:cs="Times New Roman"/>
          <w:color w:val="000000" w:themeColor="text1"/>
          <w:sz w:val="24"/>
          <w:szCs w:val="24"/>
          <w:lang w:val="es-ES"/>
        </w:rPr>
        <w:t>-10-</w:t>
      </w:r>
      <w:r w:rsidRPr="00CC2855">
        <w:rPr>
          <w:rFonts w:ascii="Times New Roman" w:hAnsi="Times New Roman" w:cs="Times New Roman"/>
          <w:color w:val="000000" w:themeColor="text1"/>
          <w:sz w:val="24"/>
          <w:szCs w:val="24"/>
          <w:lang w:val="es-ES"/>
        </w:rPr>
        <w:t xml:space="preserve"> 1981) “La desaparición de Anuar el </w:t>
      </w:r>
      <w:proofErr w:type="spellStart"/>
      <w:r w:rsidRPr="00CC2855">
        <w:rPr>
          <w:rFonts w:ascii="Times New Roman" w:hAnsi="Times New Roman" w:cs="Times New Roman"/>
          <w:color w:val="000000" w:themeColor="text1"/>
          <w:sz w:val="24"/>
          <w:szCs w:val="24"/>
          <w:lang w:val="es-ES"/>
        </w:rPr>
        <w:t>Sadat</w:t>
      </w:r>
      <w:proofErr w:type="spellEnd"/>
      <w:r w:rsidRPr="00CC2855">
        <w:rPr>
          <w:rFonts w:ascii="Times New Roman" w:hAnsi="Times New Roman" w:cs="Times New Roman"/>
          <w:color w:val="000000" w:themeColor="text1"/>
          <w:sz w:val="24"/>
          <w:szCs w:val="24"/>
          <w:lang w:val="es-ES"/>
        </w:rPr>
        <w:t xml:space="preserve"> refuerza el deseo de liderazgo árabe</w:t>
      </w:r>
      <w:r w:rsidR="00646C13"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lang w:val="es-ES"/>
        </w:rPr>
        <w:t>de Gadafi”</w:t>
      </w:r>
      <w:r w:rsidR="00BB6505"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lang w:val="es-ES"/>
        </w:rPr>
        <w:t xml:space="preserve"> El País</w:t>
      </w:r>
      <w:r w:rsidR="00BB6505" w:rsidRPr="00CC2855">
        <w:rPr>
          <w:rFonts w:ascii="Times New Roman" w:hAnsi="Times New Roman" w:cs="Times New Roman"/>
          <w:color w:val="000000" w:themeColor="text1"/>
          <w:sz w:val="24"/>
          <w:szCs w:val="24"/>
          <w:lang w:val="es-ES"/>
        </w:rPr>
        <w:t xml:space="preserve">. En: </w:t>
      </w:r>
      <w:r w:rsidRPr="00CC2855">
        <w:rPr>
          <w:rFonts w:ascii="Times New Roman" w:hAnsi="Times New Roman" w:cs="Times New Roman"/>
          <w:color w:val="000000" w:themeColor="text1"/>
          <w:sz w:val="24"/>
          <w:szCs w:val="24"/>
          <w:lang w:val="es-ES"/>
        </w:rPr>
        <w:t xml:space="preserve"> </w:t>
      </w:r>
      <w:hyperlink r:id="rId13" w:history="1">
        <w:r w:rsidRPr="00CC2855">
          <w:rPr>
            <w:rStyle w:val="Hipervnculo"/>
            <w:rFonts w:ascii="Times New Roman" w:hAnsi="Times New Roman" w:cs="Times New Roman"/>
            <w:color w:val="000000" w:themeColor="text1"/>
            <w:sz w:val="24"/>
            <w:szCs w:val="24"/>
            <w:lang w:val="es-ES"/>
          </w:rPr>
          <w:t>https://elpais.com/diario/1981/10/14/internacional/371862008_850215.html</w:t>
        </w:r>
      </w:hyperlink>
      <w:r w:rsidR="00BB6505" w:rsidRPr="00CC2855">
        <w:rPr>
          <w:rFonts w:ascii="Times New Roman" w:hAnsi="Times New Roman" w:cs="Times New Roman"/>
          <w:color w:val="000000" w:themeColor="text1"/>
          <w:sz w:val="24"/>
          <w:szCs w:val="24"/>
          <w:lang w:val="es-ES"/>
        </w:rPr>
        <w:t>. Cons.</w:t>
      </w:r>
      <w:r w:rsidRPr="00CC2855">
        <w:rPr>
          <w:rFonts w:ascii="Times New Roman" w:hAnsi="Times New Roman" w:cs="Times New Roman"/>
          <w:color w:val="000000" w:themeColor="text1"/>
          <w:sz w:val="24"/>
          <w:szCs w:val="24"/>
          <w:lang w:val="es-ES"/>
        </w:rPr>
        <w:t xml:space="preserve"> 13</w:t>
      </w:r>
      <w:r w:rsidR="00BB6505" w:rsidRPr="00CC2855">
        <w:rPr>
          <w:rFonts w:ascii="Times New Roman" w:hAnsi="Times New Roman" w:cs="Times New Roman"/>
          <w:color w:val="000000" w:themeColor="text1"/>
          <w:sz w:val="24"/>
          <w:szCs w:val="24"/>
          <w:lang w:val="es-ES"/>
        </w:rPr>
        <w:t>-</w:t>
      </w:r>
      <w:r w:rsidRPr="00CC2855">
        <w:rPr>
          <w:rFonts w:ascii="Times New Roman" w:hAnsi="Times New Roman" w:cs="Times New Roman"/>
          <w:color w:val="000000" w:themeColor="text1"/>
          <w:sz w:val="24"/>
          <w:szCs w:val="24"/>
          <w:lang w:val="es-ES"/>
        </w:rPr>
        <w:t>09</w:t>
      </w:r>
      <w:r w:rsidR="00BB6505" w:rsidRPr="00CC2855">
        <w:rPr>
          <w:rFonts w:ascii="Times New Roman" w:hAnsi="Times New Roman" w:cs="Times New Roman"/>
          <w:color w:val="000000" w:themeColor="text1"/>
          <w:sz w:val="24"/>
          <w:szCs w:val="24"/>
          <w:lang w:val="es-ES"/>
        </w:rPr>
        <w:t>-</w:t>
      </w:r>
      <w:r w:rsidRPr="00CC2855">
        <w:rPr>
          <w:rFonts w:ascii="Times New Roman" w:hAnsi="Times New Roman" w:cs="Times New Roman"/>
          <w:color w:val="000000" w:themeColor="text1"/>
          <w:sz w:val="24"/>
          <w:szCs w:val="24"/>
          <w:lang w:val="es-ES"/>
        </w:rPr>
        <w:t>2022</w:t>
      </w:r>
    </w:p>
    <w:p w14:paraId="6123B242" w14:textId="62414E5C" w:rsidR="00384730" w:rsidRPr="00CC2855" w:rsidRDefault="00C9269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Flores </w:t>
      </w:r>
      <w:proofErr w:type="spellStart"/>
      <w:r w:rsidRPr="00CC2855">
        <w:rPr>
          <w:rFonts w:ascii="Times New Roman" w:hAnsi="Times New Roman" w:cs="Times New Roman"/>
          <w:color w:val="000000" w:themeColor="text1"/>
          <w:sz w:val="24"/>
          <w:szCs w:val="24"/>
          <w:lang w:val="es-ES"/>
        </w:rPr>
        <w:t>D’Arcais</w:t>
      </w:r>
      <w:proofErr w:type="spellEnd"/>
      <w:r w:rsidRPr="00CC2855">
        <w:rPr>
          <w:rFonts w:ascii="Times New Roman" w:hAnsi="Times New Roman" w:cs="Times New Roman"/>
          <w:color w:val="000000" w:themeColor="text1"/>
          <w:sz w:val="24"/>
          <w:szCs w:val="24"/>
          <w:lang w:val="es-ES"/>
        </w:rPr>
        <w:t xml:space="preserve">, A. y </w:t>
      </w:r>
      <w:proofErr w:type="spellStart"/>
      <w:r w:rsidRPr="00CC2855">
        <w:rPr>
          <w:rFonts w:ascii="Times New Roman" w:hAnsi="Times New Roman" w:cs="Times New Roman"/>
          <w:color w:val="000000" w:themeColor="text1"/>
          <w:sz w:val="24"/>
          <w:szCs w:val="24"/>
          <w:lang w:val="es-ES"/>
        </w:rPr>
        <w:t>Nigro</w:t>
      </w:r>
      <w:proofErr w:type="spellEnd"/>
      <w:r w:rsidRPr="00CC2855">
        <w:rPr>
          <w:rFonts w:ascii="Times New Roman" w:hAnsi="Times New Roman" w:cs="Times New Roman"/>
          <w:color w:val="000000" w:themeColor="text1"/>
          <w:sz w:val="24"/>
          <w:szCs w:val="24"/>
          <w:lang w:val="es-ES"/>
        </w:rPr>
        <w:t>, V. (9</w:t>
      </w:r>
      <w:r w:rsidR="00F16A36" w:rsidRPr="00CC2855">
        <w:rPr>
          <w:rFonts w:ascii="Times New Roman" w:hAnsi="Times New Roman" w:cs="Times New Roman"/>
          <w:color w:val="000000" w:themeColor="text1"/>
          <w:sz w:val="24"/>
          <w:szCs w:val="24"/>
          <w:lang w:val="es-ES"/>
        </w:rPr>
        <w:t>-</w:t>
      </w:r>
      <w:r w:rsidR="00646C13" w:rsidRPr="00CC2855">
        <w:rPr>
          <w:rFonts w:ascii="Times New Roman" w:hAnsi="Times New Roman" w:cs="Times New Roman"/>
          <w:color w:val="000000" w:themeColor="text1"/>
          <w:sz w:val="24"/>
          <w:szCs w:val="24"/>
          <w:lang w:val="es-ES"/>
        </w:rPr>
        <w:t>07</w:t>
      </w:r>
      <w:r w:rsidR="00F16A36" w:rsidRPr="00CC2855">
        <w:rPr>
          <w:rFonts w:ascii="Times New Roman" w:hAnsi="Times New Roman" w:cs="Times New Roman"/>
          <w:color w:val="000000" w:themeColor="text1"/>
          <w:sz w:val="24"/>
          <w:szCs w:val="24"/>
          <w:lang w:val="es-ES"/>
        </w:rPr>
        <w:t xml:space="preserve">-1998) “Dini: ‘Di </w:t>
      </w:r>
      <w:proofErr w:type="spellStart"/>
      <w:r w:rsidR="00F16A36" w:rsidRPr="00CC2855">
        <w:rPr>
          <w:rFonts w:ascii="Times New Roman" w:hAnsi="Times New Roman" w:cs="Times New Roman"/>
          <w:color w:val="000000" w:themeColor="text1"/>
          <w:sz w:val="24"/>
          <w:szCs w:val="24"/>
          <w:lang w:val="es-ES"/>
        </w:rPr>
        <w:t>Ghedaffi</w:t>
      </w:r>
      <w:proofErr w:type="spellEnd"/>
      <w:r w:rsidR="00F16A36" w:rsidRPr="00CC2855">
        <w:rPr>
          <w:rFonts w:ascii="Times New Roman" w:hAnsi="Times New Roman" w:cs="Times New Roman"/>
          <w:color w:val="000000" w:themeColor="text1"/>
          <w:sz w:val="24"/>
          <w:szCs w:val="24"/>
          <w:lang w:val="es-ES"/>
        </w:rPr>
        <w:t xml:space="preserve"> ora </w:t>
      </w:r>
      <w:proofErr w:type="spellStart"/>
      <w:r w:rsidR="00F16A36" w:rsidRPr="00CC2855">
        <w:rPr>
          <w:rFonts w:ascii="Times New Roman" w:hAnsi="Times New Roman" w:cs="Times New Roman"/>
          <w:color w:val="000000" w:themeColor="text1"/>
          <w:sz w:val="24"/>
          <w:szCs w:val="24"/>
          <w:lang w:val="es-ES"/>
        </w:rPr>
        <w:t>possiamo</w:t>
      </w:r>
      <w:proofErr w:type="spellEnd"/>
      <w:r w:rsidR="00F16A36" w:rsidRPr="00CC2855">
        <w:rPr>
          <w:rFonts w:ascii="Times New Roman" w:hAnsi="Times New Roman" w:cs="Times New Roman"/>
          <w:color w:val="000000" w:themeColor="text1"/>
          <w:sz w:val="24"/>
          <w:szCs w:val="24"/>
          <w:lang w:val="es-ES"/>
        </w:rPr>
        <w:t xml:space="preserve"> </w:t>
      </w:r>
      <w:proofErr w:type="spellStart"/>
      <w:r w:rsidR="00F16A36" w:rsidRPr="00CC2855">
        <w:rPr>
          <w:rFonts w:ascii="Times New Roman" w:hAnsi="Times New Roman" w:cs="Times New Roman"/>
          <w:color w:val="000000" w:themeColor="text1"/>
          <w:sz w:val="24"/>
          <w:szCs w:val="24"/>
          <w:lang w:val="es-ES"/>
        </w:rPr>
        <w:t>fidarci</w:t>
      </w:r>
      <w:proofErr w:type="spellEnd"/>
      <w:r w:rsidR="00F16A36" w:rsidRPr="00CC2855">
        <w:rPr>
          <w:rFonts w:ascii="Times New Roman" w:hAnsi="Times New Roman" w:cs="Times New Roman"/>
          <w:color w:val="000000" w:themeColor="text1"/>
          <w:sz w:val="24"/>
          <w:szCs w:val="24"/>
          <w:lang w:val="es-ES"/>
        </w:rPr>
        <w:t xml:space="preserve">”. La </w:t>
      </w:r>
      <w:proofErr w:type="spellStart"/>
      <w:r w:rsidR="00F16A36" w:rsidRPr="00CC2855">
        <w:rPr>
          <w:rFonts w:ascii="Times New Roman" w:hAnsi="Times New Roman" w:cs="Times New Roman"/>
          <w:color w:val="000000" w:themeColor="text1"/>
          <w:sz w:val="24"/>
          <w:szCs w:val="24"/>
          <w:lang w:val="es-ES"/>
        </w:rPr>
        <w:t>Repubblica</w:t>
      </w:r>
      <w:proofErr w:type="spellEnd"/>
      <w:r w:rsidR="00F16A36" w:rsidRPr="00CC2855">
        <w:rPr>
          <w:rFonts w:ascii="Times New Roman" w:hAnsi="Times New Roman" w:cs="Times New Roman"/>
          <w:color w:val="000000" w:themeColor="text1"/>
          <w:sz w:val="24"/>
          <w:szCs w:val="24"/>
          <w:lang w:val="es-ES"/>
        </w:rPr>
        <w:t xml:space="preserve">, </w:t>
      </w:r>
      <w:proofErr w:type="spellStart"/>
      <w:r w:rsidR="00F16A36" w:rsidRPr="00CC2855">
        <w:rPr>
          <w:rFonts w:ascii="Times New Roman" w:hAnsi="Times New Roman" w:cs="Times New Roman"/>
          <w:color w:val="000000" w:themeColor="text1"/>
          <w:sz w:val="24"/>
          <w:szCs w:val="24"/>
          <w:lang w:val="es-ES"/>
        </w:rPr>
        <w:t>Sezione</w:t>
      </w:r>
      <w:proofErr w:type="spellEnd"/>
      <w:r w:rsidR="00F16A36" w:rsidRPr="00CC2855">
        <w:rPr>
          <w:rFonts w:ascii="Times New Roman" w:hAnsi="Times New Roman" w:cs="Times New Roman"/>
          <w:color w:val="000000" w:themeColor="text1"/>
          <w:sz w:val="24"/>
          <w:szCs w:val="24"/>
          <w:lang w:val="es-ES"/>
        </w:rPr>
        <w:t xml:space="preserve"> </w:t>
      </w:r>
      <w:proofErr w:type="spellStart"/>
      <w:r w:rsidR="00F16A36" w:rsidRPr="00CC2855">
        <w:rPr>
          <w:rFonts w:ascii="Times New Roman" w:hAnsi="Times New Roman" w:cs="Times New Roman"/>
          <w:color w:val="000000" w:themeColor="text1"/>
          <w:sz w:val="24"/>
          <w:szCs w:val="24"/>
          <w:lang w:val="es-ES"/>
        </w:rPr>
        <w:t>Fatti</w:t>
      </w:r>
      <w:proofErr w:type="spellEnd"/>
      <w:r w:rsidR="00F16A36" w:rsidRPr="00CC2855">
        <w:rPr>
          <w:rFonts w:ascii="Times New Roman" w:hAnsi="Times New Roman" w:cs="Times New Roman"/>
          <w:color w:val="000000" w:themeColor="text1"/>
          <w:sz w:val="24"/>
          <w:szCs w:val="24"/>
          <w:lang w:val="es-ES"/>
        </w:rPr>
        <w:t>, Archivo.</w:t>
      </w:r>
      <w:r w:rsidR="008B1419" w:rsidRPr="00CC2855">
        <w:rPr>
          <w:rFonts w:ascii="Times New Roman" w:hAnsi="Times New Roman" w:cs="Times New Roman"/>
          <w:color w:val="000000" w:themeColor="text1"/>
          <w:sz w:val="24"/>
          <w:szCs w:val="24"/>
          <w:lang w:val="es-ES"/>
        </w:rPr>
        <w:t xml:space="preserve"> En: </w:t>
      </w:r>
      <w:hyperlink r:id="rId14" w:history="1">
        <w:r w:rsidR="008B1419" w:rsidRPr="00CC2855">
          <w:rPr>
            <w:rStyle w:val="Hipervnculo"/>
            <w:rFonts w:ascii="Times New Roman" w:hAnsi="Times New Roman" w:cs="Times New Roman"/>
            <w:color w:val="000000" w:themeColor="text1"/>
            <w:sz w:val="24"/>
            <w:szCs w:val="24"/>
            <w:lang w:val="es-ES"/>
          </w:rPr>
          <w:t>https://www.repubblica.it/online/fatti/italib/dini/dini.html?ref=search</w:t>
        </w:r>
      </w:hyperlink>
      <w:r w:rsidR="008B1419" w:rsidRPr="00CC2855">
        <w:rPr>
          <w:rFonts w:ascii="Times New Roman" w:hAnsi="Times New Roman" w:cs="Times New Roman"/>
          <w:color w:val="000000" w:themeColor="text1"/>
          <w:sz w:val="24"/>
          <w:szCs w:val="24"/>
          <w:lang w:val="es-ES"/>
        </w:rPr>
        <w:t xml:space="preserve">. </w:t>
      </w:r>
      <w:proofErr w:type="spellStart"/>
      <w:r w:rsidR="008B1419" w:rsidRPr="00CC2855">
        <w:rPr>
          <w:rFonts w:ascii="Times New Roman" w:hAnsi="Times New Roman" w:cs="Times New Roman"/>
          <w:color w:val="000000" w:themeColor="text1"/>
          <w:sz w:val="24"/>
          <w:szCs w:val="24"/>
          <w:lang w:val="es-ES"/>
        </w:rPr>
        <w:t>Cons</w:t>
      </w:r>
      <w:proofErr w:type="spellEnd"/>
      <w:r w:rsidR="008B1419" w:rsidRPr="00CC2855">
        <w:rPr>
          <w:rFonts w:ascii="Times New Roman" w:hAnsi="Times New Roman" w:cs="Times New Roman"/>
          <w:color w:val="000000" w:themeColor="text1"/>
          <w:sz w:val="24"/>
          <w:szCs w:val="24"/>
          <w:lang w:val="es-ES"/>
        </w:rPr>
        <w:t>. 18-8-2022.</w:t>
      </w:r>
    </w:p>
    <w:p w14:paraId="418B7BFA" w14:textId="6167A455" w:rsidR="00384730" w:rsidRPr="00CC2855" w:rsidRDefault="0038473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n-US"/>
        </w:rPr>
      </w:pPr>
      <w:r w:rsidRPr="00384730">
        <w:rPr>
          <w:rFonts w:ascii="Times New Roman" w:hAnsi="Times New Roman" w:cs="Times New Roman"/>
          <w:color w:val="000000" w:themeColor="text1"/>
          <w:sz w:val="24"/>
          <w:szCs w:val="24"/>
          <w:lang w:val="en-US"/>
        </w:rPr>
        <w:lastRenderedPageBreak/>
        <w:t>FRONTEX (07-07-2010). “Irregular immigration hits new low in first quarter 2010, facilitator detections up 13%”</w:t>
      </w:r>
      <w:hyperlink r:id="rId15" w:history="1">
        <w:r w:rsidRPr="00384730">
          <w:rPr>
            <w:rStyle w:val="Hipervnculo"/>
            <w:rFonts w:ascii="Times New Roman" w:hAnsi="Times New Roman" w:cs="Times New Roman"/>
            <w:color w:val="000000" w:themeColor="text1"/>
            <w:sz w:val="24"/>
            <w:szCs w:val="24"/>
          </w:rPr>
          <w:t>https://frontex.europa.eu/media-centre/news/news-release/irregular-immigration-hits-new-low-in-first-quarter-2010-facilitator-detections-up-13--ESunbS</w:t>
        </w:r>
      </w:hyperlink>
    </w:p>
    <w:p w14:paraId="71196232" w14:textId="57A00A32" w:rsidR="00E32D3A" w:rsidRPr="00CC2855" w:rsidRDefault="00E32D3A"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gramStart"/>
      <w:r w:rsidRPr="00E32D3A">
        <w:rPr>
          <w:rFonts w:ascii="Times New Roman" w:hAnsi="Times New Roman" w:cs="Times New Roman"/>
          <w:color w:val="000000" w:themeColor="text1"/>
          <w:sz w:val="24"/>
          <w:szCs w:val="24"/>
          <w:lang w:val="es-ES"/>
        </w:rPr>
        <w:t>.</w:t>
      </w:r>
      <w:proofErr w:type="spellStart"/>
      <w:r w:rsidRPr="00E32D3A">
        <w:rPr>
          <w:rFonts w:ascii="Times New Roman" w:hAnsi="Times New Roman" w:cs="Times New Roman"/>
          <w:color w:val="000000" w:themeColor="text1"/>
          <w:sz w:val="24"/>
          <w:szCs w:val="24"/>
          <w:lang w:val="es-ES"/>
        </w:rPr>
        <w:t>Gaiani</w:t>
      </w:r>
      <w:proofErr w:type="spellEnd"/>
      <w:proofErr w:type="gramEnd"/>
      <w:r w:rsidRPr="00E32D3A">
        <w:rPr>
          <w:rFonts w:ascii="Times New Roman" w:hAnsi="Times New Roman" w:cs="Times New Roman"/>
          <w:color w:val="000000" w:themeColor="text1"/>
          <w:sz w:val="24"/>
          <w:szCs w:val="24"/>
          <w:lang w:val="es-ES"/>
        </w:rPr>
        <w:t xml:space="preserve">, </w:t>
      </w:r>
      <w:proofErr w:type="spellStart"/>
      <w:r w:rsidRPr="00E32D3A">
        <w:rPr>
          <w:rFonts w:ascii="Times New Roman" w:hAnsi="Times New Roman" w:cs="Times New Roman"/>
          <w:color w:val="000000" w:themeColor="text1"/>
          <w:sz w:val="24"/>
          <w:szCs w:val="24"/>
          <w:lang w:val="es-ES"/>
        </w:rPr>
        <w:t>Gianandrea</w:t>
      </w:r>
      <w:proofErr w:type="spellEnd"/>
      <w:r w:rsidRPr="00E32D3A">
        <w:rPr>
          <w:rFonts w:ascii="Times New Roman" w:hAnsi="Times New Roman" w:cs="Times New Roman"/>
          <w:color w:val="000000" w:themeColor="text1"/>
          <w:sz w:val="24"/>
          <w:szCs w:val="24"/>
          <w:lang w:val="es-ES"/>
        </w:rPr>
        <w:t xml:space="preserve"> (15-10-2013). “</w:t>
      </w:r>
      <w:proofErr w:type="spellStart"/>
      <w:r w:rsidRPr="00E32D3A">
        <w:rPr>
          <w:rFonts w:ascii="Times New Roman" w:hAnsi="Times New Roman" w:cs="Times New Roman"/>
          <w:color w:val="000000" w:themeColor="text1"/>
          <w:sz w:val="24"/>
          <w:szCs w:val="24"/>
          <w:lang w:val="es-ES"/>
        </w:rPr>
        <w:t>L’operazione</w:t>
      </w:r>
      <w:proofErr w:type="spellEnd"/>
      <w:r w:rsidRPr="00E32D3A">
        <w:rPr>
          <w:rFonts w:ascii="Times New Roman" w:hAnsi="Times New Roman" w:cs="Times New Roman"/>
          <w:color w:val="000000" w:themeColor="text1"/>
          <w:sz w:val="24"/>
          <w:szCs w:val="24"/>
          <w:lang w:val="es-ES"/>
        </w:rPr>
        <w:t xml:space="preserve"> “Mare Nostrum” </w:t>
      </w:r>
      <w:proofErr w:type="spellStart"/>
      <w:r w:rsidRPr="00E32D3A">
        <w:rPr>
          <w:rFonts w:ascii="Times New Roman" w:hAnsi="Times New Roman" w:cs="Times New Roman"/>
          <w:color w:val="000000" w:themeColor="text1"/>
          <w:sz w:val="24"/>
          <w:szCs w:val="24"/>
          <w:lang w:val="es-ES"/>
        </w:rPr>
        <w:t>costerà</w:t>
      </w:r>
      <w:proofErr w:type="spellEnd"/>
      <w:r w:rsidRPr="00E32D3A">
        <w:rPr>
          <w:rFonts w:ascii="Times New Roman" w:hAnsi="Times New Roman" w:cs="Times New Roman"/>
          <w:color w:val="000000" w:themeColor="text1"/>
          <w:sz w:val="24"/>
          <w:szCs w:val="24"/>
          <w:lang w:val="es-ES"/>
        </w:rPr>
        <w:t xml:space="preserve"> 10 </w:t>
      </w:r>
      <w:proofErr w:type="spellStart"/>
      <w:r w:rsidRPr="00E32D3A">
        <w:rPr>
          <w:rFonts w:ascii="Times New Roman" w:hAnsi="Times New Roman" w:cs="Times New Roman"/>
          <w:color w:val="000000" w:themeColor="text1"/>
          <w:sz w:val="24"/>
          <w:szCs w:val="24"/>
          <w:lang w:val="es-ES"/>
        </w:rPr>
        <w:t>milioni</w:t>
      </w:r>
      <w:proofErr w:type="spellEnd"/>
      <w:r w:rsidRPr="00E32D3A">
        <w:rPr>
          <w:rFonts w:ascii="Times New Roman" w:hAnsi="Times New Roman" w:cs="Times New Roman"/>
          <w:color w:val="000000" w:themeColor="text1"/>
          <w:sz w:val="24"/>
          <w:szCs w:val="24"/>
          <w:lang w:val="es-ES"/>
        </w:rPr>
        <w:t xml:space="preserve"> al mese”. 24 </w:t>
      </w:r>
      <w:proofErr w:type="gramStart"/>
      <w:r w:rsidRPr="00E32D3A">
        <w:rPr>
          <w:rFonts w:ascii="Times New Roman" w:hAnsi="Times New Roman" w:cs="Times New Roman"/>
          <w:color w:val="000000" w:themeColor="text1"/>
          <w:sz w:val="24"/>
          <w:szCs w:val="24"/>
          <w:lang w:val="es-ES"/>
        </w:rPr>
        <w:t>Ore</w:t>
      </w:r>
      <w:proofErr w:type="gramEnd"/>
      <w:r w:rsidRPr="00E32D3A">
        <w:rPr>
          <w:rFonts w:ascii="Times New Roman" w:hAnsi="Times New Roman" w:cs="Times New Roman"/>
          <w:color w:val="000000" w:themeColor="text1"/>
          <w:sz w:val="24"/>
          <w:szCs w:val="24"/>
          <w:lang w:val="es-ES"/>
        </w:rPr>
        <w:t xml:space="preserve"> Italia.</w:t>
      </w:r>
      <w:r w:rsidR="00646C13" w:rsidRPr="00CC2855">
        <w:rPr>
          <w:rFonts w:ascii="Times New Roman" w:hAnsi="Times New Roman" w:cs="Times New Roman"/>
          <w:color w:val="000000" w:themeColor="text1"/>
          <w:sz w:val="24"/>
          <w:szCs w:val="24"/>
          <w:lang w:val="es-ES"/>
        </w:rPr>
        <w:t xml:space="preserve"> En: </w:t>
      </w:r>
      <w:hyperlink r:id="rId16" w:history="1">
        <w:r w:rsidR="00B31404" w:rsidRPr="00CC2855">
          <w:rPr>
            <w:rStyle w:val="Hipervnculo"/>
            <w:rFonts w:ascii="Times New Roman" w:hAnsi="Times New Roman" w:cs="Times New Roman"/>
            <w:color w:val="000000" w:themeColor="text1"/>
            <w:sz w:val="24"/>
            <w:szCs w:val="24"/>
            <w:lang w:val="es-ES"/>
          </w:rPr>
          <w:t>https://st.ilsole24ore.com/art/notizie/2013-10-15/l-operazione-mare-nostrum-costera-10-milioni-mese-114452.shtml?uuid=ABB1VgW</w:t>
        </w:r>
      </w:hyperlink>
      <w:r w:rsidR="00B31404" w:rsidRPr="00CC2855">
        <w:rPr>
          <w:rFonts w:ascii="Times New Roman" w:hAnsi="Times New Roman" w:cs="Times New Roman"/>
          <w:color w:val="000000" w:themeColor="text1"/>
          <w:sz w:val="24"/>
          <w:szCs w:val="24"/>
          <w:lang w:val="es-ES"/>
        </w:rPr>
        <w:t xml:space="preserve">. </w:t>
      </w:r>
      <w:proofErr w:type="spellStart"/>
      <w:r w:rsidR="00B31404" w:rsidRPr="00CC2855">
        <w:rPr>
          <w:rFonts w:ascii="Times New Roman" w:hAnsi="Times New Roman" w:cs="Times New Roman"/>
          <w:color w:val="000000" w:themeColor="text1"/>
          <w:sz w:val="24"/>
          <w:szCs w:val="24"/>
          <w:lang w:val="es-ES"/>
        </w:rPr>
        <w:t>Cons</w:t>
      </w:r>
      <w:proofErr w:type="spellEnd"/>
      <w:r w:rsidR="00B31404" w:rsidRPr="00CC2855">
        <w:rPr>
          <w:rFonts w:ascii="Times New Roman" w:hAnsi="Times New Roman" w:cs="Times New Roman"/>
          <w:color w:val="000000" w:themeColor="text1"/>
          <w:sz w:val="24"/>
          <w:szCs w:val="24"/>
          <w:lang w:val="es-ES"/>
        </w:rPr>
        <w:t>. 01-06-2022.</w:t>
      </w:r>
    </w:p>
    <w:p w14:paraId="3E8508D7" w14:textId="32E50103" w:rsidR="00EA41C7" w:rsidRPr="00CC2855" w:rsidRDefault="00E32D3A"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spellStart"/>
      <w:r w:rsidRPr="00CC2855">
        <w:rPr>
          <w:rFonts w:ascii="Times New Roman" w:hAnsi="Times New Roman" w:cs="Times New Roman"/>
          <w:color w:val="000000" w:themeColor="text1"/>
          <w:sz w:val="24"/>
          <w:szCs w:val="24"/>
          <w:lang w:val="es-ES"/>
        </w:rPr>
        <w:t>Girone</w:t>
      </w:r>
      <w:proofErr w:type="spellEnd"/>
      <w:r w:rsidRPr="00CC2855">
        <w:rPr>
          <w:rFonts w:ascii="Times New Roman" w:hAnsi="Times New Roman" w:cs="Times New Roman"/>
          <w:color w:val="000000" w:themeColor="text1"/>
          <w:sz w:val="24"/>
          <w:szCs w:val="24"/>
          <w:lang w:val="es-ES"/>
        </w:rPr>
        <w:t xml:space="preserve">, S. e </w:t>
      </w:r>
      <w:proofErr w:type="spellStart"/>
      <w:r w:rsidRPr="00CC2855">
        <w:rPr>
          <w:rFonts w:ascii="Times New Roman" w:hAnsi="Times New Roman" w:cs="Times New Roman"/>
          <w:color w:val="000000" w:themeColor="text1"/>
          <w:sz w:val="24"/>
          <w:szCs w:val="24"/>
          <w:lang w:val="es-ES"/>
        </w:rPr>
        <w:t>Lollo</w:t>
      </w:r>
      <w:proofErr w:type="spellEnd"/>
      <w:r w:rsidRPr="00CC2855">
        <w:rPr>
          <w:rFonts w:ascii="Times New Roman" w:hAnsi="Times New Roman" w:cs="Times New Roman"/>
          <w:color w:val="000000" w:themeColor="text1"/>
          <w:sz w:val="24"/>
          <w:szCs w:val="24"/>
          <w:lang w:val="es-ES"/>
        </w:rPr>
        <w:t>, G. (2011). “Las migraciones de tránsito: Estrecho de Gibraltar vs. Canal de Sicilia”. Investigaciones Geográficas, Universidad de Alicante, n. 54, pp. 37-70</w:t>
      </w:r>
    </w:p>
    <w:p w14:paraId="1980E72A" w14:textId="1BAB31A8" w:rsidR="00EA41C7" w:rsidRPr="00CC2855" w:rsidRDefault="00EA41C7" w:rsidP="00F676DF">
      <w:pPr>
        <w:pStyle w:val="Prrafodelista"/>
        <w:numPr>
          <w:ilvl w:val="0"/>
          <w:numId w:val="5"/>
        </w:numPr>
        <w:spacing w:line="360" w:lineRule="auto"/>
        <w:jc w:val="both"/>
        <w:rPr>
          <w:color w:val="000000" w:themeColor="text1"/>
          <w:shd w:val="clear" w:color="auto" w:fill="FFFFFF"/>
        </w:rPr>
      </w:pPr>
      <w:r w:rsidRPr="00CC2855">
        <w:rPr>
          <w:color w:val="000000" w:themeColor="text1"/>
          <w:lang w:val="es-ES"/>
        </w:rPr>
        <w:t xml:space="preserve">González García, </w:t>
      </w:r>
      <w:r w:rsidR="00B31404" w:rsidRPr="00CC2855">
        <w:rPr>
          <w:color w:val="000000" w:themeColor="text1"/>
          <w:lang w:val="es-ES"/>
        </w:rPr>
        <w:t>I (2006).</w:t>
      </w:r>
      <w:r w:rsidRPr="00CC2855">
        <w:rPr>
          <w:color w:val="000000" w:themeColor="text1"/>
          <w:lang w:val="es-ES"/>
        </w:rPr>
        <w:t xml:space="preserve"> “El acuerdo España-Marruecos de readmisión de inmigrantes y su problemática aplicación: las avalanchas de Ceuta y Melilla”</w:t>
      </w:r>
      <w:r w:rsidRPr="00CC2855">
        <w:rPr>
          <w:color w:val="000000" w:themeColor="text1"/>
        </w:rPr>
        <w:t xml:space="preserve"> </w:t>
      </w:r>
      <w:r w:rsidRPr="00CC2855">
        <w:rPr>
          <w:i/>
          <w:iCs/>
          <w:color w:val="000000" w:themeColor="text1"/>
        </w:rPr>
        <w:t>Anuario Español de Derecho Internacional</w:t>
      </w:r>
      <w:proofErr w:type="gramStart"/>
      <w:r w:rsidRPr="00CC2855">
        <w:rPr>
          <w:color w:val="000000" w:themeColor="text1"/>
          <w:shd w:val="clear" w:color="auto" w:fill="FFFFFF"/>
        </w:rPr>
        <w:t>, ,</w:t>
      </w:r>
      <w:proofErr w:type="gramEnd"/>
      <w:r w:rsidRPr="00CC2855">
        <w:rPr>
          <w:color w:val="000000" w:themeColor="text1"/>
          <w:shd w:val="clear" w:color="auto" w:fill="FFFFFF"/>
        </w:rPr>
        <w:t xml:space="preserve"> v. 22, p</w:t>
      </w:r>
      <w:r w:rsidR="00B31404" w:rsidRPr="00CC2855">
        <w:rPr>
          <w:color w:val="000000" w:themeColor="text1"/>
          <w:shd w:val="clear" w:color="auto" w:fill="FFFFFF"/>
          <w:lang w:val="es-ES"/>
        </w:rPr>
        <w:t>p</w:t>
      </w:r>
      <w:r w:rsidRPr="00CC2855">
        <w:rPr>
          <w:color w:val="000000" w:themeColor="text1"/>
          <w:shd w:val="clear" w:color="auto" w:fill="FFFFFF"/>
        </w:rPr>
        <w:t>. 255-284</w:t>
      </w:r>
    </w:p>
    <w:p w14:paraId="6796F8A6" w14:textId="43825902" w:rsidR="00AD20FA" w:rsidRPr="00CC2855" w:rsidRDefault="006D5AA7" w:rsidP="00F676DF">
      <w:pPr>
        <w:pStyle w:val="Prrafodelista"/>
        <w:numPr>
          <w:ilvl w:val="0"/>
          <w:numId w:val="5"/>
        </w:numPr>
        <w:spacing w:line="360" w:lineRule="auto"/>
        <w:jc w:val="both"/>
        <w:rPr>
          <w:color w:val="000000" w:themeColor="text1"/>
          <w:shd w:val="clear" w:color="auto" w:fill="FFFFFF"/>
          <w:lang w:val="es-ES_tradnl"/>
        </w:rPr>
      </w:pPr>
      <w:r w:rsidRPr="00CC2855">
        <w:rPr>
          <w:color w:val="000000" w:themeColor="text1"/>
          <w:shd w:val="clear" w:color="auto" w:fill="FFFFFF"/>
          <w:lang w:val="es-ES_tradnl"/>
        </w:rPr>
        <w:t>Gumucio, J. (</w:t>
      </w:r>
      <w:r w:rsidR="009F45D3" w:rsidRPr="00CC2855">
        <w:rPr>
          <w:color w:val="000000" w:themeColor="text1"/>
          <w:shd w:val="clear" w:color="auto" w:fill="FFFFFF"/>
          <w:lang w:val="es-ES_tradnl"/>
        </w:rPr>
        <w:t>26</w:t>
      </w:r>
      <w:r w:rsidR="00B31404" w:rsidRPr="00CC2855">
        <w:rPr>
          <w:color w:val="000000" w:themeColor="text1"/>
          <w:shd w:val="clear" w:color="auto" w:fill="FFFFFF"/>
          <w:lang w:val="es-ES_tradnl"/>
        </w:rPr>
        <w:t>-09-</w:t>
      </w:r>
      <w:r w:rsidR="009F45D3" w:rsidRPr="00CC2855">
        <w:rPr>
          <w:color w:val="000000" w:themeColor="text1"/>
          <w:shd w:val="clear" w:color="auto" w:fill="FFFFFF"/>
          <w:lang w:val="es-ES_tradnl"/>
        </w:rPr>
        <w:t>1995</w:t>
      </w:r>
      <w:r w:rsidRPr="00CC2855">
        <w:rPr>
          <w:color w:val="000000" w:themeColor="text1"/>
          <w:shd w:val="clear" w:color="auto" w:fill="FFFFFF"/>
          <w:lang w:val="es-ES_tradnl"/>
        </w:rPr>
        <w:t xml:space="preserve">). “Gadafi expulsa a 30.000 palestinos en represalia contra Arafat”. El País, </w:t>
      </w:r>
      <w:r w:rsidR="00B31404" w:rsidRPr="00CC2855">
        <w:rPr>
          <w:color w:val="000000" w:themeColor="text1"/>
          <w:shd w:val="clear" w:color="auto" w:fill="FFFFFF"/>
          <w:lang w:val="es-ES_tradnl"/>
        </w:rPr>
        <w:t xml:space="preserve">En: </w:t>
      </w:r>
      <w:hyperlink r:id="rId17" w:history="1">
        <w:r w:rsidR="00B31404" w:rsidRPr="00CC2855">
          <w:rPr>
            <w:rStyle w:val="Hipervnculo"/>
            <w:color w:val="000000" w:themeColor="text1"/>
            <w:shd w:val="clear" w:color="auto" w:fill="FFFFFF"/>
            <w:lang w:val="es-ES_tradnl"/>
          </w:rPr>
          <w:t>https://elpais.com/diario/1995/09/27/internacional/812156411_850215.html</w:t>
        </w:r>
      </w:hyperlink>
      <w:r w:rsidR="009F45D3" w:rsidRPr="00CC2855">
        <w:rPr>
          <w:color w:val="000000" w:themeColor="text1"/>
          <w:shd w:val="clear" w:color="auto" w:fill="FFFFFF"/>
          <w:lang w:val="es-ES_tradnl"/>
        </w:rPr>
        <w:t xml:space="preserve">, </w:t>
      </w:r>
      <w:proofErr w:type="spellStart"/>
      <w:r w:rsidR="00B31404" w:rsidRPr="00CC2855">
        <w:rPr>
          <w:color w:val="000000" w:themeColor="text1"/>
          <w:shd w:val="clear" w:color="auto" w:fill="FFFFFF"/>
          <w:lang w:val="es-ES_tradnl"/>
        </w:rPr>
        <w:t>Cons</w:t>
      </w:r>
      <w:proofErr w:type="spellEnd"/>
      <w:r w:rsidR="00B31404" w:rsidRPr="00CC2855">
        <w:rPr>
          <w:color w:val="000000" w:themeColor="text1"/>
          <w:shd w:val="clear" w:color="auto" w:fill="FFFFFF"/>
          <w:lang w:val="es-ES_tradnl"/>
        </w:rPr>
        <w:t xml:space="preserve">. </w:t>
      </w:r>
      <w:r w:rsidR="009F45D3" w:rsidRPr="00CC2855">
        <w:rPr>
          <w:color w:val="000000" w:themeColor="text1"/>
          <w:shd w:val="clear" w:color="auto" w:fill="FFFFFF"/>
          <w:lang w:val="es-ES_tradnl"/>
        </w:rPr>
        <w:t>11</w:t>
      </w:r>
      <w:r w:rsidR="00B31404" w:rsidRPr="00CC2855">
        <w:rPr>
          <w:color w:val="000000" w:themeColor="text1"/>
          <w:shd w:val="clear" w:color="auto" w:fill="FFFFFF"/>
          <w:lang w:val="es-ES_tradnl"/>
        </w:rPr>
        <w:t>-09-</w:t>
      </w:r>
      <w:r w:rsidR="009F45D3" w:rsidRPr="00CC2855">
        <w:rPr>
          <w:color w:val="000000" w:themeColor="text1"/>
          <w:shd w:val="clear" w:color="auto" w:fill="FFFFFF"/>
          <w:lang w:val="es-ES_tradnl"/>
        </w:rPr>
        <w:t xml:space="preserve"> 2022.</w:t>
      </w:r>
    </w:p>
    <w:p w14:paraId="36E02AA9" w14:textId="7A9D7F15" w:rsidR="003C1415" w:rsidRPr="00CC2855" w:rsidRDefault="00AD20FA" w:rsidP="00F676DF">
      <w:pPr>
        <w:pStyle w:val="Prrafodelista"/>
        <w:numPr>
          <w:ilvl w:val="0"/>
          <w:numId w:val="5"/>
        </w:numPr>
        <w:spacing w:line="360" w:lineRule="auto"/>
        <w:jc w:val="both"/>
        <w:rPr>
          <w:color w:val="000000" w:themeColor="text1"/>
          <w:shd w:val="clear" w:color="auto" w:fill="FFFFFF"/>
          <w:lang w:val="es-ES"/>
        </w:rPr>
      </w:pPr>
      <w:r w:rsidRPr="00CC2855">
        <w:rPr>
          <w:color w:val="000000" w:themeColor="text1"/>
          <w:shd w:val="clear" w:color="auto" w:fill="FFFFFF"/>
        </w:rPr>
        <w:t>Gutiérrez, K</w:t>
      </w:r>
      <w:r w:rsidR="005A6986" w:rsidRPr="00CC2855">
        <w:rPr>
          <w:color w:val="000000" w:themeColor="text1"/>
          <w:shd w:val="clear" w:color="auto" w:fill="FFFFFF"/>
          <w:lang w:val="es-ES"/>
        </w:rPr>
        <w:t>.;</w:t>
      </w:r>
      <w:r w:rsidRPr="00CC2855">
        <w:rPr>
          <w:color w:val="000000" w:themeColor="text1"/>
          <w:shd w:val="clear" w:color="auto" w:fill="FFFFFF"/>
        </w:rPr>
        <w:t xml:space="preserve"> Meléndez, </w:t>
      </w:r>
      <w:r w:rsidR="005A6986" w:rsidRPr="00CC2855">
        <w:rPr>
          <w:color w:val="000000" w:themeColor="text1"/>
          <w:shd w:val="clear" w:color="auto" w:fill="FFFFFF"/>
          <w:lang w:val="es-ES"/>
        </w:rPr>
        <w:t xml:space="preserve">P. y </w:t>
      </w:r>
      <w:r w:rsidRPr="00CC2855">
        <w:rPr>
          <w:color w:val="000000" w:themeColor="text1"/>
          <w:shd w:val="clear" w:color="auto" w:fill="FFFFFF"/>
        </w:rPr>
        <w:t>Jiménez Echegoyen</w:t>
      </w:r>
      <w:r w:rsidR="005A6986" w:rsidRPr="00CC2855">
        <w:rPr>
          <w:color w:val="000000" w:themeColor="text1"/>
          <w:shd w:val="clear" w:color="auto" w:fill="FFFFFF"/>
          <w:lang w:val="es-ES"/>
        </w:rPr>
        <w:t>, A.</w:t>
      </w:r>
      <w:r w:rsidRPr="00CC2855">
        <w:rPr>
          <w:color w:val="000000" w:themeColor="text1"/>
          <w:shd w:val="clear" w:color="auto" w:fill="FFFFFF"/>
          <w:lang w:val="es-ES"/>
        </w:rPr>
        <w:t xml:space="preserve"> (2005)</w:t>
      </w:r>
      <w:r w:rsidR="00B31404" w:rsidRPr="00CC2855">
        <w:rPr>
          <w:color w:val="000000" w:themeColor="text1"/>
          <w:shd w:val="clear" w:color="auto" w:fill="FFFFFF"/>
          <w:lang w:val="es-ES"/>
        </w:rPr>
        <w:t>.</w:t>
      </w:r>
      <w:r w:rsidRPr="00CC2855">
        <w:rPr>
          <w:color w:val="000000" w:themeColor="text1"/>
          <w:shd w:val="clear" w:color="auto" w:fill="FFFFFF"/>
        </w:rPr>
        <w:t xml:space="preserve"> </w:t>
      </w:r>
      <w:r w:rsidR="005A6986" w:rsidRPr="00CC2855">
        <w:rPr>
          <w:color w:val="000000" w:themeColor="text1"/>
          <w:shd w:val="clear" w:color="auto" w:fill="FFFFFF"/>
          <w:lang w:val="es-ES"/>
        </w:rPr>
        <w:t xml:space="preserve"> “El embargo económico como </w:t>
      </w:r>
      <w:proofErr w:type="spellStart"/>
      <w:r w:rsidR="005A6986" w:rsidRPr="00CC2855">
        <w:rPr>
          <w:color w:val="000000" w:themeColor="text1"/>
          <w:shd w:val="clear" w:color="auto" w:fill="FFFFFF"/>
          <w:lang w:val="es-ES"/>
        </w:rPr>
        <w:t>insrumento</w:t>
      </w:r>
      <w:proofErr w:type="spellEnd"/>
      <w:r w:rsidR="005A6986" w:rsidRPr="00CC2855">
        <w:rPr>
          <w:color w:val="000000" w:themeColor="text1"/>
          <w:shd w:val="clear" w:color="auto" w:fill="FFFFFF"/>
          <w:lang w:val="es-ES"/>
        </w:rPr>
        <w:t xml:space="preserve"> político. Caso Estados Unidos-Libia”. </w:t>
      </w:r>
      <w:r w:rsidR="006C1C4C" w:rsidRPr="00CC2855">
        <w:rPr>
          <w:color w:val="000000" w:themeColor="text1"/>
          <w:shd w:val="clear" w:color="auto" w:fill="FFFFFF"/>
          <w:lang w:val="es-ES"/>
        </w:rPr>
        <w:t xml:space="preserve">Managua, </w:t>
      </w:r>
      <w:r w:rsidRPr="00CC2855">
        <w:rPr>
          <w:color w:val="000000" w:themeColor="text1"/>
          <w:shd w:val="clear" w:color="auto" w:fill="FFFFFF"/>
          <w:lang w:val="es-ES"/>
        </w:rPr>
        <w:t xml:space="preserve">Universidad Americana, Facultad de </w:t>
      </w:r>
      <w:r w:rsidR="006C1C4C" w:rsidRPr="00CC2855">
        <w:rPr>
          <w:color w:val="000000" w:themeColor="text1"/>
          <w:shd w:val="clear" w:color="auto" w:fill="FFFFFF"/>
          <w:lang w:val="es-ES"/>
        </w:rPr>
        <w:t>Diplomacia y Relaciones Internacionales</w:t>
      </w:r>
      <w:r w:rsidR="005A6986" w:rsidRPr="00CC2855">
        <w:rPr>
          <w:color w:val="000000" w:themeColor="text1"/>
          <w:shd w:val="clear" w:color="auto" w:fill="FFFFFF"/>
          <w:lang w:val="es-ES"/>
        </w:rPr>
        <w:t>.</w:t>
      </w:r>
    </w:p>
    <w:p w14:paraId="53DA59FD" w14:textId="2CF545F8" w:rsidR="009A32E2" w:rsidRPr="00CC2855" w:rsidRDefault="003C1415" w:rsidP="00F676DF">
      <w:pPr>
        <w:pStyle w:val="Prrafodelista"/>
        <w:numPr>
          <w:ilvl w:val="0"/>
          <w:numId w:val="5"/>
        </w:numPr>
        <w:spacing w:line="360" w:lineRule="auto"/>
        <w:jc w:val="both"/>
        <w:rPr>
          <w:color w:val="000000" w:themeColor="text1"/>
          <w:shd w:val="clear" w:color="auto" w:fill="FFFFFF"/>
          <w:lang w:val="en-US"/>
        </w:rPr>
      </w:pPr>
      <w:r w:rsidRPr="00CC2855">
        <w:rPr>
          <w:color w:val="000000" w:themeColor="text1"/>
          <w:shd w:val="clear" w:color="auto" w:fill="FFFFFF"/>
          <w:lang w:val="en-US"/>
        </w:rPr>
        <w:t xml:space="preserve">Hagger, N.  </w:t>
      </w:r>
      <w:r w:rsidRPr="00CC2855">
        <w:rPr>
          <w:color w:val="000000" w:themeColor="text1"/>
          <w:shd w:val="clear" w:color="auto" w:fill="FFFFFF"/>
        </w:rPr>
        <w:t>The Libyan Revolution: Its Origins and Legacy : a Memoir and Assessment</w:t>
      </w:r>
      <w:r w:rsidRPr="00CC2855">
        <w:rPr>
          <w:color w:val="000000" w:themeColor="text1"/>
          <w:shd w:val="clear" w:color="auto" w:fill="FFFFFF"/>
          <w:lang w:val="en-US"/>
        </w:rPr>
        <w:t>, Winchester (</w:t>
      </w:r>
      <w:proofErr w:type="spellStart"/>
      <w:r w:rsidRPr="00CC2855">
        <w:rPr>
          <w:color w:val="000000" w:themeColor="text1"/>
          <w:shd w:val="clear" w:color="auto" w:fill="FFFFFF"/>
          <w:lang w:val="en-US"/>
        </w:rPr>
        <w:t>Reino</w:t>
      </w:r>
      <w:proofErr w:type="spellEnd"/>
      <w:r w:rsidRPr="00CC2855">
        <w:rPr>
          <w:color w:val="000000" w:themeColor="text1"/>
          <w:shd w:val="clear" w:color="auto" w:fill="FFFFFF"/>
          <w:lang w:val="en-US"/>
        </w:rPr>
        <w:t xml:space="preserve"> </w:t>
      </w:r>
      <w:proofErr w:type="spellStart"/>
      <w:r w:rsidRPr="00CC2855">
        <w:rPr>
          <w:color w:val="000000" w:themeColor="text1"/>
          <w:shd w:val="clear" w:color="auto" w:fill="FFFFFF"/>
          <w:lang w:val="en-US"/>
        </w:rPr>
        <w:t>Unido</w:t>
      </w:r>
      <w:proofErr w:type="spellEnd"/>
      <w:r w:rsidRPr="00CC2855">
        <w:rPr>
          <w:color w:val="000000" w:themeColor="text1"/>
          <w:shd w:val="clear" w:color="auto" w:fill="FFFFFF"/>
          <w:lang w:val="en-US"/>
        </w:rPr>
        <w:t>) y Washington (</w:t>
      </w:r>
      <w:proofErr w:type="spellStart"/>
      <w:r w:rsidRPr="00CC2855">
        <w:rPr>
          <w:color w:val="000000" w:themeColor="text1"/>
          <w:shd w:val="clear" w:color="auto" w:fill="FFFFFF"/>
          <w:lang w:val="en-US"/>
        </w:rPr>
        <w:t>Estados</w:t>
      </w:r>
      <w:proofErr w:type="spellEnd"/>
      <w:r w:rsidRPr="00CC2855">
        <w:rPr>
          <w:color w:val="000000" w:themeColor="text1"/>
          <w:shd w:val="clear" w:color="auto" w:fill="FFFFFF"/>
          <w:lang w:val="en-US"/>
        </w:rPr>
        <w:t xml:space="preserve"> Unidos)</w:t>
      </w:r>
      <w:r w:rsidR="009A1766" w:rsidRPr="00CC2855">
        <w:rPr>
          <w:color w:val="000000" w:themeColor="text1"/>
          <w:shd w:val="clear" w:color="auto" w:fill="FFFFFF"/>
          <w:lang w:val="en-US"/>
        </w:rPr>
        <w:t>, O Books.</w:t>
      </w:r>
    </w:p>
    <w:p w14:paraId="099376CC" w14:textId="532594A8" w:rsidR="00C72A54" w:rsidRPr="00CC2855" w:rsidRDefault="009A32E2" w:rsidP="00F676DF">
      <w:pPr>
        <w:pStyle w:val="Prrafodelista"/>
        <w:numPr>
          <w:ilvl w:val="0"/>
          <w:numId w:val="5"/>
        </w:numPr>
        <w:spacing w:line="360" w:lineRule="auto"/>
        <w:jc w:val="both"/>
        <w:rPr>
          <w:color w:val="000000" w:themeColor="text1"/>
          <w:shd w:val="clear" w:color="auto" w:fill="FFFFFF"/>
          <w:lang w:val="en-US"/>
        </w:rPr>
      </w:pPr>
      <w:proofErr w:type="spellStart"/>
      <w:proofErr w:type="gramStart"/>
      <w:r w:rsidRPr="00CC2855">
        <w:rPr>
          <w:color w:val="000000" w:themeColor="text1"/>
          <w:shd w:val="clear" w:color="auto" w:fill="FFFFFF"/>
          <w:lang w:val="en-US"/>
        </w:rPr>
        <w:t>Hamood</w:t>
      </w:r>
      <w:proofErr w:type="spellEnd"/>
      <w:r w:rsidRPr="00CC2855">
        <w:rPr>
          <w:color w:val="000000" w:themeColor="text1"/>
          <w:shd w:val="clear" w:color="auto" w:fill="FFFFFF"/>
          <w:lang w:val="en-US"/>
        </w:rPr>
        <w:t>,  Sara</w:t>
      </w:r>
      <w:proofErr w:type="gramEnd"/>
      <w:r w:rsidRPr="00CC2855">
        <w:rPr>
          <w:color w:val="000000" w:themeColor="text1"/>
          <w:shd w:val="clear" w:color="auto" w:fill="FFFFFF"/>
          <w:lang w:val="en-US"/>
        </w:rPr>
        <w:t xml:space="preserve"> (2006) </w:t>
      </w:r>
      <w:r w:rsidRPr="00CC2855">
        <w:rPr>
          <w:i/>
          <w:iCs/>
          <w:color w:val="000000" w:themeColor="text1"/>
          <w:shd w:val="clear" w:color="auto" w:fill="FFFFFF"/>
          <w:lang w:val="en-US"/>
        </w:rPr>
        <w:t xml:space="preserve">African Transit Migration Through </w:t>
      </w:r>
      <w:proofErr w:type="spellStart"/>
      <w:r w:rsidRPr="00CC2855">
        <w:rPr>
          <w:i/>
          <w:iCs/>
          <w:color w:val="000000" w:themeColor="text1"/>
          <w:shd w:val="clear" w:color="auto" w:fill="FFFFFF"/>
          <w:lang w:val="en-US"/>
        </w:rPr>
        <w:t>Lybia</w:t>
      </w:r>
      <w:proofErr w:type="spellEnd"/>
      <w:r w:rsidRPr="00CC2855">
        <w:rPr>
          <w:i/>
          <w:iCs/>
          <w:color w:val="000000" w:themeColor="text1"/>
          <w:shd w:val="clear" w:color="auto" w:fill="FFFFFF"/>
          <w:lang w:val="en-US"/>
        </w:rPr>
        <w:t xml:space="preserve"> to Europe. The Human Cost, </w:t>
      </w:r>
      <w:r w:rsidRPr="00CC2855">
        <w:rPr>
          <w:color w:val="000000" w:themeColor="text1"/>
          <w:shd w:val="clear" w:color="auto" w:fill="FFFFFF"/>
          <w:lang w:val="en-US"/>
        </w:rPr>
        <w:t>El Cairo, The American University in Cairo.</w:t>
      </w:r>
    </w:p>
    <w:p w14:paraId="4A562586" w14:textId="2254BFC7" w:rsidR="001D64E2" w:rsidRPr="00CC2855" w:rsidRDefault="00C72A54" w:rsidP="00F676DF">
      <w:pPr>
        <w:pStyle w:val="Prrafodelista"/>
        <w:numPr>
          <w:ilvl w:val="0"/>
          <w:numId w:val="5"/>
        </w:numPr>
        <w:spacing w:line="360" w:lineRule="auto"/>
        <w:jc w:val="both"/>
        <w:rPr>
          <w:color w:val="000000" w:themeColor="text1"/>
          <w:shd w:val="clear" w:color="auto" w:fill="FFFFFF"/>
          <w:lang w:val="en-US"/>
        </w:rPr>
      </w:pPr>
      <w:r w:rsidRPr="00CC2855">
        <w:rPr>
          <w:color w:val="000000" w:themeColor="text1"/>
          <w:shd w:val="clear" w:color="auto" w:fill="FFFFFF"/>
        </w:rPr>
        <w:t>Kashiem, M.  (2010). The Treaty of Friendship, Partnership and Cooperation between Libya and Italy: From an Awkward Past to a Promising Equal Partnership. </w:t>
      </w:r>
      <w:r w:rsidRPr="00CC2855">
        <w:rPr>
          <w:i/>
          <w:iCs/>
          <w:color w:val="000000" w:themeColor="text1"/>
          <w:shd w:val="clear" w:color="auto" w:fill="FFFFFF"/>
        </w:rPr>
        <w:t>California Italian Studies</w:t>
      </w:r>
      <w:r w:rsidRPr="00CC2855">
        <w:rPr>
          <w:color w:val="000000" w:themeColor="text1"/>
          <w:shd w:val="clear" w:color="auto" w:fill="FFFFFF"/>
        </w:rPr>
        <w:t>,</w:t>
      </w:r>
      <w:r w:rsidRPr="00CC2855">
        <w:rPr>
          <w:color w:val="000000" w:themeColor="text1"/>
          <w:shd w:val="clear" w:color="auto" w:fill="FFFFFF"/>
          <w:lang w:val="en-US"/>
        </w:rPr>
        <w:t xml:space="preserve"> v</w:t>
      </w:r>
      <w:r w:rsidR="00B31404" w:rsidRPr="00CC2855">
        <w:rPr>
          <w:color w:val="000000" w:themeColor="text1"/>
          <w:shd w:val="clear" w:color="auto" w:fill="FFFFFF"/>
          <w:lang w:val="en-US"/>
        </w:rPr>
        <w:t>.</w:t>
      </w:r>
      <w:r w:rsidRPr="00CC2855">
        <w:rPr>
          <w:color w:val="000000" w:themeColor="text1"/>
          <w:shd w:val="clear" w:color="auto" w:fill="FFFFFF"/>
          <w:lang w:val="en-US"/>
        </w:rPr>
        <w:t xml:space="preserve"> 1, </w:t>
      </w:r>
      <w:r w:rsidR="00B31404" w:rsidRPr="00CC2855">
        <w:rPr>
          <w:color w:val="000000" w:themeColor="text1"/>
          <w:shd w:val="clear" w:color="auto" w:fill="FFFFFF"/>
          <w:lang w:val="en-US"/>
        </w:rPr>
        <w:t>n.</w:t>
      </w:r>
      <w:r w:rsidRPr="00CC2855">
        <w:rPr>
          <w:color w:val="000000" w:themeColor="text1"/>
          <w:shd w:val="clear" w:color="auto" w:fill="FFFFFF"/>
          <w:lang w:val="en-US"/>
        </w:rPr>
        <w:t xml:space="preserve"> 1, pp. 1-15.</w:t>
      </w:r>
    </w:p>
    <w:p w14:paraId="0ED413B2" w14:textId="28A12627" w:rsidR="00384730" w:rsidRPr="00CC2855" w:rsidRDefault="001D64E2" w:rsidP="00F676DF">
      <w:pPr>
        <w:pStyle w:val="Prrafodelista"/>
        <w:numPr>
          <w:ilvl w:val="0"/>
          <w:numId w:val="5"/>
        </w:numPr>
        <w:spacing w:line="360" w:lineRule="auto"/>
        <w:jc w:val="both"/>
        <w:rPr>
          <w:color w:val="000000" w:themeColor="text1"/>
          <w:shd w:val="clear" w:color="auto" w:fill="FFFFFF"/>
          <w:lang w:val="es-ES"/>
        </w:rPr>
      </w:pPr>
      <w:proofErr w:type="spellStart"/>
      <w:r w:rsidRPr="00CC2855">
        <w:rPr>
          <w:color w:val="000000" w:themeColor="text1"/>
          <w:shd w:val="clear" w:color="auto" w:fill="FFFFFF"/>
          <w:lang w:val="es-ES"/>
        </w:rPr>
        <w:t>Krauthausen</w:t>
      </w:r>
      <w:proofErr w:type="spellEnd"/>
      <w:r w:rsidRPr="00CC2855">
        <w:rPr>
          <w:color w:val="000000" w:themeColor="text1"/>
          <w:shd w:val="clear" w:color="auto" w:fill="FFFFFF"/>
          <w:lang w:val="es-ES"/>
        </w:rPr>
        <w:t>, C. (10-08-2004). “Libia indemnizará con 28,4 millones a las víctimas del atentado de Berlín de 1986”. El País.</w:t>
      </w:r>
    </w:p>
    <w:p w14:paraId="34FBE010" w14:textId="284E07DE" w:rsidR="0043633B" w:rsidRPr="00CC2855" w:rsidRDefault="00384730" w:rsidP="00F676DF">
      <w:pPr>
        <w:pStyle w:val="Prrafodelista"/>
        <w:numPr>
          <w:ilvl w:val="0"/>
          <w:numId w:val="5"/>
        </w:numPr>
        <w:spacing w:line="360" w:lineRule="auto"/>
        <w:jc w:val="both"/>
        <w:rPr>
          <w:color w:val="000000" w:themeColor="text1"/>
          <w:shd w:val="clear" w:color="auto" w:fill="FFFFFF"/>
          <w:lang w:val="es-ES"/>
        </w:rPr>
      </w:pPr>
      <w:r w:rsidRPr="00CC2855">
        <w:rPr>
          <w:color w:val="000000" w:themeColor="text1"/>
          <w:shd w:val="clear" w:color="auto" w:fill="FFFFFF"/>
          <w:lang w:val="es-ES"/>
        </w:rPr>
        <w:t xml:space="preserve">La </w:t>
      </w:r>
      <w:proofErr w:type="spellStart"/>
      <w:r w:rsidRPr="00CC2855">
        <w:rPr>
          <w:color w:val="000000" w:themeColor="text1"/>
          <w:shd w:val="clear" w:color="auto" w:fill="FFFFFF"/>
          <w:lang w:val="es-ES"/>
        </w:rPr>
        <w:t>Repubblica</w:t>
      </w:r>
      <w:proofErr w:type="spellEnd"/>
      <w:r w:rsidRPr="00CC2855">
        <w:rPr>
          <w:color w:val="000000" w:themeColor="text1"/>
          <w:shd w:val="clear" w:color="auto" w:fill="FFFFFF"/>
          <w:lang w:val="es-ES"/>
        </w:rPr>
        <w:t xml:space="preserve"> (26-11-2011) “</w:t>
      </w:r>
      <w:proofErr w:type="spellStart"/>
      <w:r w:rsidRPr="00CC2855">
        <w:rPr>
          <w:color w:val="000000" w:themeColor="text1"/>
          <w:shd w:val="clear" w:color="auto" w:fill="FFFFFF"/>
          <w:lang w:val="es-ES"/>
        </w:rPr>
        <w:t>Mediterraneo</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oltre</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due</w:t>
      </w:r>
      <w:proofErr w:type="spellEnd"/>
      <w:r w:rsidRPr="00CC2855">
        <w:rPr>
          <w:color w:val="000000" w:themeColor="text1"/>
          <w:shd w:val="clear" w:color="auto" w:fill="FFFFFF"/>
          <w:lang w:val="es-ES"/>
        </w:rPr>
        <w:t xml:space="preserve"> mil </w:t>
      </w:r>
      <w:proofErr w:type="spellStart"/>
      <w:r w:rsidRPr="00CC2855">
        <w:rPr>
          <w:color w:val="000000" w:themeColor="text1"/>
          <w:shd w:val="clear" w:color="auto" w:fill="FFFFFF"/>
          <w:lang w:val="es-ES"/>
        </w:rPr>
        <w:t>gli</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immigrati</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morì</w:t>
      </w:r>
      <w:proofErr w:type="spellEnd"/>
      <w:r w:rsidRPr="00CC2855">
        <w:rPr>
          <w:color w:val="000000" w:themeColor="text1"/>
          <w:shd w:val="clear" w:color="auto" w:fill="FFFFFF"/>
          <w:lang w:val="es-ES"/>
        </w:rPr>
        <w:t xml:space="preserve"> in mare nel 2011”. </w:t>
      </w:r>
      <w:proofErr w:type="spellStart"/>
      <w:r w:rsidRPr="00CC2855">
        <w:rPr>
          <w:color w:val="000000" w:themeColor="text1"/>
          <w:shd w:val="clear" w:color="auto" w:fill="FFFFFF"/>
          <w:lang w:val="es-ES"/>
        </w:rPr>
        <w:t>Cronaca</w:t>
      </w:r>
      <w:proofErr w:type="spellEnd"/>
      <w:r w:rsidR="00B31404" w:rsidRPr="00CC2855">
        <w:rPr>
          <w:color w:val="000000" w:themeColor="text1"/>
          <w:shd w:val="clear" w:color="auto" w:fill="FFFFFF"/>
          <w:lang w:val="es-ES"/>
        </w:rPr>
        <w:t>.</w:t>
      </w:r>
    </w:p>
    <w:p w14:paraId="78971DC3" w14:textId="177EDF85" w:rsidR="00AF1206" w:rsidRPr="00CC2855" w:rsidRDefault="001E1FFD" w:rsidP="00F676DF">
      <w:pPr>
        <w:pStyle w:val="Prrafodelista"/>
        <w:numPr>
          <w:ilvl w:val="0"/>
          <w:numId w:val="5"/>
        </w:numPr>
        <w:spacing w:line="360" w:lineRule="auto"/>
        <w:jc w:val="both"/>
        <w:rPr>
          <w:color w:val="000000" w:themeColor="text1"/>
          <w:shd w:val="clear" w:color="auto" w:fill="FFFFFF"/>
          <w:lang w:val="es-ES"/>
        </w:rPr>
      </w:pPr>
      <w:r w:rsidRPr="00CC2855">
        <w:rPr>
          <w:color w:val="000000" w:themeColor="text1"/>
          <w:shd w:val="clear" w:color="auto" w:fill="FFFFFF"/>
          <w:lang w:val="es-ES"/>
        </w:rPr>
        <w:t>An</w:t>
      </w:r>
      <w:r w:rsidR="005A6986" w:rsidRPr="00CC2855">
        <w:rPr>
          <w:color w:val="000000" w:themeColor="text1"/>
          <w:shd w:val="clear" w:color="auto" w:fill="FFFFFF"/>
          <w:lang w:val="es-ES"/>
        </w:rPr>
        <w:t>ó</w:t>
      </w:r>
      <w:r w:rsidRPr="00CC2855">
        <w:rPr>
          <w:color w:val="000000" w:themeColor="text1"/>
          <w:shd w:val="clear" w:color="auto" w:fill="FFFFFF"/>
          <w:lang w:val="es-ES"/>
        </w:rPr>
        <w:t>nimo</w:t>
      </w:r>
      <w:r w:rsidR="00B31404" w:rsidRPr="00CC2855">
        <w:rPr>
          <w:color w:val="000000" w:themeColor="text1"/>
          <w:shd w:val="clear" w:color="auto" w:fill="FFFFFF"/>
          <w:lang w:val="es-ES"/>
        </w:rPr>
        <w:t xml:space="preserve"> (1956)</w:t>
      </w:r>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Il</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trattato</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Italo-Libico</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firmato</w:t>
      </w:r>
      <w:proofErr w:type="spellEnd"/>
      <w:r w:rsidRPr="00CC2855">
        <w:rPr>
          <w:color w:val="000000" w:themeColor="text1"/>
          <w:shd w:val="clear" w:color="auto" w:fill="FFFFFF"/>
          <w:lang w:val="es-ES"/>
        </w:rPr>
        <w:t xml:space="preserve"> a Roma </w:t>
      </w:r>
      <w:proofErr w:type="spellStart"/>
      <w:r w:rsidRPr="00CC2855">
        <w:rPr>
          <w:color w:val="000000" w:themeColor="text1"/>
          <w:shd w:val="clear" w:color="auto" w:fill="FFFFFF"/>
          <w:lang w:val="es-ES"/>
        </w:rPr>
        <w:t>il</w:t>
      </w:r>
      <w:proofErr w:type="spellEnd"/>
      <w:r w:rsidRPr="00CC2855">
        <w:rPr>
          <w:color w:val="000000" w:themeColor="text1"/>
          <w:shd w:val="clear" w:color="auto" w:fill="FFFFFF"/>
          <w:lang w:val="es-ES"/>
        </w:rPr>
        <w:t xml:space="preserve"> 2 </w:t>
      </w:r>
      <w:proofErr w:type="spellStart"/>
      <w:r w:rsidRPr="00CC2855">
        <w:rPr>
          <w:color w:val="000000" w:themeColor="text1"/>
          <w:shd w:val="clear" w:color="auto" w:fill="FFFFFF"/>
          <w:lang w:val="es-ES"/>
        </w:rPr>
        <w:t>ottobre</w:t>
      </w:r>
      <w:proofErr w:type="spellEnd"/>
      <w:r w:rsidRPr="00CC2855">
        <w:rPr>
          <w:color w:val="000000" w:themeColor="text1"/>
          <w:shd w:val="clear" w:color="auto" w:fill="FFFFFF"/>
          <w:lang w:val="es-ES"/>
        </w:rPr>
        <w:t xml:space="preserve"> 1955”. Libia: Revista </w:t>
      </w:r>
      <w:proofErr w:type="spellStart"/>
      <w:r w:rsidRPr="00CC2855">
        <w:rPr>
          <w:color w:val="000000" w:themeColor="text1"/>
          <w:shd w:val="clear" w:color="auto" w:fill="FFFFFF"/>
          <w:lang w:val="es-ES"/>
        </w:rPr>
        <w:t>Trimestrale</w:t>
      </w:r>
      <w:proofErr w:type="spellEnd"/>
      <w:r w:rsidRPr="00CC2855">
        <w:rPr>
          <w:color w:val="000000" w:themeColor="text1"/>
          <w:shd w:val="clear" w:color="auto" w:fill="FFFFFF"/>
          <w:lang w:val="es-ES"/>
        </w:rPr>
        <w:t xml:space="preserve"> di </w:t>
      </w:r>
      <w:proofErr w:type="spellStart"/>
      <w:r w:rsidRPr="00CC2855">
        <w:rPr>
          <w:color w:val="000000" w:themeColor="text1"/>
          <w:shd w:val="clear" w:color="auto" w:fill="FFFFFF"/>
          <w:lang w:val="es-ES"/>
        </w:rPr>
        <w:t>Studi</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Libici</w:t>
      </w:r>
      <w:proofErr w:type="spellEnd"/>
      <w:r w:rsidRPr="00CC2855">
        <w:rPr>
          <w:color w:val="000000" w:themeColor="text1"/>
          <w:shd w:val="clear" w:color="auto" w:fill="FFFFFF"/>
          <w:lang w:val="es-ES"/>
        </w:rPr>
        <w:t xml:space="preserve">, </w:t>
      </w:r>
      <w:r w:rsidR="00B31404" w:rsidRPr="00CC2855">
        <w:rPr>
          <w:color w:val="000000" w:themeColor="text1"/>
          <w:shd w:val="clear" w:color="auto" w:fill="FFFFFF"/>
          <w:lang w:val="es-ES"/>
        </w:rPr>
        <w:t>v.</w:t>
      </w:r>
      <w:r w:rsidRPr="00CC2855">
        <w:rPr>
          <w:color w:val="000000" w:themeColor="text1"/>
          <w:shd w:val="clear" w:color="auto" w:fill="FFFFFF"/>
          <w:lang w:val="es-ES"/>
        </w:rPr>
        <w:t xml:space="preserve"> 4, </w:t>
      </w:r>
      <w:r w:rsidR="00B31404" w:rsidRPr="00CC2855">
        <w:rPr>
          <w:color w:val="000000" w:themeColor="text1"/>
          <w:shd w:val="clear" w:color="auto" w:fill="FFFFFF"/>
          <w:lang w:val="es-ES"/>
        </w:rPr>
        <w:t>n</w:t>
      </w:r>
      <w:r w:rsidRPr="00CC2855">
        <w:rPr>
          <w:color w:val="000000" w:themeColor="text1"/>
          <w:shd w:val="clear" w:color="auto" w:fill="FFFFFF"/>
          <w:lang w:val="es-ES"/>
        </w:rPr>
        <w:t>. 1-2, pp. 47-57.</w:t>
      </w:r>
    </w:p>
    <w:p w14:paraId="001F599B" w14:textId="1CE52AF0" w:rsidR="001D64E2" w:rsidRPr="00CC2855" w:rsidRDefault="00AF1206" w:rsidP="00F676DF">
      <w:pPr>
        <w:pStyle w:val="Prrafodelista"/>
        <w:numPr>
          <w:ilvl w:val="0"/>
          <w:numId w:val="5"/>
        </w:numPr>
        <w:spacing w:line="360" w:lineRule="auto"/>
        <w:jc w:val="both"/>
        <w:rPr>
          <w:color w:val="000000" w:themeColor="text1"/>
          <w:shd w:val="clear" w:color="auto" w:fill="FFFFFF"/>
        </w:rPr>
      </w:pPr>
      <w:r w:rsidRPr="00CC2855">
        <w:rPr>
          <w:color w:val="000000" w:themeColor="text1"/>
          <w:shd w:val="clear" w:color="auto" w:fill="FFFFFF"/>
          <w:lang w:val="es-ES_tradnl"/>
        </w:rPr>
        <w:t xml:space="preserve">López Martín, </w:t>
      </w:r>
      <w:r w:rsidR="005A6986" w:rsidRPr="00CC2855">
        <w:rPr>
          <w:color w:val="000000" w:themeColor="text1"/>
          <w:shd w:val="clear" w:color="auto" w:fill="FFFFFF"/>
          <w:lang w:val="es-ES_tradnl"/>
        </w:rPr>
        <w:t>A.</w:t>
      </w:r>
      <w:r w:rsidRPr="00CC2855">
        <w:rPr>
          <w:color w:val="000000" w:themeColor="text1"/>
          <w:shd w:val="clear" w:color="auto" w:fill="FFFFFF"/>
          <w:lang w:val="es-ES_tradnl"/>
        </w:rPr>
        <w:t xml:space="preserve"> (1994) “Embargo y bloqueo aéreo en la práctica reciente del Consejo de Seguridad: del conflicto del Golfo al caso de Libia”, </w:t>
      </w:r>
      <w:r w:rsidRPr="00CC2855">
        <w:rPr>
          <w:i/>
          <w:iCs/>
          <w:color w:val="000000" w:themeColor="text1"/>
          <w:shd w:val="clear" w:color="auto" w:fill="FFFFFF"/>
        </w:rPr>
        <w:t>REDI</w:t>
      </w:r>
      <w:r w:rsidRPr="00CC2855">
        <w:rPr>
          <w:color w:val="000000" w:themeColor="text1"/>
          <w:shd w:val="clear" w:color="auto" w:fill="FFFFFF"/>
        </w:rPr>
        <w:t>, vol. 46, p</w:t>
      </w:r>
      <w:r w:rsidR="00283C89" w:rsidRPr="00CC2855">
        <w:rPr>
          <w:color w:val="000000" w:themeColor="text1"/>
          <w:shd w:val="clear" w:color="auto" w:fill="FFFFFF"/>
          <w:lang w:val="es-ES"/>
        </w:rPr>
        <w:t>p</w:t>
      </w:r>
      <w:r w:rsidRPr="00CC2855">
        <w:rPr>
          <w:color w:val="000000" w:themeColor="text1"/>
          <w:shd w:val="clear" w:color="auto" w:fill="FFFFFF"/>
        </w:rPr>
        <w:t>. 39</w:t>
      </w:r>
      <w:r w:rsidR="00283C89" w:rsidRPr="00CC2855">
        <w:rPr>
          <w:color w:val="000000" w:themeColor="text1"/>
          <w:shd w:val="clear" w:color="auto" w:fill="FFFFFF"/>
          <w:lang w:val="es-ES"/>
        </w:rPr>
        <w:t>-59</w:t>
      </w:r>
      <w:r w:rsidRPr="00CC2855">
        <w:rPr>
          <w:color w:val="000000" w:themeColor="text1"/>
          <w:shd w:val="clear" w:color="auto" w:fill="FFFFFF"/>
        </w:rPr>
        <w:t>.</w:t>
      </w:r>
    </w:p>
    <w:p w14:paraId="4653FD16" w14:textId="1083FB19" w:rsidR="003C7102" w:rsidRPr="00CC2855" w:rsidRDefault="001D64E2" w:rsidP="00F676DF">
      <w:pPr>
        <w:pStyle w:val="Prrafodelista"/>
        <w:numPr>
          <w:ilvl w:val="0"/>
          <w:numId w:val="5"/>
        </w:numPr>
        <w:spacing w:line="360" w:lineRule="auto"/>
        <w:jc w:val="both"/>
        <w:rPr>
          <w:color w:val="000000" w:themeColor="text1"/>
          <w:shd w:val="clear" w:color="auto" w:fill="FFFFFF"/>
          <w:lang w:val="es-ES"/>
        </w:rPr>
      </w:pPr>
      <w:r w:rsidRPr="00CC2855">
        <w:rPr>
          <w:color w:val="000000" w:themeColor="text1"/>
          <w:shd w:val="clear" w:color="auto" w:fill="FFFFFF"/>
          <w:lang w:val="es-ES"/>
        </w:rPr>
        <w:t xml:space="preserve">Martínez de </w:t>
      </w:r>
      <w:proofErr w:type="spellStart"/>
      <w:r w:rsidRPr="00CC2855">
        <w:rPr>
          <w:color w:val="000000" w:themeColor="text1"/>
          <w:shd w:val="clear" w:color="auto" w:fill="FFFFFF"/>
          <w:lang w:val="es-ES"/>
        </w:rPr>
        <w:t>Rituerto</w:t>
      </w:r>
      <w:proofErr w:type="spellEnd"/>
      <w:r w:rsidRPr="00CC2855">
        <w:rPr>
          <w:color w:val="000000" w:themeColor="text1"/>
          <w:shd w:val="clear" w:color="auto" w:fill="FFFFFF"/>
          <w:lang w:val="es-ES"/>
        </w:rPr>
        <w:t xml:space="preserve"> (11-10-2004). “La UE levanta el embargo de armas impuesto a Libia desde 1986”. El País.</w:t>
      </w:r>
    </w:p>
    <w:p w14:paraId="63D99BB8" w14:textId="188D32D5" w:rsidR="00F167F2" w:rsidRPr="00CC2855" w:rsidRDefault="003C7102" w:rsidP="00F676DF">
      <w:pPr>
        <w:pStyle w:val="Prrafodelista"/>
        <w:numPr>
          <w:ilvl w:val="0"/>
          <w:numId w:val="5"/>
        </w:numPr>
        <w:spacing w:line="360" w:lineRule="auto"/>
        <w:jc w:val="both"/>
        <w:rPr>
          <w:color w:val="000000" w:themeColor="text1"/>
          <w:shd w:val="clear" w:color="auto" w:fill="FFFFFF"/>
          <w:lang w:val="en-US"/>
        </w:rPr>
      </w:pPr>
      <w:r w:rsidRPr="00CC2855">
        <w:rPr>
          <w:color w:val="000000" w:themeColor="text1"/>
          <w:shd w:val="clear" w:color="auto" w:fill="FFFFFF"/>
          <w:lang w:val="en-US"/>
        </w:rPr>
        <w:lastRenderedPageBreak/>
        <w:t>Migrations News (</w:t>
      </w:r>
      <w:proofErr w:type="spellStart"/>
      <w:r w:rsidRPr="00CC2855">
        <w:rPr>
          <w:color w:val="000000" w:themeColor="text1"/>
          <w:shd w:val="clear" w:color="auto" w:fill="FFFFFF"/>
          <w:lang w:val="en-US"/>
        </w:rPr>
        <w:t>noviembre</w:t>
      </w:r>
      <w:proofErr w:type="spellEnd"/>
      <w:r w:rsidRPr="00CC2855">
        <w:rPr>
          <w:color w:val="000000" w:themeColor="text1"/>
          <w:shd w:val="clear" w:color="auto" w:fill="FFFFFF"/>
          <w:lang w:val="en-US"/>
        </w:rPr>
        <w:t xml:space="preserve"> de 1995). </w:t>
      </w:r>
      <w:r w:rsidR="005A6986" w:rsidRPr="00CC2855">
        <w:rPr>
          <w:color w:val="000000" w:themeColor="text1"/>
          <w:shd w:val="clear" w:color="auto" w:fill="FFFFFF"/>
          <w:lang w:val="en-US"/>
        </w:rPr>
        <w:t>“</w:t>
      </w:r>
      <w:proofErr w:type="spellStart"/>
      <w:r w:rsidRPr="00CC2855">
        <w:rPr>
          <w:color w:val="000000" w:themeColor="text1"/>
          <w:shd w:val="clear" w:color="auto" w:fill="FFFFFF"/>
          <w:lang w:val="en-US"/>
        </w:rPr>
        <w:t>Lybia</w:t>
      </w:r>
      <w:proofErr w:type="spellEnd"/>
      <w:r w:rsidRPr="00CC2855">
        <w:rPr>
          <w:color w:val="000000" w:themeColor="text1"/>
          <w:shd w:val="clear" w:color="auto" w:fill="FFFFFF"/>
          <w:lang w:val="en-US"/>
        </w:rPr>
        <w:t xml:space="preserve"> expels guest workers</w:t>
      </w:r>
      <w:r w:rsidR="005A6986" w:rsidRPr="00CC2855">
        <w:rPr>
          <w:color w:val="000000" w:themeColor="text1"/>
          <w:shd w:val="clear" w:color="auto" w:fill="FFFFFF"/>
          <w:lang w:val="en-US"/>
        </w:rPr>
        <w:t xml:space="preserve">”, </w:t>
      </w:r>
      <w:r w:rsidRPr="00CC2855">
        <w:rPr>
          <w:color w:val="000000" w:themeColor="text1"/>
          <w:shd w:val="clear" w:color="auto" w:fill="FFFFFF"/>
        </w:rPr>
        <w:t xml:space="preserve">November 1995, </w:t>
      </w:r>
      <w:r w:rsidR="005A6986" w:rsidRPr="00CC2855">
        <w:rPr>
          <w:color w:val="000000" w:themeColor="text1"/>
          <w:shd w:val="clear" w:color="auto" w:fill="FFFFFF"/>
          <w:lang w:val="en-US"/>
        </w:rPr>
        <w:t>v.</w:t>
      </w:r>
      <w:r w:rsidRPr="00CC2855">
        <w:rPr>
          <w:color w:val="000000" w:themeColor="text1"/>
          <w:shd w:val="clear" w:color="auto" w:fill="FFFFFF"/>
        </w:rPr>
        <w:t xml:space="preserve"> 2, </w:t>
      </w:r>
      <w:r w:rsidR="005A6986" w:rsidRPr="00CC2855">
        <w:rPr>
          <w:color w:val="000000" w:themeColor="text1"/>
          <w:shd w:val="clear" w:color="auto" w:fill="FFFFFF"/>
          <w:lang w:val="en-US"/>
        </w:rPr>
        <w:t>n.</w:t>
      </w:r>
      <w:r w:rsidRPr="00CC2855">
        <w:rPr>
          <w:color w:val="000000" w:themeColor="text1"/>
          <w:shd w:val="clear" w:color="auto" w:fill="FFFFFF"/>
        </w:rPr>
        <w:t xml:space="preserve"> 11</w:t>
      </w:r>
      <w:r w:rsidR="00D87DC5" w:rsidRPr="00CC2855">
        <w:rPr>
          <w:color w:val="000000" w:themeColor="text1"/>
          <w:shd w:val="clear" w:color="auto" w:fill="FFFFFF"/>
          <w:lang w:val="en-US"/>
        </w:rPr>
        <w:t xml:space="preserve">. </w:t>
      </w:r>
      <w:r w:rsidR="00D87DC5" w:rsidRPr="00D55BB2">
        <w:rPr>
          <w:color w:val="000000" w:themeColor="text1"/>
          <w:shd w:val="clear" w:color="auto" w:fill="FFFFFF"/>
          <w:lang w:val="es-ES"/>
        </w:rPr>
        <w:t xml:space="preserve">En: </w:t>
      </w:r>
      <w:hyperlink r:id="rId18" w:history="1">
        <w:r w:rsidR="00D87DC5" w:rsidRPr="00D55BB2">
          <w:rPr>
            <w:rStyle w:val="Hipervnculo"/>
            <w:color w:val="000000" w:themeColor="text1"/>
            <w:shd w:val="clear" w:color="auto" w:fill="FFFFFF"/>
            <w:lang w:val="es-ES"/>
          </w:rPr>
          <w:t>https://migration.ucdavis.edu/mn/more_entireissue.php?idate=1995_11</w:t>
        </w:r>
      </w:hyperlink>
      <w:r w:rsidR="00D87DC5" w:rsidRPr="00D55BB2">
        <w:rPr>
          <w:color w:val="000000" w:themeColor="text1"/>
          <w:shd w:val="clear" w:color="auto" w:fill="FFFFFF"/>
          <w:lang w:val="es-ES"/>
        </w:rPr>
        <w:t xml:space="preserve">. </w:t>
      </w:r>
      <w:r w:rsidR="00D87DC5" w:rsidRPr="00CC2855">
        <w:rPr>
          <w:color w:val="000000" w:themeColor="text1"/>
          <w:shd w:val="clear" w:color="auto" w:fill="FFFFFF"/>
          <w:lang w:val="en-US"/>
        </w:rPr>
        <w:t>Cons. 10-08-2022</w:t>
      </w:r>
    </w:p>
    <w:p w14:paraId="4FB69300" w14:textId="64231A9F" w:rsidR="005E2004" w:rsidRPr="00CC2855" w:rsidRDefault="00F167F2" w:rsidP="00F676DF">
      <w:pPr>
        <w:pStyle w:val="Prrafodelista"/>
        <w:numPr>
          <w:ilvl w:val="0"/>
          <w:numId w:val="5"/>
        </w:numPr>
        <w:spacing w:line="360" w:lineRule="auto"/>
        <w:jc w:val="both"/>
        <w:rPr>
          <w:color w:val="000000" w:themeColor="text1"/>
          <w:shd w:val="clear" w:color="auto" w:fill="FFFFFF"/>
          <w:lang w:val="en-US"/>
        </w:rPr>
      </w:pPr>
      <w:proofErr w:type="spellStart"/>
      <w:r w:rsidRPr="00CC2855">
        <w:rPr>
          <w:color w:val="000000" w:themeColor="text1"/>
          <w:shd w:val="clear" w:color="auto" w:fill="FFFFFF"/>
          <w:lang w:val="en-US"/>
        </w:rPr>
        <w:t>Monzini</w:t>
      </w:r>
      <w:proofErr w:type="spellEnd"/>
      <w:r w:rsidRPr="00CC2855">
        <w:rPr>
          <w:color w:val="000000" w:themeColor="text1"/>
          <w:shd w:val="clear" w:color="auto" w:fill="FFFFFF"/>
          <w:lang w:val="en-US"/>
        </w:rPr>
        <w:t xml:space="preserve">, </w:t>
      </w:r>
      <w:r w:rsidR="00522D60" w:rsidRPr="00CC2855">
        <w:rPr>
          <w:color w:val="000000" w:themeColor="text1"/>
          <w:shd w:val="clear" w:color="auto" w:fill="FFFFFF"/>
          <w:lang w:val="en-US"/>
        </w:rPr>
        <w:t xml:space="preserve">P. </w:t>
      </w:r>
      <w:r w:rsidRPr="00CC2855">
        <w:rPr>
          <w:color w:val="000000" w:themeColor="text1"/>
          <w:shd w:val="clear" w:color="auto" w:fill="FFFFFF"/>
          <w:lang w:val="en-US"/>
        </w:rPr>
        <w:t xml:space="preserve">(2008) </w:t>
      </w:r>
      <w:r w:rsidR="00522D60" w:rsidRPr="00CC2855">
        <w:rPr>
          <w:color w:val="000000" w:themeColor="text1"/>
          <w:shd w:val="clear" w:color="auto" w:fill="FFFFFF"/>
          <w:lang w:val="en-US"/>
        </w:rPr>
        <w:t>“</w:t>
      </w:r>
      <w:r w:rsidRPr="00CC2855">
        <w:rPr>
          <w:color w:val="000000" w:themeColor="text1"/>
          <w:shd w:val="clear" w:color="auto" w:fill="FFFFFF"/>
          <w:lang w:val="en-US"/>
        </w:rPr>
        <w:t xml:space="preserve">Il </w:t>
      </w:r>
      <w:proofErr w:type="spellStart"/>
      <w:r w:rsidRPr="00CC2855">
        <w:rPr>
          <w:color w:val="000000" w:themeColor="text1"/>
          <w:shd w:val="clear" w:color="auto" w:fill="FFFFFF"/>
          <w:lang w:val="en-US"/>
        </w:rPr>
        <w:t>traffico</w:t>
      </w:r>
      <w:proofErr w:type="spellEnd"/>
      <w:r w:rsidRPr="00CC2855">
        <w:rPr>
          <w:color w:val="000000" w:themeColor="text1"/>
          <w:shd w:val="clear" w:color="auto" w:fill="FFFFFF"/>
          <w:lang w:val="en-US"/>
        </w:rPr>
        <w:t xml:space="preserve"> di </w:t>
      </w:r>
      <w:proofErr w:type="spellStart"/>
      <w:r w:rsidRPr="00CC2855">
        <w:rPr>
          <w:color w:val="000000" w:themeColor="text1"/>
          <w:shd w:val="clear" w:color="auto" w:fill="FFFFFF"/>
          <w:lang w:val="en-US"/>
        </w:rPr>
        <w:t>migranti</w:t>
      </w:r>
      <w:proofErr w:type="spellEnd"/>
      <w:r w:rsidRPr="00CC2855">
        <w:rPr>
          <w:color w:val="000000" w:themeColor="text1"/>
          <w:shd w:val="clear" w:color="auto" w:fill="FFFFFF"/>
          <w:lang w:val="en-US"/>
        </w:rPr>
        <w:t xml:space="preserve"> per mare verso </w:t>
      </w:r>
      <w:proofErr w:type="spellStart"/>
      <w:r w:rsidRPr="00CC2855">
        <w:rPr>
          <w:color w:val="000000" w:themeColor="text1"/>
          <w:shd w:val="clear" w:color="auto" w:fill="FFFFFF"/>
          <w:lang w:val="en-US"/>
        </w:rPr>
        <w:t>l’Italia</w:t>
      </w:r>
      <w:proofErr w:type="spellEnd"/>
      <w:r w:rsidRPr="00CC2855">
        <w:rPr>
          <w:color w:val="000000" w:themeColor="text1"/>
          <w:shd w:val="clear" w:color="auto" w:fill="FFFFFF"/>
          <w:lang w:val="en-US"/>
        </w:rPr>
        <w:t xml:space="preserve">, </w:t>
      </w:r>
      <w:proofErr w:type="spellStart"/>
      <w:r w:rsidRPr="00CC2855">
        <w:rPr>
          <w:color w:val="000000" w:themeColor="text1"/>
          <w:shd w:val="clear" w:color="auto" w:fill="FFFFFF"/>
          <w:lang w:val="en-US"/>
        </w:rPr>
        <w:t>sviluppi</w:t>
      </w:r>
      <w:proofErr w:type="spellEnd"/>
      <w:r w:rsidRPr="00CC2855">
        <w:rPr>
          <w:color w:val="000000" w:themeColor="text1"/>
          <w:shd w:val="clear" w:color="auto" w:fill="FFFFFF"/>
          <w:lang w:val="en-US"/>
        </w:rPr>
        <w:t xml:space="preserve"> </w:t>
      </w:r>
      <w:proofErr w:type="spellStart"/>
      <w:r w:rsidRPr="00CC2855">
        <w:rPr>
          <w:color w:val="000000" w:themeColor="text1"/>
          <w:shd w:val="clear" w:color="auto" w:fill="FFFFFF"/>
          <w:lang w:val="en-US"/>
        </w:rPr>
        <w:t>recenti</w:t>
      </w:r>
      <w:proofErr w:type="spellEnd"/>
      <w:r w:rsidRPr="00CC2855">
        <w:rPr>
          <w:color w:val="000000" w:themeColor="text1"/>
          <w:shd w:val="clear" w:color="auto" w:fill="FFFFFF"/>
          <w:lang w:val="en-US"/>
        </w:rPr>
        <w:t xml:space="preserve"> (2004-2008)</w:t>
      </w:r>
      <w:r w:rsidR="00522D60" w:rsidRPr="00CC2855">
        <w:rPr>
          <w:color w:val="000000" w:themeColor="text1"/>
          <w:shd w:val="clear" w:color="auto" w:fill="FFFFFF"/>
          <w:lang w:val="en-US"/>
        </w:rPr>
        <w:t>”</w:t>
      </w:r>
      <w:r w:rsidR="00B31404" w:rsidRPr="00CC2855">
        <w:rPr>
          <w:color w:val="000000" w:themeColor="text1"/>
          <w:shd w:val="clear" w:color="auto" w:fill="FFFFFF"/>
          <w:lang w:val="en-US"/>
        </w:rPr>
        <w:t xml:space="preserve">. </w:t>
      </w:r>
      <w:r w:rsidRPr="00CC2855">
        <w:rPr>
          <w:color w:val="000000" w:themeColor="text1"/>
          <w:shd w:val="clear" w:color="auto" w:fill="FFFFFF"/>
          <w:lang w:val="en-US"/>
        </w:rPr>
        <w:t xml:space="preserve">Working Papers 43/2008, </w:t>
      </w:r>
      <w:proofErr w:type="spellStart"/>
      <w:r w:rsidRPr="00CC2855">
        <w:rPr>
          <w:color w:val="000000" w:themeColor="text1"/>
          <w:shd w:val="clear" w:color="auto" w:fill="FFFFFF"/>
          <w:lang w:val="en-US"/>
        </w:rPr>
        <w:t>CeSPI</w:t>
      </w:r>
      <w:proofErr w:type="spellEnd"/>
      <w:r w:rsidRPr="00CC2855">
        <w:rPr>
          <w:color w:val="000000" w:themeColor="text1"/>
          <w:shd w:val="clear" w:color="auto" w:fill="FFFFFF"/>
          <w:lang w:val="en-US"/>
        </w:rPr>
        <w:t xml:space="preserve">, </w:t>
      </w:r>
      <w:proofErr w:type="spellStart"/>
      <w:r w:rsidRPr="00CC2855">
        <w:rPr>
          <w:color w:val="000000" w:themeColor="text1"/>
          <w:shd w:val="clear" w:color="auto" w:fill="FFFFFF"/>
          <w:lang w:val="en-US"/>
        </w:rPr>
        <w:t>octubre</w:t>
      </w:r>
      <w:proofErr w:type="spellEnd"/>
      <w:r w:rsidRPr="00CC2855">
        <w:rPr>
          <w:color w:val="000000" w:themeColor="text1"/>
          <w:shd w:val="clear" w:color="auto" w:fill="FFFFFF"/>
          <w:lang w:val="en-US"/>
        </w:rPr>
        <w:t xml:space="preserve">, </w:t>
      </w:r>
      <w:r w:rsidR="00B31404" w:rsidRPr="00CC2855">
        <w:rPr>
          <w:color w:val="000000" w:themeColor="text1"/>
          <w:shd w:val="clear" w:color="auto" w:fill="FFFFFF"/>
          <w:lang w:val="en-US"/>
        </w:rPr>
        <w:t>pp. 1-48.</w:t>
      </w:r>
    </w:p>
    <w:p w14:paraId="1AE604A2" w14:textId="726A8439" w:rsidR="00EA41C7" w:rsidRPr="00CC2855" w:rsidRDefault="005E2004" w:rsidP="00F676DF">
      <w:pPr>
        <w:pStyle w:val="Prrafodelista"/>
        <w:numPr>
          <w:ilvl w:val="0"/>
          <w:numId w:val="5"/>
        </w:numPr>
        <w:spacing w:line="360" w:lineRule="auto"/>
        <w:jc w:val="both"/>
        <w:rPr>
          <w:color w:val="000000" w:themeColor="text1"/>
          <w:shd w:val="clear" w:color="auto" w:fill="FFFFFF"/>
          <w:lang w:val="es-ES"/>
        </w:rPr>
      </w:pPr>
      <w:proofErr w:type="spellStart"/>
      <w:r w:rsidRPr="00D55BB2">
        <w:rPr>
          <w:color w:val="000000" w:themeColor="text1"/>
          <w:shd w:val="clear" w:color="auto" w:fill="FFFFFF"/>
          <w:lang w:val="es-ES"/>
        </w:rPr>
        <w:t>Morgese</w:t>
      </w:r>
      <w:proofErr w:type="spellEnd"/>
      <w:r w:rsidRPr="00D55BB2">
        <w:rPr>
          <w:color w:val="000000" w:themeColor="text1"/>
          <w:shd w:val="clear" w:color="auto" w:fill="FFFFFF"/>
          <w:lang w:val="es-ES"/>
        </w:rPr>
        <w:t xml:space="preserve">, </w:t>
      </w:r>
      <w:r w:rsidR="00522D60" w:rsidRPr="00D55BB2">
        <w:rPr>
          <w:color w:val="000000" w:themeColor="text1"/>
          <w:shd w:val="clear" w:color="auto" w:fill="FFFFFF"/>
          <w:lang w:val="es-ES"/>
        </w:rPr>
        <w:t>G.</w:t>
      </w:r>
      <w:r w:rsidRPr="00D55BB2">
        <w:rPr>
          <w:color w:val="000000" w:themeColor="text1"/>
          <w:shd w:val="clear" w:color="auto" w:fill="FFFFFF"/>
          <w:lang w:val="es-ES"/>
        </w:rPr>
        <w:t xml:space="preserve"> (2020). </w:t>
      </w:r>
      <w:r w:rsidRPr="00CC2855">
        <w:rPr>
          <w:color w:val="000000" w:themeColor="text1"/>
          <w:shd w:val="clear" w:color="auto" w:fill="FFFFFF"/>
          <w:lang w:val="es-ES"/>
        </w:rPr>
        <w:t xml:space="preserve">“Italia, Libia e la </w:t>
      </w:r>
      <w:proofErr w:type="spellStart"/>
      <w:r w:rsidRPr="00CC2855">
        <w:rPr>
          <w:color w:val="000000" w:themeColor="text1"/>
          <w:shd w:val="clear" w:color="auto" w:fill="FFFFFF"/>
          <w:lang w:val="es-ES"/>
        </w:rPr>
        <w:t>questione</w:t>
      </w:r>
      <w:proofErr w:type="spellEnd"/>
      <w:r w:rsidRPr="00CC2855">
        <w:rPr>
          <w:color w:val="000000" w:themeColor="text1"/>
          <w:shd w:val="clear" w:color="auto" w:fill="FFFFFF"/>
          <w:lang w:val="es-ES"/>
        </w:rPr>
        <w:t xml:space="preserve"> migratoria”. </w:t>
      </w:r>
      <w:proofErr w:type="spellStart"/>
      <w:r w:rsidRPr="00CC2855">
        <w:rPr>
          <w:color w:val="000000" w:themeColor="text1"/>
          <w:shd w:val="clear" w:color="auto" w:fill="FFFFFF"/>
          <w:lang w:val="es-ES"/>
        </w:rPr>
        <w:t>Working</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Papers</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Sfide</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Storiche</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politiche</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della</w:t>
      </w:r>
      <w:proofErr w:type="spellEnd"/>
      <w:r w:rsidRPr="00CC2855">
        <w:rPr>
          <w:color w:val="000000" w:themeColor="text1"/>
          <w:shd w:val="clear" w:color="auto" w:fill="FFFFFF"/>
          <w:lang w:val="es-ES"/>
        </w:rPr>
        <w:t xml:space="preserve"> memoria </w:t>
      </w:r>
      <w:proofErr w:type="spellStart"/>
      <w:r w:rsidRPr="00CC2855">
        <w:rPr>
          <w:color w:val="000000" w:themeColor="text1"/>
          <w:shd w:val="clear" w:color="auto" w:fill="FFFFFF"/>
          <w:lang w:val="es-ES"/>
        </w:rPr>
        <w:t>ed</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integrazione</w:t>
      </w:r>
      <w:proofErr w:type="spellEnd"/>
      <w:r w:rsidRPr="00CC2855">
        <w:rPr>
          <w:color w:val="000000" w:themeColor="text1"/>
          <w:shd w:val="clear" w:color="auto" w:fill="FFFFFF"/>
          <w:lang w:val="es-ES"/>
        </w:rPr>
        <w:t xml:space="preserve"> europea, </w:t>
      </w:r>
      <w:proofErr w:type="spellStart"/>
      <w:r w:rsidRPr="00CC2855">
        <w:rPr>
          <w:color w:val="000000" w:themeColor="text1"/>
          <w:shd w:val="clear" w:color="auto" w:fill="FFFFFF"/>
          <w:lang w:val="es-ES"/>
        </w:rPr>
        <w:t>mezzogiorno</w:t>
      </w:r>
      <w:proofErr w:type="spellEnd"/>
      <w:r w:rsidRPr="00CC2855">
        <w:rPr>
          <w:color w:val="000000" w:themeColor="text1"/>
          <w:shd w:val="clear" w:color="auto" w:fill="FFFFFF"/>
          <w:lang w:val="es-ES"/>
        </w:rPr>
        <w:t xml:space="preserve"> e </w:t>
      </w:r>
      <w:proofErr w:type="spellStart"/>
      <w:r w:rsidRPr="00CC2855">
        <w:rPr>
          <w:color w:val="000000" w:themeColor="text1"/>
          <w:shd w:val="clear" w:color="auto" w:fill="FFFFFF"/>
          <w:lang w:val="es-ES"/>
        </w:rPr>
        <w:t>area</w:t>
      </w:r>
      <w:proofErr w:type="spellEnd"/>
      <w:r w:rsidRPr="00CC2855">
        <w:rPr>
          <w:color w:val="000000" w:themeColor="text1"/>
          <w:shd w:val="clear" w:color="auto" w:fill="FFFFFF"/>
          <w:lang w:val="es-ES"/>
        </w:rPr>
        <w:t xml:space="preserve"> mediterránea, </w:t>
      </w:r>
      <w:proofErr w:type="spellStart"/>
      <w:r w:rsidRPr="00CC2855">
        <w:rPr>
          <w:color w:val="000000" w:themeColor="text1"/>
          <w:shd w:val="clear" w:color="auto" w:fill="FFFFFF"/>
          <w:lang w:val="es-ES"/>
        </w:rPr>
        <w:t>Università</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degli</w:t>
      </w:r>
      <w:proofErr w:type="spellEnd"/>
      <w:r w:rsidRPr="00CC2855">
        <w:rPr>
          <w:color w:val="000000" w:themeColor="text1"/>
          <w:shd w:val="clear" w:color="auto" w:fill="FFFFFF"/>
          <w:lang w:val="es-ES"/>
        </w:rPr>
        <w:t xml:space="preserve"> </w:t>
      </w:r>
      <w:proofErr w:type="spellStart"/>
      <w:r w:rsidRPr="00CC2855">
        <w:rPr>
          <w:color w:val="000000" w:themeColor="text1"/>
          <w:shd w:val="clear" w:color="auto" w:fill="FFFFFF"/>
          <w:lang w:val="es-ES"/>
        </w:rPr>
        <w:t>Studi</w:t>
      </w:r>
      <w:proofErr w:type="spellEnd"/>
      <w:r w:rsidRPr="00CC2855">
        <w:rPr>
          <w:color w:val="000000" w:themeColor="text1"/>
          <w:shd w:val="clear" w:color="auto" w:fill="FFFFFF"/>
          <w:lang w:val="es-ES"/>
        </w:rPr>
        <w:t xml:space="preserve"> di Bari Aldo Moro, febrero 2020</w:t>
      </w:r>
      <w:r w:rsidR="00B31404" w:rsidRPr="00CC2855">
        <w:rPr>
          <w:color w:val="000000" w:themeColor="text1"/>
          <w:shd w:val="clear" w:color="auto" w:fill="FFFFFF"/>
          <w:lang w:val="es-ES"/>
        </w:rPr>
        <w:t>, pp. 1-13.</w:t>
      </w:r>
    </w:p>
    <w:p w14:paraId="49AC4B2F" w14:textId="557419A5" w:rsidR="001C1A90" w:rsidRPr="00CC2855" w:rsidRDefault="004E72AB"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 xml:space="preserve">Naranjo-Giraldo, </w:t>
      </w:r>
      <w:r w:rsidR="00522D60" w:rsidRPr="00CC2855">
        <w:rPr>
          <w:rFonts w:ascii="Times New Roman" w:hAnsi="Times New Roman" w:cs="Times New Roman"/>
          <w:color w:val="000000" w:themeColor="text1"/>
          <w:sz w:val="24"/>
          <w:szCs w:val="24"/>
          <w:lang w:val="es-ES"/>
        </w:rPr>
        <w:t>G.</w:t>
      </w:r>
      <w:r w:rsidRPr="00CC2855">
        <w:rPr>
          <w:rFonts w:ascii="Times New Roman" w:hAnsi="Times New Roman" w:cs="Times New Roman"/>
          <w:color w:val="000000" w:themeColor="text1"/>
          <w:sz w:val="24"/>
          <w:szCs w:val="24"/>
          <w:lang w:val="es-ES"/>
        </w:rPr>
        <w:t xml:space="preserve"> (2014) “</w:t>
      </w:r>
      <w:r w:rsidRPr="00CC2855">
        <w:rPr>
          <w:rFonts w:ascii="Times New Roman" w:hAnsi="Times New Roman" w:cs="Times New Roman"/>
          <w:color w:val="000000" w:themeColor="text1"/>
          <w:sz w:val="24"/>
          <w:szCs w:val="24"/>
        </w:rPr>
        <w:t>Desterritorialización de fronteras y externalización de políticas migratorias. Flujos migratorios irregulares y control de las fronteras exteriores en la frontera España- Marruecos</w:t>
      </w:r>
      <w:r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rPr>
        <w:t xml:space="preserve">Estudios Políticos, </w:t>
      </w:r>
      <w:r w:rsidR="00B31404" w:rsidRPr="00CC2855">
        <w:rPr>
          <w:rFonts w:ascii="Times New Roman" w:hAnsi="Times New Roman" w:cs="Times New Roman"/>
          <w:color w:val="000000" w:themeColor="text1"/>
          <w:sz w:val="24"/>
          <w:szCs w:val="24"/>
          <w:lang w:val="es-ES"/>
        </w:rPr>
        <w:t xml:space="preserve">n. </w:t>
      </w:r>
      <w:r w:rsidRPr="00CC2855">
        <w:rPr>
          <w:rFonts w:ascii="Times New Roman" w:hAnsi="Times New Roman" w:cs="Times New Roman"/>
          <w:color w:val="000000" w:themeColor="text1"/>
          <w:sz w:val="24"/>
          <w:szCs w:val="24"/>
        </w:rPr>
        <w:t xml:space="preserve">45, </w:t>
      </w:r>
      <w:r w:rsidRPr="00CC2855">
        <w:rPr>
          <w:rFonts w:ascii="Times New Roman" w:hAnsi="Times New Roman" w:cs="Times New Roman"/>
          <w:b/>
          <w:bCs/>
          <w:color w:val="000000" w:themeColor="text1"/>
          <w:sz w:val="24"/>
          <w:szCs w:val="24"/>
          <w:lang w:val="es-ES"/>
        </w:rPr>
        <w:t xml:space="preserve">, </w:t>
      </w:r>
      <w:r w:rsidRPr="00CC2855">
        <w:rPr>
          <w:rFonts w:ascii="Times New Roman" w:hAnsi="Times New Roman" w:cs="Times New Roman"/>
          <w:color w:val="000000" w:themeColor="text1"/>
          <w:sz w:val="24"/>
          <w:szCs w:val="24"/>
          <w:lang w:val="es-ES"/>
        </w:rPr>
        <w:t>Medellín, julio-diciembre 2014,</w:t>
      </w:r>
      <w:r w:rsidRPr="00CC2855">
        <w:rPr>
          <w:rFonts w:ascii="Times New Roman" w:hAnsi="Times New Roman" w:cs="Times New Roman"/>
          <w:b/>
          <w:bCs/>
          <w:color w:val="000000" w:themeColor="text1"/>
          <w:sz w:val="24"/>
          <w:szCs w:val="24"/>
          <w:lang w:val="es-ES"/>
        </w:rPr>
        <w:t xml:space="preserve"> </w:t>
      </w:r>
      <w:r w:rsidRPr="00CC2855">
        <w:rPr>
          <w:rFonts w:ascii="Times New Roman" w:hAnsi="Times New Roman" w:cs="Times New Roman"/>
          <w:color w:val="000000" w:themeColor="text1"/>
          <w:sz w:val="24"/>
          <w:szCs w:val="24"/>
          <w:lang w:val="es-ES"/>
        </w:rPr>
        <w:t>pp. 13-32.</w:t>
      </w:r>
    </w:p>
    <w:p w14:paraId="3AC3FFAE" w14:textId="3EBE8DD5" w:rsidR="001516CE" w:rsidRPr="00CC2855" w:rsidRDefault="001C1A9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n-US"/>
        </w:rPr>
        <w:t>Olivier, B</w:t>
      </w:r>
      <w:r w:rsidR="00B31404" w:rsidRPr="00CC2855">
        <w:rPr>
          <w:rFonts w:ascii="Times New Roman" w:hAnsi="Times New Roman" w:cs="Times New Roman"/>
          <w:color w:val="000000" w:themeColor="text1"/>
          <w:sz w:val="24"/>
          <w:szCs w:val="24"/>
          <w:lang w:val="en-US"/>
        </w:rPr>
        <w:t>.</w:t>
      </w:r>
      <w:r w:rsidRPr="00CC2855">
        <w:rPr>
          <w:rFonts w:ascii="Times New Roman" w:hAnsi="Times New Roman" w:cs="Times New Roman"/>
          <w:color w:val="000000" w:themeColor="text1"/>
          <w:sz w:val="24"/>
          <w:szCs w:val="24"/>
          <w:lang w:val="en-US"/>
        </w:rPr>
        <w:t xml:space="preserve"> (1980) “The faces of Gaddafi”. </w:t>
      </w:r>
      <w:proofErr w:type="spellStart"/>
      <w:r w:rsidRPr="00CC2855">
        <w:rPr>
          <w:rFonts w:ascii="Times New Roman" w:hAnsi="Times New Roman" w:cs="Times New Roman"/>
          <w:color w:val="000000" w:themeColor="text1"/>
          <w:sz w:val="24"/>
          <w:szCs w:val="24"/>
          <w:lang w:val="es-ES"/>
        </w:rPr>
        <w:t>Africa</w:t>
      </w:r>
      <w:proofErr w:type="spellEnd"/>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insight</w:t>
      </w:r>
      <w:proofErr w:type="spellEnd"/>
      <w:r w:rsidRPr="00CC2855">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rPr>
        <w:t>Vol 10. No 2. 198</w:t>
      </w:r>
      <w:r w:rsidRPr="00CC2855">
        <w:rPr>
          <w:rFonts w:ascii="Times New Roman" w:hAnsi="Times New Roman" w:cs="Times New Roman"/>
          <w:color w:val="000000" w:themeColor="text1"/>
          <w:sz w:val="24"/>
          <w:szCs w:val="24"/>
          <w:lang w:val="es-ES"/>
        </w:rPr>
        <w:t>, p</w:t>
      </w:r>
      <w:r w:rsidR="000F50CD" w:rsidRPr="00CC2855">
        <w:rPr>
          <w:rFonts w:ascii="Times New Roman" w:hAnsi="Times New Roman" w:cs="Times New Roman"/>
          <w:color w:val="000000" w:themeColor="text1"/>
          <w:sz w:val="24"/>
          <w:szCs w:val="24"/>
          <w:lang w:val="es-ES"/>
        </w:rPr>
        <w:t>p</w:t>
      </w:r>
      <w:r w:rsidRPr="00CC2855">
        <w:rPr>
          <w:rFonts w:ascii="Times New Roman" w:hAnsi="Times New Roman" w:cs="Times New Roman"/>
          <w:color w:val="000000" w:themeColor="text1"/>
          <w:sz w:val="24"/>
          <w:szCs w:val="24"/>
          <w:lang w:val="es-ES"/>
        </w:rPr>
        <w:t>. 8</w:t>
      </w:r>
      <w:r w:rsidR="000F50CD" w:rsidRPr="00CC2855">
        <w:rPr>
          <w:rFonts w:ascii="Times New Roman" w:hAnsi="Times New Roman" w:cs="Times New Roman"/>
          <w:color w:val="000000" w:themeColor="text1"/>
          <w:sz w:val="24"/>
          <w:szCs w:val="24"/>
          <w:lang w:val="es-ES"/>
        </w:rPr>
        <w:t xml:space="preserve">7-90. En: </w:t>
      </w:r>
      <w:hyperlink r:id="rId19" w:history="1">
        <w:r w:rsidR="000F50CD" w:rsidRPr="00CC2855">
          <w:rPr>
            <w:rStyle w:val="Hipervnculo"/>
            <w:rFonts w:ascii="Times New Roman" w:hAnsi="Times New Roman" w:cs="Times New Roman"/>
            <w:color w:val="000000" w:themeColor="text1"/>
            <w:sz w:val="24"/>
            <w:szCs w:val="24"/>
            <w:lang w:val="es-ES"/>
          </w:rPr>
          <w:t>https://hdl.handle.net/10520/AJA02562804_20</w:t>
        </w:r>
      </w:hyperlink>
      <w:r w:rsidR="000F50CD" w:rsidRPr="00CC2855">
        <w:rPr>
          <w:rFonts w:ascii="Times New Roman" w:hAnsi="Times New Roman" w:cs="Times New Roman"/>
          <w:color w:val="000000" w:themeColor="text1"/>
          <w:sz w:val="24"/>
          <w:szCs w:val="24"/>
          <w:lang w:val="es-ES"/>
        </w:rPr>
        <w:t xml:space="preserve">. </w:t>
      </w:r>
      <w:r w:rsidR="00CC2855">
        <w:rPr>
          <w:rFonts w:ascii="Times New Roman" w:hAnsi="Times New Roman" w:cs="Times New Roman"/>
          <w:color w:val="000000" w:themeColor="text1"/>
          <w:sz w:val="24"/>
          <w:szCs w:val="24"/>
          <w:lang w:val="es-ES"/>
        </w:rPr>
        <w:t xml:space="preserve"> </w:t>
      </w:r>
      <w:proofErr w:type="spellStart"/>
      <w:r w:rsidR="000F50CD" w:rsidRPr="00CC2855">
        <w:rPr>
          <w:rFonts w:ascii="Times New Roman" w:hAnsi="Times New Roman" w:cs="Times New Roman"/>
          <w:color w:val="000000" w:themeColor="text1"/>
          <w:sz w:val="24"/>
          <w:szCs w:val="24"/>
          <w:lang w:val="es-ES"/>
        </w:rPr>
        <w:t>Cons</w:t>
      </w:r>
      <w:proofErr w:type="spellEnd"/>
      <w:r w:rsidR="000F50CD" w:rsidRPr="00CC2855">
        <w:rPr>
          <w:rFonts w:ascii="Times New Roman" w:hAnsi="Times New Roman" w:cs="Times New Roman"/>
          <w:color w:val="000000" w:themeColor="text1"/>
          <w:sz w:val="24"/>
          <w:szCs w:val="24"/>
          <w:lang w:val="es-ES"/>
        </w:rPr>
        <w:t>. 01-05-2021.</w:t>
      </w:r>
    </w:p>
    <w:p w14:paraId="5969FEAB" w14:textId="4232ED39" w:rsidR="001516CE" w:rsidRPr="00CC2855" w:rsidRDefault="001516CE"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spellStart"/>
      <w:r w:rsidRPr="00CC2855">
        <w:rPr>
          <w:rFonts w:ascii="Times New Roman" w:hAnsi="Times New Roman" w:cs="Times New Roman"/>
          <w:color w:val="000000" w:themeColor="text1"/>
          <w:sz w:val="24"/>
          <w:szCs w:val="24"/>
          <w:lang w:val="es-ES"/>
        </w:rPr>
        <w:t>Orgambides</w:t>
      </w:r>
      <w:proofErr w:type="spellEnd"/>
      <w:r w:rsidRPr="00CC2855">
        <w:rPr>
          <w:rFonts w:ascii="Times New Roman" w:hAnsi="Times New Roman" w:cs="Times New Roman"/>
          <w:color w:val="000000" w:themeColor="text1"/>
          <w:sz w:val="24"/>
          <w:szCs w:val="24"/>
          <w:lang w:val="es-ES"/>
        </w:rPr>
        <w:t xml:space="preserve">, </w:t>
      </w:r>
      <w:r w:rsidR="00522D60" w:rsidRPr="00CC2855">
        <w:rPr>
          <w:rFonts w:ascii="Times New Roman" w:hAnsi="Times New Roman" w:cs="Times New Roman"/>
          <w:color w:val="000000" w:themeColor="text1"/>
          <w:sz w:val="24"/>
          <w:szCs w:val="24"/>
          <w:lang w:val="es-ES"/>
        </w:rPr>
        <w:t>F.</w:t>
      </w:r>
      <w:r w:rsidRPr="00CC2855">
        <w:rPr>
          <w:rFonts w:ascii="Times New Roman" w:hAnsi="Times New Roman" w:cs="Times New Roman"/>
          <w:color w:val="000000" w:themeColor="text1"/>
          <w:sz w:val="24"/>
          <w:szCs w:val="24"/>
          <w:lang w:val="es-ES"/>
        </w:rPr>
        <w:t xml:space="preserve"> (1985). “</w:t>
      </w:r>
      <w:r w:rsidRPr="00CC2855">
        <w:rPr>
          <w:rFonts w:ascii="Times New Roman" w:hAnsi="Times New Roman" w:cs="Times New Roman"/>
          <w:color w:val="000000" w:themeColor="text1"/>
          <w:sz w:val="24"/>
          <w:szCs w:val="24"/>
        </w:rPr>
        <w:t>Túnez rompe relaciones con Libia tras acusar de terroristas a cuatro diplomáticos</w:t>
      </w:r>
      <w:r w:rsidRPr="00CC2855">
        <w:rPr>
          <w:rFonts w:ascii="Times New Roman" w:hAnsi="Times New Roman" w:cs="Times New Roman"/>
          <w:color w:val="000000" w:themeColor="text1"/>
          <w:sz w:val="24"/>
          <w:szCs w:val="24"/>
          <w:lang w:val="es-ES"/>
        </w:rPr>
        <w:t>”. El País, 25 de septiembre de 1985, Internacional</w:t>
      </w:r>
      <w:r w:rsidR="004E3298" w:rsidRPr="00CC2855">
        <w:rPr>
          <w:rFonts w:ascii="Times New Roman" w:hAnsi="Times New Roman" w:cs="Times New Roman"/>
          <w:color w:val="000000" w:themeColor="text1"/>
          <w:sz w:val="24"/>
          <w:szCs w:val="24"/>
          <w:lang w:val="es-ES"/>
        </w:rPr>
        <w:t xml:space="preserve">. En: </w:t>
      </w:r>
      <w:hyperlink r:id="rId20" w:history="1">
        <w:r w:rsidR="004E3298" w:rsidRPr="00CC2855">
          <w:rPr>
            <w:rStyle w:val="Hipervnculo"/>
            <w:rFonts w:ascii="Times New Roman" w:hAnsi="Times New Roman" w:cs="Times New Roman"/>
            <w:color w:val="000000" w:themeColor="text1"/>
            <w:sz w:val="24"/>
            <w:szCs w:val="24"/>
            <w:lang w:val="es-ES"/>
          </w:rPr>
          <w:t>https://elpais.com/diario/1985/09/27/internacional/496620010_850215.html</w:t>
        </w:r>
      </w:hyperlink>
      <w:r w:rsidR="004E3298" w:rsidRPr="00CC2855">
        <w:rPr>
          <w:rFonts w:ascii="Times New Roman" w:hAnsi="Times New Roman" w:cs="Times New Roman"/>
          <w:color w:val="000000" w:themeColor="text1"/>
          <w:sz w:val="24"/>
          <w:szCs w:val="24"/>
          <w:lang w:val="es-ES"/>
        </w:rPr>
        <w:t xml:space="preserve">. </w:t>
      </w:r>
      <w:proofErr w:type="spellStart"/>
      <w:r w:rsidR="004E3298" w:rsidRPr="00CC2855">
        <w:rPr>
          <w:rFonts w:ascii="Times New Roman" w:hAnsi="Times New Roman" w:cs="Times New Roman"/>
          <w:color w:val="000000" w:themeColor="text1"/>
          <w:sz w:val="24"/>
          <w:szCs w:val="24"/>
          <w:lang w:val="es-ES"/>
        </w:rPr>
        <w:t>Cons</w:t>
      </w:r>
      <w:proofErr w:type="spellEnd"/>
      <w:r w:rsidR="004E3298" w:rsidRPr="00CC2855">
        <w:rPr>
          <w:rFonts w:ascii="Times New Roman" w:hAnsi="Times New Roman" w:cs="Times New Roman"/>
          <w:color w:val="000000" w:themeColor="text1"/>
          <w:sz w:val="24"/>
          <w:szCs w:val="24"/>
          <w:lang w:val="es-ES"/>
        </w:rPr>
        <w:t>. el 20-03-2022.</w:t>
      </w:r>
    </w:p>
    <w:p w14:paraId="020ACE20" w14:textId="16352AE6" w:rsidR="00116F8D" w:rsidRPr="00CC2855" w:rsidRDefault="00522D60"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proofErr w:type="spellStart"/>
      <w:r w:rsidRPr="00CC2855">
        <w:rPr>
          <w:rFonts w:ascii="Times New Roman" w:hAnsi="Times New Roman" w:cs="Times New Roman"/>
          <w:color w:val="000000" w:themeColor="text1"/>
          <w:sz w:val="24"/>
          <w:szCs w:val="24"/>
          <w:lang w:val="es-ES"/>
        </w:rPr>
        <w:t>Pliez</w:t>
      </w:r>
      <w:proofErr w:type="spellEnd"/>
      <w:r w:rsidRPr="00CC2855">
        <w:rPr>
          <w:rFonts w:ascii="Times New Roman" w:hAnsi="Times New Roman" w:cs="Times New Roman"/>
          <w:color w:val="000000" w:themeColor="text1"/>
          <w:sz w:val="24"/>
          <w:szCs w:val="24"/>
          <w:lang w:val="es-ES"/>
        </w:rPr>
        <w:t xml:space="preserve">, O. (2004). </w:t>
      </w:r>
      <w:r w:rsidRPr="00CC2855">
        <w:rPr>
          <w:rFonts w:ascii="Times New Roman" w:hAnsi="Times New Roman" w:cs="Times New Roman"/>
          <w:i/>
          <w:iCs/>
          <w:color w:val="000000" w:themeColor="text1"/>
          <w:sz w:val="24"/>
          <w:szCs w:val="24"/>
          <w:lang w:val="es-ES"/>
        </w:rPr>
        <w:t>“</w:t>
      </w:r>
      <w:proofErr w:type="gramStart"/>
      <w:r w:rsidRPr="00CC2855">
        <w:rPr>
          <w:rFonts w:ascii="Times New Roman" w:hAnsi="Times New Roman" w:cs="Times New Roman"/>
          <w:i/>
          <w:iCs/>
          <w:color w:val="000000" w:themeColor="text1"/>
          <w:sz w:val="24"/>
          <w:szCs w:val="24"/>
          <w:lang w:val="es-ES"/>
        </w:rPr>
        <w:t xml:space="preserve">Le </w:t>
      </w:r>
      <w:proofErr w:type="spellStart"/>
      <w:r w:rsidRPr="00CC2855">
        <w:rPr>
          <w:rFonts w:ascii="Times New Roman" w:hAnsi="Times New Roman" w:cs="Times New Roman"/>
          <w:i/>
          <w:iCs/>
          <w:color w:val="000000" w:themeColor="text1"/>
          <w:sz w:val="24"/>
          <w:szCs w:val="24"/>
          <w:lang w:val="es-ES"/>
        </w:rPr>
        <w:t>bassin</w:t>
      </w:r>
      <w:proofErr w:type="spellEnd"/>
      <w:r w:rsidRPr="00CC2855">
        <w:rPr>
          <w:rFonts w:ascii="Times New Roman" w:hAnsi="Times New Roman" w:cs="Times New Roman"/>
          <w:i/>
          <w:iCs/>
          <w:color w:val="000000" w:themeColor="text1"/>
          <w:sz w:val="24"/>
          <w:szCs w:val="24"/>
          <w:lang w:val="es-ES"/>
        </w:rPr>
        <w:t xml:space="preserve"> du </w:t>
      </w:r>
      <w:proofErr w:type="spellStart"/>
      <w:r w:rsidRPr="00CC2855">
        <w:rPr>
          <w:rFonts w:ascii="Times New Roman" w:hAnsi="Times New Roman" w:cs="Times New Roman"/>
          <w:i/>
          <w:iCs/>
          <w:color w:val="000000" w:themeColor="text1"/>
          <w:sz w:val="24"/>
          <w:szCs w:val="24"/>
          <w:lang w:val="es-ES"/>
        </w:rPr>
        <w:t>lac</w:t>
      </w:r>
      <w:proofErr w:type="spellEnd"/>
      <w:r w:rsidRPr="00CC2855">
        <w:rPr>
          <w:rFonts w:ascii="Times New Roman" w:hAnsi="Times New Roman" w:cs="Times New Roman"/>
          <w:i/>
          <w:iCs/>
          <w:color w:val="000000" w:themeColor="text1"/>
          <w:sz w:val="24"/>
          <w:szCs w:val="24"/>
          <w:lang w:val="es-ES"/>
        </w:rPr>
        <w:t xml:space="preserve"> </w:t>
      </w:r>
      <w:proofErr w:type="spellStart"/>
      <w:r w:rsidRPr="00CC2855">
        <w:rPr>
          <w:rFonts w:ascii="Times New Roman" w:hAnsi="Times New Roman" w:cs="Times New Roman"/>
          <w:i/>
          <w:iCs/>
          <w:color w:val="000000" w:themeColor="text1"/>
          <w:sz w:val="24"/>
          <w:szCs w:val="24"/>
          <w:lang w:val="es-ES"/>
        </w:rPr>
        <w:t>Tchad</w:t>
      </w:r>
      <w:proofErr w:type="spellEnd"/>
      <w:r w:rsidRPr="00CC2855">
        <w:rPr>
          <w:rFonts w:ascii="Times New Roman" w:hAnsi="Times New Roman" w:cs="Times New Roman"/>
          <w:i/>
          <w:iCs/>
          <w:color w:val="000000" w:themeColor="text1"/>
          <w:sz w:val="24"/>
          <w:szCs w:val="24"/>
          <w:lang w:val="es-ES"/>
        </w:rPr>
        <w:t xml:space="preserve">, un </w:t>
      </w:r>
      <w:proofErr w:type="spellStart"/>
      <w:r w:rsidRPr="00CC2855">
        <w:rPr>
          <w:rFonts w:ascii="Times New Roman" w:hAnsi="Times New Roman" w:cs="Times New Roman"/>
          <w:i/>
          <w:iCs/>
          <w:color w:val="000000" w:themeColor="text1"/>
          <w:sz w:val="24"/>
          <w:szCs w:val="24"/>
          <w:lang w:val="es-ES"/>
        </w:rPr>
        <w:t>espace</w:t>
      </w:r>
      <w:proofErr w:type="spellEnd"/>
      <w:r w:rsidRPr="00CC2855">
        <w:rPr>
          <w:rFonts w:ascii="Times New Roman" w:hAnsi="Times New Roman" w:cs="Times New Roman"/>
          <w:i/>
          <w:iCs/>
          <w:color w:val="000000" w:themeColor="text1"/>
          <w:sz w:val="24"/>
          <w:szCs w:val="24"/>
          <w:lang w:val="es-ES"/>
        </w:rPr>
        <w:t xml:space="preserve"> </w:t>
      </w:r>
      <w:proofErr w:type="spellStart"/>
      <w:r w:rsidRPr="00CC2855">
        <w:rPr>
          <w:rFonts w:ascii="Times New Roman" w:hAnsi="Times New Roman" w:cs="Times New Roman"/>
          <w:i/>
          <w:iCs/>
          <w:color w:val="000000" w:themeColor="text1"/>
          <w:sz w:val="24"/>
          <w:szCs w:val="24"/>
          <w:lang w:val="es-ES"/>
        </w:rPr>
        <w:t>migratoire</w:t>
      </w:r>
      <w:proofErr w:type="spellEnd"/>
      <w:r w:rsidRPr="00CC2855">
        <w:rPr>
          <w:rFonts w:ascii="Times New Roman" w:hAnsi="Times New Roman" w:cs="Times New Roman"/>
          <w:i/>
          <w:iCs/>
          <w:color w:val="000000" w:themeColor="text1"/>
          <w:sz w:val="24"/>
          <w:szCs w:val="24"/>
          <w:lang w:val="es-ES"/>
        </w:rPr>
        <w:t xml:space="preserve"> polaricé para la </w:t>
      </w:r>
      <w:proofErr w:type="spellStart"/>
      <w:r w:rsidRPr="00CC2855">
        <w:rPr>
          <w:rFonts w:ascii="Times New Roman" w:hAnsi="Times New Roman" w:cs="Times New Roman"/>
          <w:i/>
          <w:iCs/>
          <w:color w:val="000000" w:themeColor="text1"/>
          <w:sz w:val="24"/>
          <w:szCs w:val="24"/>
          <w:lang w:val="es-ES"/>
        </w:rPr>
        <w:t>Lybie</w:t>
      </w:r>
      <w:proofErr w:type="spellEnd"/>
      <w:r w:rsidRPr="00CC2855">
        <w:rPr>
          <w:rFonts w:ascii="Times New Roman" w:hAnsi="Times New Roman" w:cs="Times New Roman"/>
          <w:i/>
          <w:iCs/>
          <w:color w:val="000000" w:themeColor="text1"/>
          <w:sz w:val="24"/>
          <w:szCs w:val="24"/>
          <w:lang w:val="es-ES"/>
        </w:rPr>
        <w:t>?</w:t>
      </w:r>
      <w:proofErr w:type="gramEnd"/>
      <w:r w:rsidRPr="00CC2855">
        <w:rPr>
          <w:rFonts w:ascii="Times New Roman" w:hAnsi="Times New Roman" w:cs="Times New Roman"/>
          <w:i/>
          <w:iCs/>
          <w:color w:val="000000" w:themeColor="text1"/>
          <w:sz w:val="24"/>
          <w:szCs w:val="24"/>
          <w:lang w:val="es-ES"/>
        </w:rPr>
        <w:t>”.</w:t>
      </w:r>
      <w:r w:rsidR="00122323" w:rsidRPr="00CC2855">
        <w:rPr>
          <w:rFonts w:ascii="Times New Roman" w:hAnsi="Times New Roman" w:cs="Times New Roman"/>
          <w:i/>
          <w:iCs/>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Politique</w:t>
      </w:r>
      <w:proofErr w:type="spellEnd"/>
      <w:r w:rsidRPr="00CC2855">
        <w:rPr>
          <w:rFonts w:ascii="Times New Roman" w:hAnsi="Times New Roman" w:cs="Times New Roman"/>
          <w:color w:val="000000" w:themeColor="text1"/>
          <w:sz w:val="24"/>
          <w:szCs w:val="24"/>
          <w:lang w:val="es-ES"/>
        </w:rPr>
        <w:t xml:space="preserve"> </w:t>
      </w:r>
      <w:proofErr w:type="spellStart"/>
      <w:r w:rsidRPr="00CC2855">
        <w:rPr>
          <w:rFonts w:ascii="Times New Roman" w:hAnsi="Times New Roman" w:cs="Times New Roman"/>
          <w:color w:val="000000" w:themeColor="text1"/>
          <w:sz w:val="24"/>
          <w:szCs w:val="24"/>
          <w:lang w:val="es-ES"/>
        </w:rPr>
        <w:t>Africaine</w:t>
      </w:r>
      <w:proofErr w:type="spellEnd"/>
      <w:r w:rsidRPr="00CC2855">
        <w:rPr>
          <w:rFonts w:ascii="Times New Roman" w:hAnsi="Times New Roman" w:cs="Times New Roman"/>
          <w:color w:val="000000" w:themeColor="text1"/>
          <w:sz w:val="24"/>
          <w:szCs w:val="24"/>
          <w:lang w:val="es-ES"/>
        </w:rPr>
        <w:t xml:space="preserve"> 2, n. 94, pp. 42-58.</w:t>
      </w:r>
    </w:p>
    <w:p w14:paraId="753557D7" w14:textId="64599D93" w:rsidR="0085748F" w:rsidRPr="00CC2855" w:rsidRDefault="00CB4119" w:rsidP="00F676DF">
      <w:pPr>
        <w:pStyle w:val="Textonotapie"/>
        <w:spacing w:line="360" w:lineRule="auto"/>
        <w:ind w:left="720"/>
        <w:contextualSpacing/>
        <w:jc w:val="both"/>
        <w:rPr>
          <w:rFonts w:ascii="Times New Roman" w:hAnsi="Times New Roman" w:cs="Times New Roman"/>
          <w:color w:val="000000" w:themeColor="text1"/>
          <w:sz w:val="24"/>
          <w:szCs w:val="24"/>
          <w:lang w:val="en-US"/>
        </w:rPr>
      </w:pPr>
      <w:r w:rsidRPr="00CC2855">
        <w:rPr>
          <w:rFonts w:ascii="Times New Roman" w:hAnsi="Times New Roman" w:cs="Times New Roman"/>
          <w:color w:val="000000" w:themeColor="text1"/>
          <w:sz w:val="24"/>
          <w:szCs w:val="24"/>
          <w:lang w:val="es-ES"/>
        </w:rPr>
        <w:t>----------</w:t>
      </w:r>
      <w:r w:rsidR="00522D60" w:rsidRPr="00CC2855">
        <w:rPr>
          <w:rFonts w:ascii="Times New Roman" w:hAnsi="Times New Roman" w:cs="Times New Roman"/>
          <w:color w:val="000000" w:themeColor="text1"/>
          <w:sz w:val="24"/>
          <w:szCs w:val="24"/>
          <w:lang w:val="es-ES"/>
        </w:rPr>
        <w:t>.</w:t>
      </w:r>
      <w:r w:rsidR="00116F8D" w:rsidRPr="00CC2855">
        <w:rPr>
          <w:rFonts w:ascii="Times New Roman" w:hAnsi="Times New Roman" w:cs="Times New Roman"/>
          <w:color w:val="000000" w:themeColor="text1"/>
          <w:sz w:val="24"/>
          <w:szCs w:val="24"/>
          <w:lang w:val="es-ES"/>
        </w:rPr>
        <w:t xml:space="preserve"> (2006).</w:t>
      </w:r>
      <w:r w:rsidR="002F5C95" w:rsidRPr="00CC2855">
        <w:rPr>
          <w:rFonts w:ascii="Times New Roman" w:hAnsi="Times New Roman" w:cs="Times New Roman"/>
          <w:color w:val="000000" w:themeColor="text1"/>
          <w:sz w:val="24"/>
          <w:szCs w:val="24"/>
          <w:lang w:val="es-ES"/>
        </w:rPr>
        <w:t xml:space="preserve"> “</w:t>
      </w:r>
      <w:r w:rsidR="002F5C95" w:rsidRPr="00CC2855">
        <w:rPr>
          <w:rFonts w:ascii="Times New Roman" w:hAnsi="Times New Roman" w:cs="Times New Roman"/>
          <w:color w:val="000000" w:themeColor="text1"/>
          <w:sz w:val="24"/>
          <w:szCs w:val="24"/>
        </w:rPr>
        <w:t>La frontiera migratoria tra la Libia e il Sahel</w:t>
      </w:r>
      <w:r w:rsidR="002F5C95" w:rsidRPr="00CC2855">
        <w:rPr>
          <w:rFonts w:ascii="Times New Roman" w:hAnsi="Times New Roman" w:cs="Times New Roman"/>
          <w:color w:val="000000" w:themeColor="text1"/>
          <w:sz w:val="24"/>
          <w:szCs w:val="24"/>
          <w:lang w:val="es-ES"/>
        </w:rPr>
        <w:t>.</w:t>
      </w:r>
      <w:r w:rsidR="002F5C95" w:rsidRPr="00CC2855">
        <w:rPr>
          <w:rFonts w:ascii="Times New Roman" w:hAnsi="Times New Roman" w:cs="Times New Roman"/>
          <w:color w:val="000000" w:themeColor="text1"/>
          <w:sz w:val="24"/>
          <w:szCs w:val="24"/>
        </w:rPr>
        <w:t>Uno spazio migratorio rimesso in discussione</w:t>
      </w:r>
      <w:r w:rsidR="002F5C95" w:rsidRPr="00CC2855">
        <w:rPr>
          <w:rFonts w:ascii="Times New Roman" w:hAnsi="Times New Roman" w:cs="Times New Roman"/>
          <w:color w:val="000000" w:themeColor="text1"/>
          <w:sz w:val="24"/>
          <w:szCs w:val="24"/>
          <w:lang w:val="es-ES"/>
        </w:rPr>
        <w:t xml:space="preserve">”. </w:t>
      </w:r>
      <w:r w:rsidR="002F5C95" w:rsidRPr="00CC2855">
        <w:rPr>
          <w:rFonts w:ascii="Times New Roman" w:hAnsi="Times New Roman" w:cs="Times New Roman"/>
          <w:color w:val="000000" w:themeColor="text1"/>
          <w:sz w:val="24"/>
          <w:szCs w:val="24"/>
          <w:lang w:val="en-US"/>
        </w:rPr>
        <w:t xml:space="preserve">ADIR. </w:t>
      </w:r>
      <w:proofErr w:type="spellStart"/>
      <w:r w:rsidR="002F5C95" w:rsidRPr="00CC2855">
        <w:rPr>
          <w:rFonts w:ascii="Times New Roman" w:hAnsi="Times New Roman" w:cs="Times New Roman"/>
          <w:color w:val="000000" w:themeColor="text1"/>
          <w:sz w:val="24"/>
          <w:szCs w:val="24"/>
          <w:lang w:val="en-US"/>
        </w:rPr>
        <w:t>L’altro</w:t>
      </w:r>
      <w:proofErr w:type="spellEnd"/>
      <w:r w:rsidR="002F5C95" w:rsidRPr="00CC2855">
        <w:rPr>
          <w:rFonts w:ascii="Times New Roman" w:hAnsi="Times New Roman" w:cs="Times New Roman"/>
          <w:color w:val="000000" w:themeColor="text1"/>
          <w:sz w:val="24"/>
          <w:szCs w:val="24"/>
          <w:lang w:val="en-US"/>
        </w:rPr>
        <w:t xml:space="preserve"> </w:t>
      </w:r>
      <w:proofErr w:type="spellStart"/>
      <w:r w:rsidR="002F5C95" w:rsidRPr="00CC2855">
        <w:rPr>
          <w:rFonts w:ascii="Times New Roman" w:hAnsi="Times New Roman" w:cs="Times New Roman"/>
          <w:color w:val="000000" w:themeColor="text1"/>
          <w:sz w:val="24"/>
          <w:szCs w:val="24"/>
          <w:lang w:val="en-US"/>
        </w:rPr>
        <w:t>diritto</w:t>
      </w:r>
      <w:proofErr w:type="spellEnd"/>
      <w:r w:rsidR="002F5C95" w:rsidRPr="00CC2855">
        <w:rPr>
          <w:rFonts w:ascii="Times New Roman" w:hAnsi="Times New Roman" w:cs="Times New Roman"/>
          <w:color w:val="000000" w:themeColor="text1"/>
          <w:sz w:val="24"/>
          <w:szCs w:val="24"/>
          <w:lang w:val="en-US"/>
        </w:rPr>
        <w:t>.</w:t>
      </w:r>
    </w:p>
    <w:p w14:paraId="5B77E947" w14:textId="008CA5D8" w:rsidR="00DC3927" w:rsidRPr="00CC2855" w:rsidRDefault="0085748F"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_tradnl"/>
        </w:rPr>
      </w:pPr>
      <w:proofErr w:type="spellStart"/>
      <w:r w:rsidRPr="00CC2855">
        <w:rPr>
          <w:rFonts w:ascii="Times New Roman" w:hAnsi="Times New Roman" w:cs="Times New Roman"/>
          <w:color w:val="000000" w:themeColor="text1"/>
          <w:sz w:val="24"/>
          <w:szCs w:val="24"/>
          <w:lang w:val="es-ES"/>
        </w:rPr>
        <w:t>Scalpone</w:t>
      </w:r>
      <w:proofErr w:type="spellEnd"/>
      <w:r w:rsidRPr="00CC2855">
        <w:rPr>
          <w:rFonts w:ascii="Times New Roman" w:hAnsi="Times New Roman" w:cs="Times New Roman"/>
          <w:color w:val="000000" w:themeColor="text1"/>
          <w:sz w:val="24"/>
          <w:szCs w:val="24"/>
          <w:lang w:val="es-ES"/>
        </w:rPr>
        <w:t xml:space="preserve">, D. (2017). </w:t>
      </w:r>
      <w:r w:rsidRPr="00CC2855">
        <w:rPr>
          <w:rFonts w:ascii="Times New Roman" w:hAnsi="Times New Roman" w:cs="Times New Roman"/>
          <w:i/>
          <w:iCs/>
          <w:color w:val="000000" w:themeColor="text1"/>
          <w:sz w:val="24"/>
          <w:szCs w:val="24"/>
          <w:lang w:val="es-ES"/>
        </w:rPr>
        <w:t xml:space="preserve">I </w:t>
      </w:r>
      <w:proofErr w:type="spellStart"/>
      <w:r w:rsidRPr="00CC2855">
        <w:rPr>
          <w:rFonts w:ascii="Times New Roman" w:hAnsi="Times New Roman" w:cs="Times New Roman"/>
          <w:i/>
          <w:iCs/>
          <w:color w:val="000000" w:themeColor="text1"/>
          <w:sz w:val="24"/>
          <w:szCs w:val="24"/>
          <w:lang w:val="es-ES_tradnl"/>
        </w:rPr>
        <w:t>rapporti</w:t>
      </w:r>
      <w:proofErr w:type="spellEnd"/>
      <w:r w:rsidRPr="00CC2855">
        <w:rPr>
          <w:rFonts w:ascii="Times New Roman" w:hAnsi="Times New Roman" w:cs="Times New Roman"/>
          <w:i/>
          <w:iCs/>
          <w:color w:val="000000" w:themeColor="text1"/>
          <w:sz w:val="24"/>
          <w:szCs w:val="24"/>
          <w:lang w:val="es-ES_tradnl"/>
        </w:rPr>
        <w:t xml:space="preserve"> </w:t>
      </w:r>
      <w:proofErr w:type="spellStart"/>
      <w:r w:rsidRPr="00CC2855">
        <w:rPr>
          <w:rFonts w:ascii="Times New Roman" w:hAnsi="Times New Roman" w:cs="Times New Roman"/>
          <w:i/>
          <w:iCs/>
          <w:color w:val="000000" w:themeColor="text1"/>
          <w:sz w:val="24"/>
          <w:szCs w:val="24"/>
          <w:lang w:val="es-ES_tradnl"/>
        </w:rPr>
        <w:t>tra</w:t>
      </w:r>
      <w:proofErr w:type="spellEnd"/>
      <w:r w:rsidRPr="00CC2855">
        <w:rPr>
          <w:rFonts w:ascii="Times New Roman" w:hAnsi="Times New Roman" w:cs="Times New Roman"/>
          <w:i/>
          <w:iCs/>
          <w:color w:val="000000" w:themeColor="text1"/>
          <w:sz w:val="24"/>
          <w:szCs w:val="24"/>
          <w:lang w:val="es-ES_tradnl"/>
        </w:rPr>
        <w:t xml:space="preserve"> </w:t>
      </w:r>
      <w:proofErr w:type="spellStart"/>
      <w:r w:rsidRPr="00CC2855">
        <w:rPr>
          <w:rFonts w:ascii="Times New Roman" w:hAnsi="Times New Roman" w:cs="Times New Roman"/>
          <w:i/>
          <w:iCs/>
          <w:color w:val="000000" w:themeColor="text1"/>
          <w:sz w:val="24"/>
          <w:szCs w:val="24"/>
          <w:lang w:val="es-ES_tradnl"/>
        </w:rPr>
        <w:t>l’Italia</w:t>
      </w:r>
      <w:proofErr w:type="spellEnd"/>
      <w:r w:rsidRPr="00CC2855">
        <w:rPr>
          <w:rFonts w:ascii="Times New Roman" w:hAnsi="Times New Roman" w:cs="Times New Roman"/>
          <w:i/>
          <w:iCs/>
          <w:color w:val="000000" w:themeColor="text1"/>
          <w:sz w:val="24"/>
          <w:szCs w:val="24"/>
          <w:lang w:val="es-ES_tradnl"/>
        </w:rPr>
        <w:t xml:space="preserve"> e la Libia per la gestione </w:t>
      </w:r>
      <w:proofErr w:type="spellStart"/>
      <w:r w:rsidRPr="00CC2855">
        <w:rPr>
          <w:rFonts w:ascii="Times New Roman" w:hAnsi="Times New Roman" w:cs="Times New Roman"/>
          <w:i/>
          <w:iCs/>
          <w:color w:val="000000" w:themeColor="text1"/>
          <w:sz w:val="24"/>
          <w:szCs w:val="24"/>
          <w:lang w:val="es-ES_tradnl"/>
        </w:rPr>
        <w:t>dei</w:t>
      </w:r>
      <w:proofErr w:type="spellEnd"/>
      <w:r w:rsidRPr="00CC2855">
        <w:rPr>
          <w:rFonts w:ascii="Times New Roman" w:hAnsi="Times New Roman" w:cs="Times New Roman"/>
          <w:i/>
          <w:iCs/>
          <w:color w:val="000000" w:themeColor="text1"/>
          <w:sz w:val="24"/>
          <w:szCs w:val="24"/>
          <w:lang w:val="es-ES_tradnl"/>
        </w:rPr>
        <w:t xml:space="preserve"> </w:t>
      </w:r>
      <w:proofErr w:type="spellStart"/>
      <w:r w:rsidRPr="00CC2855">
        <w:rPr>
          <w:rFonts w:ascii="Times New Roman" w:hAnsi="Times New Roman" w:cs="Times New Roman"/>
          <w:i/>
          <w:iCs/>
          <w:color w:val="000000" w:themeColor="text1"/>
          <w:sz w:val="24"/>
          <w:szCs w:val="24"/>
          <w:lang w:val="es-ES_tradnl"/>
        </w:rPr>
        <w:t>flussi</w:t>
      </w:r>
      <w:proofErr w:type="spellEnd"/>
      <w:r w:rsidRPr="00CC2855">
        <w:rPr>
          <w:rFonts w:ascii="Times New Roman" w:hAnsi="Times New Roman" w:cs="Times New Roman"/>
          <w:i/>
          <w:iCs/>
          <w:color w:val="000000" w:themeColor="text1"/>
          <w:sz w:val="24"/>
          <w:szCs w:val="24"/>
          <w:lang w:val="es-ES_tradnl"/>
        </w:rPr>
        <w:t xml:space="preserve"> </w:t>
      </w:r>
      <w:proofErr w:type="spellStart"/>
      <w:r w:rsidRPr="00CC2855">
        <w:rPr>
          <w:rFonts w:ascii="Times New Roman" w:hAnsi="Times New Roman" w:cs="Times New Roman"/>
          <w:i/>
          <w:iCs/>
          <w:color w:val="000000" w:themeColor="text1"/>
          <w:sz w:val="24"/>
          <w:szCs w:val="24"/>
          <w:lang w:val="es-ES_tradnl"/>
        </w:rPr>
        <w:t>migratori</w:t>
      </w:r>
      <w:proofErr w:type="spellEnd"/>
      <w:r w:rsidRPr="00CC2855">
        <w:rPr>
          <w:rFonts w:ascii="Times New Roman" w:hAnsi="Times New Roman" w:cs="Times New Roman"/>
          <w:i/>
          <w:iCs/>
          <w:color w:val="000000" w:themeColor="text1"/>
          <w:sz w:val="24"/>
          <w:szCs w:val="24"/>
          <w:lang w:val="es-ES_tradnl"/>
        </w:rPr>
        <w:t xml:space="preserve"> </w:t>
      </w:r>
      <w:proofErr w:type="spellStart"/>
      <w:r w:rsidRPr="00CC2855">
        <w:rPr>
          <w:rFonts w:ascii="Times New Roman" w:hAnsi="Times New Roman" w:cs="Times New Roman"/>
          <w:i/>
          <w:iCs/>
          <w:color w:val="000000" w:themeColor="text1"/>
          <w:sz w:val="24"/>
          <w:szCs w:val="24"/>
          <w:lang w:val="es-ES_tradnl"/>
        </w:rPr>
        <w:t>irregolari</w:t>
      </w:r>
      <w:proofErr w:type="spellEnd"/>
      <w:r w:rsidRPr="00CC2855">
        <w:rPr>
          <w:rFonts w:ascii="Times New Roman" w:hAnsi="Times New Roman" w:cs="Times New Roman"/>
          <w:i/>
          <w:iCs/>
          <w:color w:val="000000" w:themeColor="text1"/>
          <w:sz w:val="24"/>
          <w:szCs w:val="24"/>
          <w:lang w:val="es-ES_tradnl"/>
        </w:rPr>
        <w:t xml:space="preserve"> nel </w:t>
      </w:r>
      <w:proofErr w:type="spellStart"/>
      <w:r w:rsidRPr="00CC2855">
        <w:rPr>
          <w:rFonts w:ascii="Times New Roman" w:hAnsi="Times New Roman" w:cs="Times New Roman"/>
          <w:i/>
          <w:iCs/>
          <w:color w:val="000000" w:themeColor="text1"/>
          <w:sz w:val="24"/>
          <w:szCs w:val="24"/>
          <w:lang w:val="es-ES_tradnl"/>
        </w:rPr>
        <w:t>Mediterraneo</w:t>
      </w:r>
      <w:proofErr w:type="spellEnd"/>
      <w:r w:rsidRPr="00CC2855">
        <w:rPr>
          <w:rFonts w:ascii="Times New Roman" w:hAnsi="Times New Roman" w:cs="Times New Roman"/>
          <w:i/>
          <w:iCs/>
          <w:color w:val="000000" w:themeColor="text1"/>
          <w:sz w:val="24"/>
          <w:szCs w:val="24"/>
          <w:lang w:val="es-ES_tradnl"/>
        </w:rPr>
        <w:t>,</w:t>
      </w:r>
      <w:r w:rsidR="00E02520" w:rsidRPr="00CC2855">
        <w:rPr>
          <w:rFonts w:ascii="Times New Roman" w:hAnsi="Times New Roman" w:cs="Times New Roman"/>
          <w:color w:val="000000" w:themeColor="text1"/>
          <w:sz w:val="24"/>
          <w:szCs w:val="24"/>
          <w:lang w:val="es-ES_tradnl"/>
        </w:rPr>
        <w:t xml:space="preserve"> Roma,</w:t>
      </w:r>
      <w:r w:rsidRPr="00CC2855">
        <w:rPr>
          <w:rFonts w:ascii="Times New Roman" w:hAnsi="Times New Roman" w:cs="Times New Roman"/>
          <w:i/>
          <w:iCs/>
          <w:color w:val="000000" w:themeColor="text1"/>
          <w:sz w:val="24"/>
          <w:szCs w:val="24"/>
          <w:lang w:val="es-ES_tradnl"/>
        </w:rPr>
        <w:t xml:space="preserve"> </w:t>
      </w:r>
      <w:r w:rsidRPr="00CC2855">
        <w:rPr>
          <w:rFonts w:ascii="Times New Roman" w:hAnsi="Times New Roman" w:cs="Times New Roman"/>
          <w:color w:val="000000" w:themeColor="text1"/>
          <w:sz w:val="24"/>
          <w:szCs w:val="24"/>
          <w:lang w:val="es-ES_tradnl"/>
        </w:rPr>
        <w:t xml:space="preserve">Libera </w:t>
      </w:r>
      <w:proofErr w:type="spellStart"/>
      <w:r w:rsidRPr="00CC2855">
        <w:rPr>
          <w:rFonts w:ascii="Times New Roman" w:hAnsi="Times New Roman" w:cs="Times New Roman"/>
          <w:color w:val="000000" w:themeColor="text1"/>
          <w:sz w:val="24"/>
          <w:szCs w:val="24"/>
          <w:lang w:val="es-ES_tradnl"/>
        </w:rPr>
        <w:t>Università</w:t>
      </w:r>
      <w:proofErr w:type="spellEnd"/>
      <w:r w:rsidRPr="00CC2855">
        <w:rPr>
          <w:rFonts w:ascii="Times New Roman" w:hAnsi="Times New Roman" w:cs="Times New Roman"/>
          <w:color w:val="000000" w:themeColor="text1"/>
          <w:sz w:val="24"/>
          <w:szCs w:val="24"/>
          <w:lang w:val="es-ES_tradnl"/>
        </w:rPr>
        <w:t xml:space="preserve"> </w:t>
      </w:r>
      <w:proofErr w:type="spellStart"/>
      <w:r w:rsidRPr="00CC2855">
        <w:rPr>
          <w:rFonts w:ascii="Times New Roman" w:hAnsi="Times New Roman" w:cs="Times New Roman"/>
          <w:color w:val="000000" w:themeColor="text1"/>
          <w:sz w:val="24"/>
          <w:szCs w:val="24"/>
          <w:lang w:val="es-ES_tradnl"/>
        </w:rPr>
        <w:t>Internazionale</w:t>
      </w:r>
      <w:proofErr w:type="spellEnd"/>
      <w:r w:rsidRPr="00CC2855">
        <w:rPr>
          <w:rFonts w:ascii="Times New Roman" w:hAnsi="Times New Roman" w:cs="Times New Roman"/>
          <w:color w:val="000000" w:themeColor="text1"/>
          <w:sz w:val="24"/>
          <w:szCs w:val="24"/>
          <w:lang w:val="es-ES_tradnl"/>
        </w:rPr>
        <w:t xml:space="preserve"> per </w:t>
      </w:r>
      <w:proofErr w:type="spellStart"/>
      <w:r w:rsidRPr="00CC2855">
        <w:rPr>
          <w:rFonts w:ascii="Times New Roman" w:hAnsi="Times New Roman" w:cs="Times New Roman"/>
          <w:color w:val="000000" w:themeColor="text1"/>
          <w:sz w:val="24"/>
          <w:szCs w:val="24"/>
          <w:lang w:val="es-ES_tradnl"/>
        </w:rPr>
        <w:t>gli</w:t>
      </w:r>
      <w:proofErr w:type="spellEnd"/>
      <w:r w:rsidRPr="00CC2855">
        <w:rPr>
          <w:rFonts w:ascii="Times New Roman" w:hAnsi="Times New Roman" w:cs="Times New Roman"/>
          <w:color w:val="000000" w:themeColor="text1"/>
          <w:sz w:val="24"/>
          <w:szCs w:val="24"/>
          <w:lang w:val="es-ES_tradnl"/>
        </w:rPr>
        <w:t xml:space="preserve"> </w:t>
      </w:r>
      <w:proofErr w:type="spellStart"/>
      <w:r w:rsidRPr="00CC2855">
        <w:rPr>
          <w:rFonts w:ascii="Times New Roman" w:hAnsi="Times New Roman" w:cs="Times New Roman"/>
          <w:color w:val="000000" w:themeColor="text1"/>
          <w:sz w:val="24"/>
          <w:szCs w:val="24"/>
          <w:lang w:val="es-ES_tradnl"/>
        </w:rPr>
        <w:t>Studi</w:t>
      </w:r>
      <w:proofErr w:type="spellEnd"/>
      <w:r w:rsidRPr="00CC2855">
        <w:rPr>
          <w:rFonts w:ascii="Times New Roman" w:hAnsi="Times New Roman" w:cs="Times New Roman"/>
          <w:color w:val="000000" w:themeColor="text1"/>
          <w:sz w:val="24"/>
          <w:szCs w:val="24"/>
          <w:lang w:val="es-ES_tradnl"/>
        </w:rPr>
        <w:t xml:space="preserve"> </w:t>
      </w:r>
      <w:proofErr w:type="spellStart"/>
      <w:r w:rsidRPr="00CC2855">
        <w:rPr>
          <w:rFonts w:ascii="Times New Roman" w:hAnsi="Times New Roman" w:cs="Times New Roman"/>
          <w:color w:val="000000" w:themeColor="text1"/>
          <w:sz w:val="24"/>
          <w:szCs w:val="24"/>
          <w:lang w:val="es-ES_tradnl"/>
        </w:rPr>
        <w:t>Sociali</w:t>
      </w:r>
      <w:proofErr w:type="spellEnd"/>
      <w:r w:rsidRPr="00CC2855">
        <w:rPr>
          <w:rFonts w:ascii="Times New Roman" w:hAnsi="Times New Roman" w:cs="Times New Roman"/>
          <w:color w:val="000000" w:themeColor="text1"/>
          <w:sz w:val="24"/>
          <w:szCs w:val="24"/>
          <w:lang w:val="es-ES_tradnl"/>
        </w:rPr>
        <w:t xml:space="preserve"> Guido Carlo, </w:t>
      </w:r>
    </w:p>
    <w:p w14:paraId="4B235EA6" w14:textId="18CA6824" w:rsidR="00DC3927" w:rsidRPr="00CC2855" w:rsidRDefault="00DC3927"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rPr>
      </w:pPr>
      <w:proofErr w:type="spellStart"/>
      <w:r w:rsidRPr="00CC2855">
        <w:rPr>
          <w:rFonts w:ascii="Times New Roman" w:hAnsi="Times New Roman" w:cs="Times New Roman"/>
          <w:color w:val="000000" w:themeColor="text1"/>
          <w:sz w:val="24"/>
          <w:szCs w:val="24"/>
          <w:lang w:val="en-US"/>
        </w:rPr>
        <w:t>Suhfree</w:t>
      </w:r>
      <w:proofErr w:type="spellEnd"/>
      <w:r w:rsidRPr="00CC2855">
        <w:rPr>
          <w:rFonts w:ascii="Times New Roman" w:hAnsi="Times New Roman" w:cs="Times New Roman"/>
          <w:color w:val="000000" w:themeColor="text1"/>
          <w:sz w:val="24"/>
          <w:szCs w:val="24"/>
          <w:lang w:val="en-US"/>
        </w:rPr>
        <w:t xml:space="preserve">, C. (2012). </w:t>
      </w:r>
      <w:r w:rsidRPr="00CC2855">
        <w:rPr>
          <w:rFonts w:ascii="Times New Roman" w:hAnsi="Times New Roman" w:cs="Times New Roman"/>
          <w:i/>
          <w:iCs/>
          <w:color w:val="000000" w:themeColor="text1"/>
          <w:sz w:val="24"/>
          <w:szCs w:val="24"/>
          <w:lang w:val="en-US"/>
        </w:rPr>
        <w:t xml:space="preserve">The Pan-African ideal under a new lens: the contributions of Thabo Mbeki of South Africa </w:t>
      </w:r>
      <w:proofErr w:type="gramStart"/>
      <w:r w:rsidRPr="00CC2855">
        <w:rPr>
          <w:rFonts w:ascii="Times New Roman" w:hAnsi="Times New Roman" w:cs="Times New Roman"/>
          <w:i/>
          <w:iCs/>
          <w:color w:val="000000" w:themeColor="text1"/>
          <w:sz w:val="24"/>
          <w:szCs w:val="24"/>
          <w:lang w:val="en-US"/>
        </w:rPr>
        <w:t>an</w:t>
      </w:r>
      <w:proofErr w:type="gramEnd"/>
      <w:r w:rsidRPr="00CC2855">
        <w:rPr>
          <w:rFonts w:ascii="Times New Roman" w:hAnsi="Times New Roman" w:cs="Times New Roman"/>
          <w:i/>
          <w:iCs/>
          <w:color w:val="000000" w:themeColor="text1"/>
          <w:sz w:val="24"/>
          <w:szCs w:val="24"/>
          <w:lang w:val="en-US"/>
        </w:rPr>
        <w:t xml:space="preserve"> Muammar Gaddafi of Libya</w:t>
      </w:r>
      <w:r w:rsidRPr="00CC2855">
        <w:rPr>
          <w:rFonts w:ascii="Times New Roman" w:hAnsi="Times New Roman" w:cs="Times New Roman"/>
          <w:color w:val="000000" w:themeColor="text1"/>
          <w:sz w:val="24"/>
          <w:szCs w:val="24"/>
          <w:lang w:val="en-US"/>
        </w:rPr>
        <w:t xml:space="preserve">, </w:t>
      </w:r>
      <w:r w:rsidRPr="00CC2855">
        <w:rPr>
          <w:rFonts w:ascii="Times New Roman" w:hAnsi="Times New Roman" w:cs="Times New Roman"/>
          <w:color w:val="000000" w:themeColor="text1"/>
          <w:sz w:val="24"/>
          <w:szCs w:val="24"/>
        </w:rPr>
        <w:t xml:space="preserve">Johannesburg: University of Johannesburg.: </w:t>
      </w:r>
      <w:proofErr w:type="spellStart"/>
      <w:r w:rsidR="00A33D2B" w:rsidRPr="00CC2855">
        <w:rPr>
          <w:rFonts w:ascii="Times New Roman" w:hAnsi="Times New Roman" w:cs="Times New Roman"/>
          <w:color w:val="000000" w:themeColor="text1"/>
          <w:sz w:val="24"/>
          <w:szCs w:val="24"/>
          <w:lang w:val="en-US"/>
        </w:rPr>
        <w:t>En</w:t>
      </w:r>
      <w:proofErr w:type="spellEnd"/>
      <w:r w:rsidR="00A33D2B" w:rsidRPr="00CC2855">
        <w:rPr>
          <w:rFonts w:ascii="Times New Roman" w:hAnsi="Times New Roman" w:cs="Times New Roman"/>
          <w:color w:val="000000" w:themeColor="text1"/>
          <w:sz w:val="24"/>
          <w:szCs w:val="24"/>
          <w:lang w:val="en-US"/>
        </w:rPr>
        <w:t xml:space="preserve">: </w:t>
      </w:r>
      <w:r w:rsidRPr="00CC2855">
        <w:rPr>
          <w:rFonts w:ascii="Times New Roman" w:hAnsi="Times New Roman" w:cs="Times New Roman"/>
          <w:color w:val="000000" w:themeColor="text1"/>
          <w:sz w:val="24"/>
          <w:szCs w:val="24"/>
        </w:rPr>
        <w:t xml:space="preserve">http://hdl.handle.net/102000/0002 </w:t>
      </w:r>
      <w:r w:rsidRPr="00CC2855">
        <w:rPr>
          <w:rFonts w:ascii="Times New Roman" w:hAnsi="Times New Roman" w:cs="Times New Roman"/>
          <w:color w:val="000000" w:themeColor="text1"/>
          <w:sz w:val="24"/>
          <w:szCs w:val="24"/>
          <w:lang w:val="en-US"/>
        </w:rPr>
        <w:t>Cons</w:t>
      </w:r>
      <w:r w:rsidRPr="00CC2855">
        <w:rPr>
          <w:rFonts w:ascii="Times New Roman" w:hAnsi="Times New Roman" w:cs="Times New Roman"/>
          <w:color w:val="000000" w:themeColor="text1"/>
          <w:sz w:val="24"/>
          <w:szCs w:val="24"/>
        </w:rPr>
        <w:t xml:space="preserve">: 22 August 2017). </w:t>
      </w:r>
    </w:p>
    <w:p w14:paraId="23C7C7C1" w14:textId="7594D4E9" w:rsidR="00DD61BE" w:rsidRPr="00CC2855" w:rsidRDefault="00677AAA" w:rsidP="00F676DF">
      <w:pPr>
        <w:pStyle w:val="NormalWeb"/>
        <w:numPr>
          <w:ilvl w:val="0"/>
          <w:numId w:val="5"/>
        </w:numPr>
        <w:spacing w:line="360" w:lineRule="auto"/>
        <w:contextualSpacing/>
        <w:jc w:val="both"/>
        <w:rPr>
          <w:color w:val="000000" w:themeColor="text1"/>
        </w:rPr>
      </w:pPr>
      <w:r w:rsidRPr="00CC2855">
        <w:rPr>
          <w:color w:val="000000" w:themeColor="text1"/>
          <w:lang w:val="es-ES"/>
        </w:rPr>
        <w:t xml:space="preserve">Treviño Rangel, J. (2016) ¿De qué hablamos cuando hablamos de la </w:t>
      </w:r>
      <w:proofErr w:type="spellStart"/>
      <w:r w:rsidRPr="00CC2855">
        <w:rPr>
          <w:color w:val="000000" w:themeColor="text1"/>
          <w:lang w:val="es-ES"/>
        </w:rPr>
        <w:t>securitización</w:t>
      </w:r>
      <w:proofErr w:type="spellEnd"/>
      <w:r w:rsidRPr="00CC2855">
        <w:rPr>
          <w:color w:val="000000" w:themeColor="text1"/>
          <w:lang w:val="es-ES"/>
        </w:rPr>
        <w:t xml:space="preserve"> de la migración internacional en México? Una crítica. </w:t>
      </w:r>
      <w:r w:rsidRPr="00CC2855">
        <w:rPr>
          <w:i/>
          <w:iCs/>
          <w:color w:val="000000" w:themeColor="text1"/>
        </w:rPr>
        <w:t xml:space="preserve">Foro Internacional </w:t>
      </w:r>
      <w:r w:rsidRPr="00CC2855">
        <w:rPr>
          <w:color w:val="000000" w:themeColor="text1"/>
        </w:rPr>
        <w:t xml:space="preserve">224, </w:t>
      </w:r>
      <w:r w:rsidRPr="00CC2855">
        <w:rPr>
          <w:color w:val="000000" w:themeColor="text1"/>
          <w:lang w:val="es-ES"/>
        </w:rPr>
        <w:t xml:space="preserve">v. </w:t>
      </w:r>
      <w:r w:rsidRPr="00CC2855">
        <w:rPr>
          <w:color w:val="000000" w:themeColor="text1"/>
        </w:rPr>
        <w:t xml:space="preserve">LVI, </w:t>
      </w:r>
      <w:r w:rsidR="00A33D2B" w:rsidRPr="00CC2855">
        <w:rPr>
          <w:color w:val="000000" w:themeColor="text1"/>
          <w:lang w:val="es-ES"/>
        </w:rPr>
        <w:t>pp.</w:t>
      </w:r>
      <w:r w:rsidRPr="00CC2855">
        <w:rPr>
          <w:color w:val="000000" w:themeColor="text1"/>
        </w:rPr>
        <w:t xml:space="preserve"> 253-291</w:t>
      </w:r>
    </w:p>
    <w:p w14:paraId="5148A6DB" w14:textId="69B8F37D" w:rsidR="00FB0D3F" w:rsidRPr="00CC2855" w:rsidRDefault="00DD61BE"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_tradnl"/>
        </w:rPr>
      </w:pPr>
      <w:r w:rsidRPr="00CC2855">
        <w:rPr>
          <w:rFonts w:ascii="Times New Roman" w:hAnsi="Times New Roman" w:cs="Times New Roman"/>
          <w:color w:val="000000" w:themeColor="text1"/>
          <w:sz w:val="24"/>
          <w:szCs w:val="24"/>
          <w:lang w:val="es-ES_tradnl"/>
        </w:rPr>
        <w:t xml:space="preserve">Uriburu </w:t>
      </w:r>
      <w:proofErr w:type="spellStart"/>
      <w:r w:rsidRPr="00CC2855">
        <w:rPr>
          <w:rFonts w:ascii="Times New Roman" w:hAnsi="Times New Roman" w:cs="Times New Roman"/>
          <w:color w:val="000000" w:themeColor="text1"/>
          <w:sz w:val="24"/>
          <w:szCs w:val="24"/>
          <w:lang w:val="es-ES_tradnl"/>
        </w:rPr>
        <w:t>Colsa</w:t>
      </w:r>
      <w:proofErr w:type="spellEnd"/>
      <w:r w:rsidRPr="00CC2855">
        <w:rPr>
          <w:rFonts w:ascii="Times New Roman" w:hAnsi="Times New Roman" w:cs="Times New Roman"/>
          <w:color w:val="000000" w:themeColor="text1"/>
          <w:sz w:val="24"/>
          <w:szCs w:val="24"/>
          <w:lang w:val="es-ES_tradnl"/>
        </w:rPr>
        <w:t>, J. (2008) “Las relaciones entre la Unión Europea y Libia”.</w:t>
      </w:r>
      <w:r w:rsidR="00A33D2B" w:rsidRPr="00CC2855">
        <w:rPr>
          <w:rFonts w:ascii="Times New Roman" w:hAnsi="Times New Roman" w:cs="Times New Roman"/>
          <w:color w:val="000000" w:themeColor="text1"/>
          <w:sz w:val="24"/>
          <w:szCs w:val="24"/>
          <w:lang w:val="es-ES_tradnl"/>
        </w:rPr>
        <w:t xml:space="preserve"> </w:t>
      </w:r>
      <w:r w:rsidRPr="00CC2855">
        <w:rPr>
          <w:rFonts w:ascii="Times New Roman" w:hAnsi="Times New Roman" w:cs="Times New Roman"/>
          <w:color w:val="000000" w:themeColor="text1"/>
          <w:sz w:val="24"/>
          <w:szCs w:val="24"/>
          <w:lang w:val="es-ES_tradnl"/>
        </w:rPr>
        <w:t>Revista de Derecho</w:t>
      </w:r>
      <w:r w:rsidRPr="00CC2855">
        <w:rPr>
          <w:rFonts w:ascii="Times New Roman" w:hAnsi="Times New Roman" w:cs="Times New Roman"/>
          <w:i/>
          <w:iCs/>
          <w:color w:val="000000" w:themeColor="text1"/>
          <w:sz w:val="24"/>
          <w:szCs w:val="24"/>
          <w:lang w:val="es-ES_tradnl"/>
        </w:rPr>
        <w:t xml:space="preserve"> </w:t>
      </w:r>
      <w:r w:rsidRPr="00CC2855">
        <w:rPr>
          <w:rFonts w:ascii="Times New Roman" w:hAnsi="Times New Roman" w:cs="Times New Roman"/>
          <w:color w:val="000000" w:themeColor="text1"/>
          <w:sz w:val="24"/>
          <w:szCs w:val="24"/>
          <w:lang w:val="es-ES_tradnl"/>
        </w:rPr>
        <w:t>Comunitario Europeo</w:t>
      </w:r>
      <w:r w:rsidRPr="00CC2855">
        <w:rPr>
          <w:rFonts w:ascii="Times New Roman" w:hAnsi="Times New Roman" w:cs="Times New Roman"/>
          <w:i/>
          <w:iCs/>
          <w:color w:val="000000" w:themeColor="text1"/>
          <w:sz w:val="24"/>
          <w:szCs w:val="24"/>
          <w:lang w:val="es-ES_tradnl"/>
        </w:rPr>
        <w:t xml:space="preserve">, </w:t>
      </w:r>
      <w:r w:rsidR="00122323" w:rsidRPr="00CC2855">
        <w:rPr>
          <w:rFonts w:ascii="Times New Roman" w:hAnsi="Times New Roman" w:cs="Times New Roman"/>
          <w:color w:val="000000" w:themeColor="text1"/>
          <w:sz w:val="24"/>
          <w:szCs w:val="24"/>
          <w:lang w:val="es-ES_tradnl"/>
        </w:rPr>
        <w:t>n</w:t>
      </w:r>
      <w:r w:rsidRPr="00CC2855">
        <w:rPr>
          <w:rFonts w:ascii="Times New Roman" w:hAnsi="Times New Roman" w:cs="Times New Roman"/>
          <w:i/>
          <w:iCs/>
          <w:color w:val="000000" w:themeColor="text1"/>
          <w:sz w:val="24"/>
          <w:szCs w:val="24"/>
          <w:lang w:val="es-ES_tradnl"/>
        </w:rPr>
        <w:t xml:space="preserve">. </w:t>
      </w:r>
      <w:r w:rsidRPr="00CC2855">
        <w:rPr>
          <w:rFonts w:ascii="Times New Roman" w:hAnsi="Times New Roman" w:cs="Times New Roman"/>
          <w:color w:val="000000" w:themeColor="text1"/>
          <w:sz w:val="24"/>
          <w:szCs w:val="24"/>
          <w:lang w:val="es-ES_tradnl"/>
        </w:rPr>
        <w:t xml:space="preserve">30, Madrid, mayo/agosto, </w:t>
      </w:r>
      <w:r w:rsidR="00122323" w:rsidRPr="00CC2855">
        <w:rPr>
          <w:rFonts w:ascii="Times New Roman" w:hAnsi="Times New Roman" w:cs="Times New Roman"/>
          <w:color w:val="000000" w:themeColor="text1"/>
          <w:sz w:val="24"/>
          <w:szCs w:val="24"/>
          <w:lang w:val="es-ES_tradnl"/>
        </w:rPr>
        <w:t>pp.</w:t>
      </w:r>
      <w:r w:rsidRPr="00CC2855">
        <w:rPr>
          <w:rFonts w:ascii="Times New Roman" w:hAnsi="Times New Roman" w:cs="Times New Roman"/>
          <w:color w:val="000000" w:themeColor="text1"/>
          <w:sz w:val="24"/>
          <w:szCs w:val="24"/>
          <w:lang w:val="es-ES_tradnl"/>
        </w:rPr>
        <w:t xml:space="preserve"> 419-453</w:t>
      </w:r>
    </w:p>
    <w:p w14:paraId="69DE9F0F" w14:textId="62369F19" w:rsidR="00FB0D3F" w:rsidRPr="00CC2855" w:rsidRDefault="00FB0D3F" w:rsidP="00F676DF">
      <w:pPr>
        <w:pStyle w:val="Textonotapie"/>
        <w:numPr>
          <w:ilvl w:val="0"/>
          <w:numId w:val="5"/>
        </w:numPr>
        <w:spacing w:line="360" w:lineRule="auto"/>
        <w:contextualSpacing/>
        <w:jc w:val="both"/>
        <w:rPr>
          <w:rFonts w:ascii="Times New Roman" w:hAnsi="Times New Roman" w:cs="Times New Roman"/>
          <w:color w:val="000000" w:themeColor="text1"/>
          <w:sz w:val="24"/>
          <w:szCs w:val="24"/>
          <w:lang w:val="es-ES"/>
        </w:rPr>
      </w:pPr>
      <w:r w:rsidRPr="00CC2855">
        <w:rPr>
          <w:rFonts w:ascii="Times New Roman" w:hAnsi="Times New Roman" w:cs="Times New Roman"/>
          <w:color w:val="000000" w:themeColor="text1"/>
          <w:sz w:val="24"/>
          <w:szCs w:val="24"/>
          <w:lang w:val="es-ES"/>
        </w:rPr>
        <w:t>Zapata-Barrero, R</w:t>
      </w:r>
      <w:r w:rsidR="00A33D2B" w:rsidRPr="00CC2855">
        <w:rPr>
          <w:rFonts w:ascii="Times New Roman" w:hAnsi="Times New Roman" w:cs="Times New Roman"/>
          <w:color w:val="000000" w:themeColor="text1"/>
          <w:sz w:val="24"/>
          <w:szCs w:val="24"/>
          <w:lang w:val="es-ES"/>
        </w:rPr>
        <w:t>.</w:t>
      </w:r>
      <w:r w:rsidR="00B61EA2">
        <w:rPr>
          <w:rFonts w:ascii="Times New Roman" w:hAnsi="Times New Roman" w:cs="Times New Roman"/>
          <w:color w:val="000000" w:themeColor="text1"/>
          <w:sz w:val="24"/>
          <w:szCs w:val="24"/>
          <w:lang w:val="es-ES"/>
        </w:rPr>
        <w:t xml:space="preserve"> </w:t>
      </w:r>
      <w:r w:rsidRPr="00CC2855">
        <w:rPr>
          <w:rFonts w:ascii="Times New Roman" w:hAnsi="Times New Roman" w:cs="Times New Roman"/>
          <w:color w:val="000000" w:themeColor="text1"/>
          <w:sz w:val="24"/>
          <w:szCs w:val="24"/>
          <w:lang w:val="es-ES"/>
        </w:rPr>
        <w:t>y Zaragoza Cristiani</w:t>
      </w:r>
      <w:r w:rsidR="00A33D2B" w:rsidRPr="00CC2855">
        <w:rPr>
          <w:rFonts w:ascii="Times New Roman" w:hAnsi="Times New Roman" w:cs="Times New Roman"/>
          <w:color w:val="000000" w:themeColor="text1"/>
          <w:sz w:val="24"/>
          <w:szCs w:val="24"/>
          <w:lang w:val="es-ES"/>
        </w:rPr>
        <w:t>, J.</w:t>
      </w:r>
      <w:r w:rsidRPr="00CC2855">
        <w:rPr>
          <w:rFonts w:ascii="Times New Roman" w:hAnsi="Times New Roman" w:cs="Times New Roman"/>
          <w:color w:val="000000" w:themeColor="text1"/>
          <w:sz w:val="24"/>
          <w:szCs w:val="24"/>
          <w:lang w:val="es-ES"/>
        </w:rPr>
        <w:t xml:space="preserve"> (2008). “Externalización de las políticas de inmigración en España: ¿giro de orientación política en la gestión de fronteras y flujos migratorios?”. Panorama Social, Segundo Semestre 2008, pp. 186-195</w:t>
      </w:r>
    </w:p>
    <w:p w14:paraId="73147584" w14:textId="77777777" w:rsidR="00CB1D59" w:rsidRPr="00CC2855" w:rsidRDefault="00CB1D59" w:rsidP="00F676DF">
      <w:pPr>
        <w:pStyle w:val="NormalWeb"/>
        <w:spacing w:line="360" w:lineRule="auto"/>
        <w:contextualSpacing/>
        <w:jc w:val="both"/>
        <w:rPr>
          <w:color w:val="000000" w:themeColor="text1"/>
          <w:lang w:val="es-ES"/>
        </w:rPr>
      </w:pPr>
    </w:p>
    <w:sectPr w:rsidR="00CB1D59" w:rsidRPr="00CC2855" w:rsidSect="00FE4F97">
      <w:headerReference w:type="even" r:id="rId21"/>
      <w:headerReference w:type="default" r:id="rId22"/>
      <w:pgSz w:w="11901" w:h="16817"/>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C98A" w14:textId="77777777" w:rsidR="00FA6BF5" w:rsidRDefault="00FA6BF5" w:rsidP="00A71B78">
      <w:r>
        <w:separator/>
      </w:r>
    </w:p>
  </w:endnote>
  <w:endnote w:type="continuationSeparator" w:id="0">
    <w:p w14:paraId="7E065D6C" w14:textId="77777777" w:rsidR="00FA6BF5" w:rsidRDefault="00FA6BF5" w:rsidP="00A7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tium Basic">
    <w:altName w:val="Cambria"/>
    <w:panose1 w:val="02000503060000020004"/>
    <w:charset w:val="00"/>
    <w:family w:val="auto"/>
    <w:pitch w:val="variable"/>
    <w:sig w:usb0="A000007F" w:usb1="50002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3905" w14:textId="77777777" w:rsidR="00FA6BF5" w:rsidRDefault="00FA6BF5" w:rsidP="00A71B78">
      <w:r>
        <w:separator/>
      </w:r>
    </w:p>
  </w:footnote>
  <w:footnote w:type="continuationSeparator" w:id="0">
    <w:p w14:paraId="1861C3B6" w14:textId="77777777" w:rsidR="00FA6BF5" w:rsidRDefault="00FA6BF5" w:rsidP="00A71B78">
      <w:r>
        <w:continuationSeparator/>
      </w:r>
    </w:p>
  </w:footnote>
  <w:footnote w:id="1">
    <w:p w14:paraId="02994957" w14:textId="074D34AE" w:rsidR="005913B2" w:rsidRPr="005913B2" w:rsidRDefault="005913B2" w:rsidP="00BA34B2">
      <w:pPr>
        <w:pStyle w:val="Textonotapie"/>
        <w:jc w:val="both"/>
        <w:rPr>
          <w:lang w:val="es-ES"/>
        </w:rPr>
      </w:pPr>
      <w:r>
        <w:rPr>
          <w:rStyle w:val="Refdenotaalpie"/>
        </w:rPr>
        <w:footnoteRef/>
      </w:r>
      <w:r>
        <w:t xml:space="preserve"> </w:t>
      </w:r>
      <w:r>
        <w:rPr>
          <w:lang w:val="es-ES"/>
        </w:rPr>
        <w:t>Estad</w:t>
      </w:r>
      <w:r w:rsidR="00B631EC">
        <w:rPr>
          <w:lang w:val="es-ES"/>
        </w:rPr>
        <w:t xml:space="preserve">ísticas </w:t>
      </w:r>
      <w:r w:rsidR="00D84290">
        <w:rPr>
          <w:lang w:val="es-ES"/>
        </w:rPr>
        <w:t xml:space="preserve">migratorias </w:t>
      </w:r>
      <w:r w:rsidR="00B631EC">
        <w:rPr>
          <w:lang w:val="es-ES"/>
        </w:rPr>
        <w:t>del Ministerio del Interior del Reino de España</w:t>
      </w:r>
      <w:r w:rsidR="00D84290">
        <w:rPr>
          <w:lang w:val="es-ES"/>
        </w:rPr>
        <w:t>, 2006.</w:t>
      </w:r>
    </w:p>
  </w:footnote>
  <w:footnote w:id="2">
    <w:p w14:paraId="2745A69C" w14:textId="6B57D2EC" w:rsidR="00B631EC" w:rsidRPr="00B631EC" w:rsidRDefault="00B631EC" w:rsidP="00BA34B2">
      <w:pPr>
        <w:pStyle w:val="Textonotapie"/>
        <w:jc w:val="both"/>
        <w:rPr>
          <w:lang w:val="es-ES"/>
        </w:rPr>
      </w:pPr>
      <w:r>
        <w:rPr>
          <w:rStyle w:val="Refdenotaalpie"/>
        </w:rPr>
        <w:footnoteRef/>
      </w:r>
      <w:r>
        <w:t xml:space="preserve"> </w:t>
      </w:r>
      <w:r>
        <w:rPr>
          <w:lang w:val="es-ES"/>
        </w:rPr>
        <w:t>Informe Anual de Estadísticas de Inmigración y Asilo. España 2006.</w:t>
      </w:r>
      <w:r w:rsidR="00F53DAA">
        <w:rPr>
          <w:lang w:val="es-ES"/>
        </w:rPr>
        <w:t xml:space="preserve"> Red Europea de Migraciones. Punto de Contacto Nacional de España. Enero de 2009, p. 21.</w:t>
      </w:r>
    </w:p>
  </w:footnote>
  <w:footnote w:id="3">
    <w:p w14:paraId="112B7FB7" w14:textId="6F2A106A" w:rsidR="00147031" w:rsidRPr="00147031" w:rsidRDefault="00147031" w:rsidP="0091718D">
      <w:pPr>
        <w:pStyle w:val="Textonotapie"/>
        <w:jc w:val="both"/>
      </w:pPr>
      <w:r>
        <w:rPr>
          <w:lang w:val="es-ES"/>
        </w:rPr>
        <w:t xml:space="preserve"> </w:t>
      </w:r>
      <w:r>
        <w:rPr>
          <w:rStyle w:val="Refdenotaalpie"/>
        </w:rPr>
        <w:footnoteRef/>
      </w:r>
      <w:r>
        <w:t xml:space="preserve"> </w:t>
      </w:r>
      <w:r w:rsidRPr="00147031">
        <w:t>«BOE» núm. 109, de 7 de mayo de 1999, páginas 17146 a 17202 (57 págs.)</w:t>
      </w:r>
      <w:r>
        <w:rPr>
          <w:lang w:val="es-ES"/>
        </w:rPr>
        <w:t>.</w:t>
      </w:r>
      <w:r w:rsidR="00D65341">
        <w:rPr>
          <w:lang w:val="es-ES"/>
        </w:rPr>
        <w:t xml:space="preserve"> </w:t>
      </w:r>
      <w:r w:rsidRPr="00147031">
        <w:t>Sección:I. Disposiciones generales</w:t>
      </w:r>
      <w:r>
        <w:rPr>
          <w:lang w:val="es-ES"/>
        </w:rPr>
        <w:t xml:space="preserve">. </w:t>
      </w:r>
      <w:r w:rsidRPr="00147031">
        <w:t>Departamento:</w:t>
      </w:r>
      <w:r>
        <w:rPr>
          <w:lang w:val="es-ES"/>
        </w:rPr>
        <w:t xml:space="preserve"> </w:t>
      </w:r>
      <w:r w:rsidRPr="00147031">
        <w:t>Jefatura del Estado</w:t>
      </w:r>
      <w:r>
        <w:rPr>
          <w:lang w:val="es-ES"/>
        </w:rPr>
        <w:t xml:space="preserve">. </w:t>
      </w:r>
      <w:r w:rsidRPr="00147031">
        <w:t>Referencia:</w:t>
      </w:r>
      <w:r>
        <w:rPr>
          <w:lang w:val="es-ES"/>
        </w:rPr>
        <w:t xml:space="preserve"> </w:t>
      </w:r>
      <w:r w:rsidRPr="00147031">
        <w:t>BOE-A-1999-10228</w:t>
      </w:r>
      <w:r>
        <w:rPr>
          <w:lang w:val="es-ES"/>
        </w:rPr>
        <w:t xml:space="preserve">. </w:t>
      </w:r>
      <w:r w:rsidRPr="00147031">
        <w:t>Permalink ELI:</w:t>
      </w:r>
      <w:r w:rsidRPr="00D55BB2">
        <w:rPr>
          <w:lang w:val="en-US"/>
        </w:rPr>
        <w:t xml:space="preserve"> </w:t>
      </w:r>
      <w:hyperlink r:id="rId1" w:history="1">
        <w:r w:rsidRPr="00147031">
          <w:rPr>
            <w:rStyle w:val="Hipervnculo"/>
          </w:rPr>
          <w:t>https://www.boe.es/eli/es/ai/1997/10/02/(1)</w:t>
        </w:r>
      </w:hyperlink>
    </w:p>
  </w:footnote>
  <w:footnote w:id="4">
    <w:p w14:paraId="00FE58C9" w14:textId="69E1C218" w:rsidR="0091718D" w:rsidRPr="00B35757" w:rsidRDefault="0091718D" w:rsidP="00B35757">
      <w:pPr>
        <w:pStyle w:val="Textonotapie"/>
        <w:rPr>
          <w:i/>
          <w:iCs/>
        </w:rPr>
      </w:pPr>
      <w:r>
        <w:rPr>
          <w:rStyle w:val="Refdenotaalpie"/>
        </w:rPr>
        <w:footnoteRef/>
      </w:r>
      <w:r>
        <w:t xml:space="preserve"> </w:t>
      </w:r>
      <w:r w:rsidRPr="00B35757">
        <w:rPr>
          <w:i/>
          <w:iCs/>
        </w:rPr>
        <w:t>Document 32004R2007</w:t>
      </w:r>
      <w:r w:rsidRPr="00B35757">
        <w:rPr>
          <w:i/>
          <w:iCs/>
          <w:lang w:val="en-US"/>
        </w:rPr>
        <w:t xml:space="preserve">. </w:t>
      </w:r>
      <w:r w:rsidRPr="00B35757">
        <w:rPr>
          <w:i/>
          <w:iCs/>
        </w:rPr>
        <w:t>Council Regulation (EC) No 2007/2004 of 26 October 2004 establishing a European Agency for the Management of Operational Cooperation at the External Borders of the Member States of the European Union</w:t>
      </w:r>
    </w:p>
    <w:p w14:paraId="315BEC2F" w14:textId="077EE8B7" w:rsidR="0091718D" w:rsidRPr="0091718D" w:rsidRDefault="0091718D">
      <w:pPr>
        <w:pStyle w:val="Textonotapie"/>
      </w:pPr>
      <w:r w:rsidRPr="0091718D">
        <w:rPr>
          <w:i/>
          <w:iCs/>
        </w:rPr>
        <w:t>OJ L 349, 25.11.2004, p. 1–11 (ES, CS, DA, DE, ET, EL, EN, FR, IT, LV, LT, HU, NL, PL, PT, SK, SL, FI, SV)</w:t>
      </w:r>
      <w:r w:rsidRPr="00B35757">
        <w:rPr>
          <w:i/>
          <w:iCs/>
          <w:lang w:val="es-ES"/>
        </w:rPr>
        <w:t xml:space="preserve"> </w:t>
      </w:r>
      <w:r w:rsidRPr="0091718D">
        <w:rPr>
          <w:i/>
          <w:iCs/>
        </w:rPr>
        <w:t>OJ L 153M , 7.6.2006, p. 136–146 (MT)</w:t>
      </w:r>
      <w:r w:rsidR="00F26156" w:rsidRPr="00B35757">
        <w:rPr>
          <w:i/>
          <w:iCs/>
          <w:lang w:val="es-ES"/>
        </w:rPr>
        <w:t>.</w:t>
      </w:r>
      <w:r w:rsidR="00F26156" w:rsidRPr="00B35757">
        <w:rPr>
          <w:i/>
          <w:iCs/>
        </w:rPr>
        <w:t xml:space="preserve"> </w:t>
      </w:r>
      <w:r w:rsidR="00F26156" w:rsidRPr="00B35757">
        <w:rPr>
          <w:i/>
          <w:iCs/>
          <w:lang w:val="es-ES"/>
        </w:rPr>
        <w:t>http://data.europa.eu/eli/reg/2004/2007/oj.</w:t>
      </w:r>
    </w:p>
  </w:footnote>
  <w:footnote w:id="5">
    <w:p w14:paraId="036AAC9C" w14:textId="0E5AD112" w:rsidR="001507BD" w:rsidRPr="001507BD" w:rsidRDefault="001507BD" w:rsidP="00945312">
      <w:pPr>
        <w:pStyle w:val="Textonotapie"/>
        <w:jc w:val="both"/>
        <w:rPr>
          <w:lang w:val="es-ES"/>
        </w:rPr>
      </w:pPr>
      <w:r>
        <w:rPr>
          <w:rStyle w:val="Refdenotaalpie"/>
        </w:rPr>
        <w:footnoteRef/>
      </w:r>
      <w:r>
        <w:rPr>
          <w:lang w:val="es-ES"/>
        </w:rPr>
        <w:t>Gabinete de Prensa de la Guardia Civil,</w:t>
      </w:r>
      <w:r w:rsidR="00945312">
        <w:rPr>
          <w:lang w:val="es-ES"/>
        </w:rPr>
        <w:t xml:space="preserve"> </w:t>
      </w:r>
      <w:r>
        <w:rPr>
          <w:lang w:val="es-ES"/>
        </w:rPr>
        <w:t>Ministerio del Interior</w:t>
      </w:r>
      <w:r w:rsidR="00945312">
        <w:rPr>
          <w:lang w:val="es-ES"/>
        </w:rPr>
        <w:t xml:space="preserve">, </w:t>
      </w:r>
      <w:r>
        <w:rPr>
          <w:lang w:val="es-ES"/>
        </w:rPr>
        <w:t>Gobierno de España</w:t>
      </w:r>
      <w:r w:rsidR="00945312">
        <w:rPr>
          <w:lang w:val="es-ES"/>
        </w:rPr>
        <w:t xml:space="preserve">, </w:t>
      </w:r>
      <w:r w:rsidR="00945312" w:rsidRPr="00945312">
        <w:rPr>
          <w:lang w:val="es-ES"/>
        </w:rPr>
        <w:t>www.guardiacivil.es/ga/prensa/index.html</w:t>
      </w:r>
    </w:p>
  </w:footnote>
  <w:footnote w:id="6">
    <w:p w14:paraId="4C53C0FC" w14:textId="47596DC4" w:rsidR="00715FE6" w:rsidRPr="00FE3AFF" w:rsidRDefault="00715FE6">
      <w:pPr>
        <w:pStyle w:val="Textonotapie"/>
        <w:rPr>
          <w:lang w:val="en-US"/>
        </w:rPr>
      </w:pPr>
      <w:r>
        <w:rPr>
          <w:rStyle w:val="Refdenotaalpie"/>
        </w:rPr>
        <w:footnoteRef/>
      </w:r>
      <w:r>
        <w:t xml:space="preserve"> </w:t>
      </w:r>
      <w:r w:rsidR="00FE3AFF" w:rsidRPr="00FE3AFF">
        <w:t>Analysis</w:t>
      </w:r>
      <w:r w:rsidR="00FE3AFF">
        <w:rPr>
          <w:lang w:val="en-US"/>
        </w:rPr>
        <w:t xml:space="preserve"> </w:t>
      </w:r>
      <w:r w:rsidR="00FE3AFF" w:rsidRPr="00FE3AFF">
        <w:t>Opaque and unaccountable: Frontex Operation Hera</w:t>
      </w:r>
      <w:r w:rsidR="00FE3AFF" w:rsidRPr="00FE3AFF">
        <w:rPr>
          <w:b/>
          <w:bCs/>
        </w:rPr>
        <w:t xml:space="preserve"> </w:t>
      </w:r>
      <w:r w:rsidR="00FE3AFF">
        <w:rPr>
          <w:lang w:val="en-US"/>
        </w:rPr>
        <w:t>.</w:t>
      </w:r>
      <w:r w:rsidR="00FE3AFF" w:rsidRPr="00FE3AFF">
        <w:t>Vera Wriedt and Darius Reinhardt</w:t>
      </w:r>
      <w:r w:rsidR="00FE3AFF" w:rsidRPr="00FE3AFF">
        <w:rPr>
          <w:lang w:val="en-US"/>
        </w:rPr>
        <w:t xml:space="preserve"> </w:t>
      </w:r>
      <w:r w:rsidR="00FE3AFF" w:rsidRPr="00FE3AFF">
        <w:t>(</w:t>
      </w:r>
      <w:r w:rsidR="00FE3AFF" w:rsidRPr="00FE3AFF">
        <w:rPr>
          <w:i/>
          <w:iCs/>
        </w:rPr>
        <w:t>European Center for Constitutional and Human Rights</w:t>
      </w:r>
      <w:r w:rsidR="00FE3AFF" w:rsidRPr="00FE3AFF">
        <w:t xml:space="preserve">, ECCHR) </w:t>
      </w:r>
      <w:proofErr w:type="spellStart"/>
      <w:r w:rsidR="00FE3AFF" w:rsidRPr="00FE3AFF">
        <w:rPr>
          <w:lang w:val="en-US"/>
        </w:rPr>
        <w:t>Fe</w:t>
      </w:r>
      <w:r w:rsidR="00FE3AFF">
        <w:rPr>
          <w:lang w:val="en-US"/>
        </w:rPr>
        <w:t>brero</w:t>
      </w:r>
      <w:proofErr w:type="spellEnd"/>
      <w:r w:rsidR="00FE3AFF">
        <w:rPr>
          <w:lang w:val="en-US"/>
        </w:rPr>
        <w:t xml:space="preserve"> 2017, statewatch.org.</w:t>
      </w:r>
    </w:p>
  </w:footnote>
  <w:footnote w:id="7">
    <w:p w14:paraId="638CF0B1" w14:textId="0DF4ED71" w:rsidR="008E3027" w:rsidRPr="008E3027" w:rsidRDefault="008E3027" w:rsidP="008E3027">
      <w:pPr>
        <w:pStyle w:val="Textonotapie"/>
        <w:rPr>
          <w:lang w:val="es-ES"/>
        </w:rPr>
      </w:pPr>
      <w:r>
        <w:rPr>
          <w:rStyle w:val="Refdenotaalpie"/>
        </w:rPr>
        <w:footnoteRef/>
      </w:r>
      <w:r>
        <w:t xml:space="preserve"> </w:t>
      </w:r>
      <w:r>
        <w:rPr>
          <w:lang w:val="es-ES"/>
        </w:rPr>
        <w:t xml:space="preserve">Es en el contexto de estas nuevas relaciones que se puso en marcha el </w:t>
      </w:r>
      <w:r w:rsidRPr="008E3027">
        <w:t xml:space="preserve">Plan </w:t>
      </w:r>
      <w:proofErr w:type="gramStart"/>
      <w:r w:rsidRPr="008E3027">
        <w:t>Director</w:t>
      </w:r>
      <w:proofErr w:type="gramEnd"/>
      <w:r w:rsidRPr="008E3027">
        <w:t xml:space="preserve"> 2005-2008 para la cooperación Española</w:t>
      </w:r>
      <w:r>
        <w:rPr>
          <w:lang w:val="es-ES"/>
        </w:rPr>
        <w:t>, por el cual este país se comprometió a impulsar y financiar acciones de desarrollo económico en Marruecos.</w:t>
      </w:r>
    </w:p>
    <w:p w14:paraId="2CC5E063" w14:textId="30FAA7D2" w:rsidR="008E3027" w:rsidRPr="008E3027" w:rsidRDefault="008E3027">
      <w:pPr>
        <w:pStyle w:val="Textonotapie"/>
      </w:pPr>
    </w:p>
  </w:footnote>
  <w:footnote w:id="8">
    <w:p w14:paraId="36B3D0D3" w14:textId="19E3C160" w:rsidR="00090000" w:rsidRPr="00090000" w:rsidRDefault="00090000" w:rsidP="007445E9">
      <w:pPr>
        <w:pStyle w:val="Textonotapie"/>
        <w:adjustRightInd w:val="0"/>
        <w:snapToGrid w:val="0"/>
        <w:rPr>
          <w:lang w:val="es-ES"/>
        </w:rPr>
      </w:pPr>
      <w:r>
        <w:rPr>
          <w:rStyle w:val="Refdenotaalpie"/>
        </w:rPr>
        <w:footnoteRef/>
      </w:r>
      <w:r>
        <w:t xml:space="preserve"> </w:t>
      </w:r>
      <w:r w:rsidRPr="00090000">
        <w:rPr>
          <w:lang w:val="es-ES"/>
        </w:rPr>
        <w:t xml:space="preserve">La Federación de Republicas </w:t>
      </w:r>
      <w:proofErr w:type="gramStart"/>
      <w:r w:rsidRPr="00090000">
        <w:rPr>
          <w:lang w:val="es-ES"/>
        </w:rPr>
        <w:t>Árabes</w:t>
      </w:r>
      <w:proofErr w:type="gramEnd"/>
      <w:r w:rsidRPr="00090000">
        <w:rPr>
          <w:lang w:val="es-ES"/>
        </w:rPr>
        <w:t xml:space="preserve"> </w:t>
      </w:r>
      <w:r>
        <w:rPr>
          <w:lang w:val="es-ES"/>
        </w:rPr>
        <w:t>quedó conformada en 197</w:t>
      </w:r>
      <w:r w:rsidR="00A139B4">
        <w:rPr>
          <w:lang w:val="es-ES"/>
        </w:rPr>
        <w:t>2</w:t>
      </w:r>
      <w:r>
        <w:rPr>
          <w:lang w:val="es-ES"/>
        </w:rPr>
        <w:t xml:space="preserve"> con la integración de Siria y el apartamiento de Sudán</w:t>
      </w:r>
      <w:r w:rsidR="00A139B4">
        <w:rPr>
          <w:lang w:val="es-ES"/>
        </w:rPr>
        <w:t>, pero se disolvió en 197</w:t>
      </w:r>
      <w:r w:rsidR="002B70C8">
        <w:rPr>
          <w:lang w:val="es-ES"/>
        </w:rPr>
        <w:t>7.</w:t>
      </w:r>
    </w:p>
  </w:footnote>
  <w:footnote w:id="9">
    <w:p w14:paraId="0EA043EC" w14:textId="0078228D" w:rsidR="00DB453E" w:rsidRPr="0093770D" w:rsidRDefault="00DB453E" w:rsidP="007445E9">
      <w:pPr>
        <w:pStyle w:val="NormalWeb"/>
        <w:adjustRightInd w:val="0"/>
        <w:snapToGrid w:val="0"/>
        <w:spacing w:before="0" w:beforeAutospacing="0" w:after="0" w:afterAutospacing="0"/>
        <w:jc w:val="both"/>
        <w:rPr>
          <w:rFonts w:asciiTheme="minorHAnsi" w:hAnsiTheme="minorHAnsi" w:cstheme="minorHAnsi"/>
          <w:sz w:val="20"/>
          <w:szCs w:val="20"/>
          <w:lang w:val="es-ES"/>
        </w:rPr>
      </w:pPr>
      <w:r>
        <w:rPr>
          <w:rStyle w:val="Refdenotaalpie"/>
        </w:rPr>
        <w:footnoteRef/>
      </w:r>
      <w:r>
        <w:t xml:space="preserve"> </w:t>
      </w:r>
      <w:r w:rsidRPr="002B70C8">
        <w:rPr>
          <w:sz w:val="20"/>
          <w:szCs w:val="20"/>
          <w:lang w:val="en-US"/>
        </w:rPr>
        <w:t>“</w:t>
      </w:r>
      <w:r w:rsidRPr="0049104B">
        <w:rPr>
          <w:rFonts w:asciiTheme="minorHAnsi" w:hAnsiTheme="minorHAnsi" w:cstheme="minorHAnsi"/>
          <w:sz w:val="20"/>
          <w:szCs w:val="20"/>
        </w:rPr>
        <w:t xml:space="preserve">I feel that the Arab people recognise themselves in you, and that they have discovered their determination... I say to you: My brother 1\1uam- mer el-Gadafi is the representative of Arab nationalism, of the Arab revolu- tion, and of Arab unity. My dear brothers, may God watch over you for the well-being of the Arab people. May you go from victory to </w:t>
      </w:r>
      <w:r w:rsidRPr="0049104B">
        <w:rPr>
          <w:sz w:val="20"/>
          <w:szCs w:val="20"/>
        </w:rPr>
        <w:t>victory,</w:t>
      </w:r>
      <w:r w:rsidRPr="002C3032">
        <w:rPr>
          <w:sz w:val="22"/>
          <w:szCs w:val="22"/>
        </w:rPr>
        <w:t xml:space="preserve"> </w:t>
      </w:r>
      <w:r w:rsidRPr="0049104B">
        <w:rPr>
          <w:rFonts w:asciiTheme="minorHAnsi" w:hAnsiTheme="minorHAnsi" w:cstheme="minorHAnsi"/>
          <w:sz w:val="20"/>
          <w:szCs w:val="20"/>
        </w:rPr>
        <w:t>for your victories will be the victory of the whole Arab people</w:t>
      </w:r>
      <w:r w:rsidRPr="0049104B">
        <w:rPr>
          <w:rFonts w:asciiTheme="minorHAnsi" w:hAnsiTheme="minorHAnsi" w:cstheme="minorHAnsi"/>
          <w:sz w:val="20"/>
          <w:szCs w:val="20"/>
          <w:lang w:val="en-US"/>
        </w:rPr>
        <w:t xml:space="preserve">”. </w:t>
      </w:r>
      <w:r w:rsidRPr="0049104B">
        <w:rPr>
          <w:rFonts w:asciiTheme="minorHAnsi" w:hAnsiTheme="minorHAnsi" w:cstheme="minorHAnsi"/>
          <w:sz w:val="20"/>
          <w:szCs w:val="20"/>
          <w:lang w:val="es-ES"/>
        </w:rPr>
        <w:t>“</w:t>
      </w:r>
      <w:proofErr w:type="spellStart"/>
      <w:r w:rsidRPr="0049104B">
        <w:rPr>
          <w:rFonts w:asciiTheme="minorHAnsi" w:hAnsiTheme="minorHAnsi" w:cstheme="minorHAnsi"/>
          <w:sz w:val="20"/>
          <w:szCs w:val="20"/>
          <w:lang w:val="es-ES"/>
        </w:rPr>
        <w:t>The</w:t>
      </w:r>
      <w:proofErr w:type="spellEnd"/>
      <w:r w:rsidRPr="0049104B">
        <w:rPr>
          <w:rFonts w:asciiTheme="minorHAnsi" w:hAnsiTheme="minorHAnsi" w:cstheme="minorHAnsi"/>
          <w:sz w:val="20"/>
          <w:szCs w:val="20"/>
          <w:lang w:val="es-ES"/>
        </w:rPr>
        <w:t xml:space="preserve"> faces </w:t>
      </w:r>
      <w:proofErr w:type="spellStart"/>
      <w:r w:rsidRPr="0049104B">
        <w:rPr>
          <w:rFonts w:asciiTheme="minorHAnsi" w:hAnsiTheme="minorHAnsi" w:cstheme="minorHAnsi"/>
          <w:sz w:val="20"/>
          <w:szCs w:val="20"/>
          <w:lang w:val="es-ES"/>
        </w:rPr>
        <w:t>of</w:t>
      </w:r>
      <w:proofErr w:type="spellEnd"/>
      <w:r w:rsidRPr="0049104B">
        <w:rPr>
          <w:rFonts w:asciiTheme="minorHAnsi" w:hAnsiTheme="minorHAnsi" w:cstheme="minorHAnsi"/>
          <w:sz w:val="20"/>
          <w:szCs w:val="20"/>
          <w:lang w:val="es-ES"/>
        </w:rPr>
        <w:t xml:space="preserve"> </w:t>
      </w:r>
      <w:proofErr w:type="spellStart"/>
      <w:r w:rsidR="003C1415" w:rsidRPr="0049104B">
        <w:rPr>
          <w:rFonts w:asciiTheme="minorHAnsi" w:hAnsiTheme="minorHAnsi" w:cstheme="minorHAnsi"/>
          <w:sz w:val="20"/>
          <w:szCs w:val="20"/>
          <w:lang w:val="es-ES"/>
        </w:rPr>
        <w:t>Gaddafi</w:t>
      </w:r>
      <w:proofErr w:type="spellEnd"/>
      <w:r w:rsidR="003C1415" w:rsidRPr="0049104B">
        <w:rPr>
          <w:rFonts w:asciiTheme="minorHAnsi" w:hAnsiTheme="minorHAnsi" w:cstheme="minorHAnsi"/>
          <w:sz w:val="20"/>
          <w:szCs w:val="20"/>
          <w:lang w:val="es-ES"/>
        </w:rPr>
        <w:t xml:space="preserve">”. </w:t>
      </w:r>
      <w:r w:rsidRPr="0049104B">
        <w:rPr>
          <w:rFonts w:asciiTheme="minorHAnsi" w:hAnsiTheme="minorHAnsi" w:cstheme="minorHAnsi"/>
          <w:sz w:val="20"/>
          <w:szCs w:val="20"/>
        </w:rPr>
        <w:t>Africa Insight. Vol 10. No 2. 198</w:t>
      </w:r>
      <w:r w:rsidRPr="0049104B">
        <w:rPr>
          <w:rFonts w:asciiTheme="minorHAnsi" w:hAnsiTheme="minorHAnsi" w:cstheme="minorHAnsi"/>
          <w:sz w:val="20"/>
          <w:szCs w:val="20"/>
          <w:lang w:val="es-ES"/>
        </w:rPr>
        <w:t>, p. 88.</w:t>
      </w:r>
    </w:p>
  </w:footnote>
  <w:footnote w:id="10">
    <w:p w14:paraId="2DEBD0DD" w14:textId="2CE2DE9F" w:rsidR="0093770D" w:rsidRPr="0093770D" w:rsidRDefault="0093770D">
      <w:pPr>
        <w:pStyle w:val="Textonotapie"/>
        <w:rPr>
          <w:lang w:val="es-ES"/>
        </w:rPr>
      </w:pPr>
      <w:r>
        <w:rPr>
          <w:rStyle w:val="Refdenotaalpie"/>
        </w:rPr>
        <w:footnoteRef/>
      </w:r>
      <w:r>
        <w:t xml:space="preserve"> </w:t>
      </w:r>
      <w:r>
        <w:rPr>
          <w:lang w:val="es-ES"/>
        </w:rPr>
        <w:t>“Tratado de El Cairo”. Anuario de Relaciones Internacionales 1995. Instituto de Relaciones Internacionales (IRI), Universidad Nacional de La Plata (UNLP)</w:t>
      </w:r>
      <w:r w:rsidR="009C45D0">
        <w:rPr>
          <w:lang w:val="es-ES"/>
        </w:rPr>
        <w:t xml:space="preserve">. </w:t>
      </w:r>
      <w:r w:rsidR="009C45D0" w:rsidRPr="008E4277">
        <w:rPr>
          <w:lang w:val="es-ES"/>
        </w:rPr>
        <w:t>http://sedici.unlp.edu.ar/handle/10915/48049</w:t>
      </w:r>
    </w:p>
  </w:footnote>
  <w:footnote w:id="11">
    <w:p w14:paraId="6E158278" w14:textId="040B7649" w:rsidR="00D5165B" w:rsidRPr="00D5165B" w:rsidRDefault="00D5165B">
      <w:pPr>
        <w:pStyle w:val="Textonotapie"/>
        <w:rPr>
          <w:lang w:val="es-ES"/>
        </w:rPr>
      </w:pPr>
      <w:r>
        <w:rPr>
          <w:rStyle w:val="Refdenotaalpie"/>
        </w:rPr>
        <w:footnoteRef/>
      </w:r>
      <w:r>
        <w:t xml:space="preserve"> </w:t>
      </w:r>
      <w:r>
        <w:rPr>
          <w:lang w:val="es-ES"/>
        </w:rPr>
        <w:t>Los palestinos refugiados en Libia habían llegado a este territorio como resultado de dos procesos de desplazamiento: el éxodo que se produjo en 1948 tras la creación del Estado de Israel y el que fue consecuencia de la guerra árabe-israelí de 1967.</w:t>
      </w:r>
    </w:p>
  </w:footnote>
  <w:footnote w:id="12">
    <w:p w14:paraId="2FCBB43E" w14:textId="1D8538AD" w:rsidR="004D47CF" w:rsidRPr="004D47CF" w:rsidRDefault="004D47CF" w:rsidP="003D665F">
      <w:pPr>
        <w:pStyle w:val="Textonotapie"/>
        <w:jc w:val="both"/>
        <w:rPr>
          <w:lang w:val="es-ES"/>
        </w:rPr>
      </w:pPr>
      <w:r>
        <w:rPr>
          <w:rStyle w:val="Refdenotaalpie"/>
        </w:rPr>
        <w:footnoteRef/>
      </w:r>
      <w:r>
        <w:rPr>
          <w:lang w:val="es-ES"/>
        </w:rPr>
        <w:t xml:space="preserve"> </w:t>
      </w:r>
      <w:proofErr w:type="gramStart"/>
      <w:r>
        <w:rPr>
          <w:lang w:val="es-ES"/>
        </w:rPr>
        <w:t>“</w:t>
      </w:r>
      <w:r>
        <w:t xml:space="preserve"> </w:t>
      </w:r>
      <w:r w:rsidRPr="004D47CF">
        <w:t>Ambrogio</w:t>
      </w:r>
      <w:proofErr w:type="gramEnd"/>
      <w:r w:rsidRPr="004D47CF">
        <w:t xml:space="preserve"> Viviani, general de 57 años que dirigió el contraespionaje militar de Italia entre 1970 y 1974, y que quedó posteriormente marginado tras comprobarse su pertenencia a la logia masónica Propaganda 2 (P-2), ha acusado al Gobierno de su país de haber apoyado activamente al régimen del coronel libio Muamutar el Gaddafi. Concretamente, Viviani afirma que cuando él se hizo cargo del contraespionaje militar la orden que recibió del Gobierno, presidido entonces por el democristiano Giulio Andreotti, actual ministro de Asuntos Exteriores, fue que había que "salvar los intereses de Italia en Libia e impedir que el Ente Nacional de Hidrocarburos (ENI) fuese postergado en las actividades petroleras de aquel país".</w:t>
      </w:r>
      <w:r>
        <w:rPr>
          <w:lang w:val="es-ES"/>
        </w:rPr>
        <w:t xml:space="preserve"> El País, 11 de mayo de 1986,</w:t>
      </w:r>
      <w:r w:rsidR="003D665F">
        <w:rPr>
          <w:lang w:val="es-ES"/>
        </w:rPr>
        <w:t xml:space="preserve"> </w:t>
      </w:r>
      <w:r w:rsidRPr="004D47CF">
        <w:rPr>
          <w:lang w:val="es-ES"/>
        </w:rPr>
        <w:t>https://elpais.com/diario/1986/05/12/internacional/516232812_850215.html</w:t>
      </w:r>
      <w:r>
        <w:rPr>
          <w:lang w:val="es-ES"/>
        </w:rPr>
        <w:t>.</w:t>
      </w:r>
    </w:p>
    <w:p w14:paraId="34CE7110" w14:textId="77777777" w:rsidR="004D47CF" w:rsidRPr="004D47CF" w:rsidRDefault="004D47CF" w:rsidP="003D665F">
      <w:pPr>
        <w:pStyle w:val="Textonotapie"/>
        <w:jc w:val="both"/>
      </w:pPr>
    </w:p>
    <w:p w14:paraId="58760B55" w14:textId="6ED431AD" w:rsidR="004D47CF" w:rsidRPr="004D47CF" w:rsidRDefault="004D47CF" w:rsidP="003D665F">
      <w:pPr>
        <w:pStyle w:val="Textonotapie"/>
        <w:jc w:val="both"/>
      </w:pPr>
    </w:p>
  </w:footnote>
  <w:footnote w:id="13">
    <w:p w14:paraId="17132A70" w14:textId="0092EAE2" w:rsidR="00BD3BBE" w:rsidRPr="00BD3BBE" w:rsidRDefault="00BD3BBE">
      <w:pPr>
        <w:pStyle w:val="Textonotapie"/>
        <w:rPr>
          <w:i/>
          <w:iCs/>
          <w:lang w:val="es-ES"/>
        </w:rPr>
      </w:pPr>
      <w:r>
        <w:rPr>
          <w:rStyle w:val="Refdenotaalpie"/>
        </w:rPr>
        <w:footnoteRef/>
      </w:r>
      <w:r>
        <w:t xml:space="preserve"> </w:t>
      </w:r>
      <w:proofErr w:type="spellStart"/>
      <w:r>
        <w:rPr>
          <w:i/>
          <w:iCs/>
          <w:lang w:val="es-ES"/>
        </w:rPr>
        <w:t>Comunicato</w:t>
      </w:r>
      <w:proofErr w:type="spellEnd"/>
      <w:r>
        <w:rPr>
          <w:i/>
          <w:iCs/>
          <w:lang w:val="es-ES"/>
        </w:rPr>
        <w:t xml:space="preserve"> </w:t>
      </w:r>
      <w:proofErr w:type="spellStart"/>
      <w:r>
        <w:rPr>
          <w:i/>
          <w:iCs/>
          <w:lang w:val="es-ES"/>
        </w:rPr>
        <w:t>Congiunto</w:t>
      </w:r>
      <w:proofErr w:type="spellEnd"/>
      <w:r w:rsidR="004D3A56">
        <w:rPr>
          <w:i/>
          <w:iCs/>
          <w:lang w:val="es-ES"/>
        </w:rPr>
        <w:t xml:space="preserve"> (Roma, 4 </w:t>
      </w:r>
      <w:proofErr w:type="spellStart"/>
      <w:r w:rsidR="004D3A56">
        <w:rPr>
          <w:i/>
          <w:iCs/>
          <w:lang w:val="es-ES"/>
        </w:rPr>
        <w:t>luglio</w:t>
      </w:r>
      <w:proofErr w:type="spellEnd"/>
      <w:r w:rsidR="004D3A56">
        <w:rPr>
          <w:i/>
          <w:iCs/>
          <w:lang w:val="es-ES"/>
        </w:rPr>
        <w:t xml:space="preserve"> 1998). </w:t>
      </w:r>
      <w:proofErr w:type="spellStart"/>
      <w:r w:rsidR="004D3A56">
        <w:rPr>
          <w:i/>
          <w:iCs/>
          <w:lang w:val="es-ES"/>
        </w:rPr>
        <w:t>Accordi</w:t>
      </w:r>
      <w:proofErr w:type="spellEnd"/>
      <w:r w:rsidR="004D3A56">
        <w:rPr>
          <w:i/>
          <w:iCs/>
          <w:lang w:val="es-ES"/>
        </w:rPr>
        <w:t xml:space="preserve"> e </w:t>
      </w:r>
      <w:proofErr w:type="spellStart"/>
      <w:r w:rsidR="004D3A56">
        <w:rPr>
          <w:i/>
          <w:iCs/>
          <w:lang w:val="es-ES"/>
        </w:rPr>
        <w:t>Trattati</w:t>
      </w:r>
      <w:proofErr w:type="spellEnd"/>
      <w:r w:rsidR="004D3A56">
        <w:rPr>
          <w:i/>
          <w:iCs/>
          <w:lang w:val="es-ES"/>
        </w:rPr>
        <w:t xml:space="preserve">. Biblioteca </w:t>
      </w:r>
      <w:proofErr w:type="spellStart"/>
      <w:r w:rsidR="004D3A56">
        <w:rPr>
          <w:i/>
          <w:iCs/>
          <w:lang w:val="es-ES"/>
        </w:rPr>
        <w:t>della</w:t>
      </w:r>
      <w:proofErr w:type="spellEnd"/>
      <w:r w:rsidR="004D3A56">
        <w:rPr>
          <w:i/>
          <w:iCs/>
          <w:lang w:val="es-ES"/>
        </w:rPr>
        <w:t xml:space="preserve"> </w:t>
      </w:r>
      <w:proofErr w:type="spellStart"/>
      <w:r w:rsidR="004D3A56">
        <w:rPr>
          <w:i/>
          <w:iCs/>
          <w:lang w:val="es-ES"/>
        </w:rPr>
        <w:t>Associazione</w:t>
      </w:r>
      <w:proofErr w:type="spellEnd"/>
      <w:r w:rsidR="004D3A56">
        <w:rPr>
          <w:i/>
          <w:iCs/>
          <w:lang w:val="es-ES"/>
        </w:rPr>
        <w:t xml:space="preserve"> </w:t>
      </w:r>
      <w:proofErr w:type="spellStart"/>
      <w:r w:rsidR="004D3A56">
        <w:rPr>
          <w:i/>
          <w:iCs/>
          <w:lang w:val="es-ES"/>
        </w:rPr>
        <w:t>Rimpatriati</w:t>
      </w:r>
      <w:proofErr w:type="spellEnd"/>
      <w:r w:rsidR="004D3A56">
        <w:rPr>
          <w:i/>
          <w:iCs/>
          <w:lang w:val="es-ES"/>
        </w:rPr>
        <w:t xml:space="preserve"> dalla </w:t>
      </w:r>
      <w:proofErr w:type="gramStart"/>
      <w:r w:rsidR="004D3A56">
        <w:rPr>
          <w:i/>
          <w:iCs/>
          <w:lang w:val="es-ES"/>
        </w:rPr>
        <w:t>Libia</w:t>
      </w:r>
      <w:proofErr w:type="gramEnd"/>
      <w:r w:rsidR="004D3A56">
        <w:rPr>
          <w:i/>
          <w:iCs/>
          <w:lang w:val="es-ES"/>
        </w:rPr>
        <w:t xml:space="preserve"> ONLUS, Roma.</w:t>
      </w:r>
    </w:p>
  </w:footnote>
  <w:footnote w:id="14">
    <w:p w14:paraId="693DD897" w14:textId="77777777" w:rsidR="00C74FAA" w:rsidRPr="0001777F" w:rsidRDefault="00C74FAA" w:rsidP="00C74FAA">
      <w:pPr>
        <w:pStyle w:val="Textonotapie"/>
        <w:rPr>
          <w:lang w:val="es-ES"/>
        </w:rPr>
      </w:pPr>
      <w:r>
        <w:rPr>
          <w:rStyle w:val="Refdenotaalpie"/>
        </w:rPr>
        <w:footnoteRef/>
      </w:r>
      <w:r>
        <w:t xml:space="preserve"> </w:t>
      </w:r>
      <w:proofErr w:type="spellStart"/>
      <w:r w:rsidRPr="0001777F">
        <w:rPr>
          <w:i/>
          <w:iCs/>
          <w:lang w:val="es-ES"/>
        </w:rPr>
        <w:t>Gazzetta</w:t>
      </w:r>
      <w:proofErr w:type="spellEnd"/>
      <w:r w:rsidRPr="0001777F">
        <w:rPr>
          <w:i/>
          <w:iCs/>
          <w:lang w:val="es-ES"/>
        </w:rPr>
        <w:t xml:space="preserve"> </w:t>
      </w:r>
      <w:proofErr w:type="spellStart"/>
      <w:r w:rsidRPr="0001777F">
        <w:rPr>
          <w:i/>
          <w:iCs/>
          <w:lang w:val="es-ES"/>
        </w:rPr>
        <w:t>Ufficiale</w:t>
      </w:r>
      <w:proofErr w:type="spellEnd"/>
      <w:r>
        <w:rPr>
          <w:lang w:val="es-ES"/>
        </w:rPr>
        <w:t xml:space="preserve">, </w:t>
      </w:r>
      <w:proofErr w:type="spellStart"/>
      <w:r>
        <w:rPr>
          <w:i/>
          <w:iCs/>
          <w:lang w:val="es-ES"/>
        </w:rPr>
        <w:t>Supplemento</w:t>
      </w:r>
      <w:proofErr w:type="spellEnd"/>
      <w:r>
        <w:rPr>
          <w:i/>
          <w:iCs/>
          <w:lang w:val="es-ES"/>
        </w:rPr>
        <w:t xml:space="preserve"> Ordinario, Serie Generale, </w:t>
      </w:r>
      <w:proofErr w:type="spellStart"/>
      <w:r>
        <w:rPr>
          <w:lang w:val="es-ES"/>
        </w:rPr>
        <w:t>Nº</w:t>
      </w:r>
      <w:proofErr w:type="spellEnd"/>
      <w:r>
        <w:rPr>
          <w:lang w:val="es-ES"/>
        </w:rPr>
        <w:t xml:space="preserve"> 111, 15-03-2003, pp. 55-64.</w:t>
      </w:r>
    </w:p>
  </w:footnote>
  <w:footnote w:id="15">
    <w:p w14:paraId="7A749130" w14:textId="77777777" w:rsidR="000474D9" w:rsidRPr="00F37109" w:rsidRDefault="000474D9" w:rsidP="000474D9">
      <w:pPr>
        <w:pStyle w:val="Textonotapie"/>
        <w:rPr>
          <w:lang w:val="es-ES"/>
        </w:rPr>
      </w:pPr>
      <w:r>
        <w:rPr>
          <w:rStyle w:val="Refdenotaalpie"/>
        </w:rPr>
        <w:footnoteRef/>
      </w:r>
      <w:r>
        <w:t xml:space="preserve"> </w:t>
      </w:r>
      <w:proofErr w:type="spellStart"/>
      <w:r>
        <w:rPr>
          <w:lang w:val="es-ES"/>
        </w:rPr>
        <w:t>Gazzetta</w:t>
      </w:r>
      <w:proofErr w:type="spellEnd"/>
      <w:r>
        <w:rPr>
          <w:lang w:val="es-ES"/>
        </w:rPr>
        <w:t xml:space="preserve"> </w:t>
      </w:r>
      <w:proofErr w:type="spellStart"/>
      <w:r>
        <w:rPr>
          <w:lang w:val="es-ES"/>
        </w:rPr>
        <w:t>Ufficiale</w:t>
      </w:r>
      <w:proofErr w:type="spellEnd"/>
      <w:r>
        <w:rPr>
          <w:lang w:val="es-ES"/>
        </w:rPr>
        <w:t xml:space="preserve"> </w:t>
      </w:r>
      <w:proofErr w:type="spellStart"/>
      <w:r>
        <w:rPr>
          <w:lang w:val="es-ES"/>
        </w:rPr>
        <w:t>della</w:t>
      </w:r>
      <w:proofErr w:type="spellEnd"/>
      <w:r>
        <w:rPr>
          <w:lang w:val="es-ES"/>
        </w:rPr>
        <w:t xml:space="preserve"> </w:t>
      </w:r>
      <w:proofErr w:type="spellStart"/>
      <w:r>
        <w:rPr>
          <w:lang w:val="es-ES"/>
        </w:rPr>
        <w:t>Repubblica</w:t>
      </w:r>
      <w:proofErr w:type="spellEnd"/>
      <w:r>
        <w:rPr>
          <w:lang w:val="es-ES"/>
        </w:rPr>
        <w:t xml:space="preserve"> </w:t>
      </w:r>
      <w:proofErr w:type="gramStart"/>
      <w:r>
        <w:rPr>
          <w:lang w:val="es-ES"/>
        </w:rPr>
        <w:t>Italiana</w:t>
      </w:r>
      <w:proofErr w:type="gramEnd"/>
      <w:r>
        <w:rPr>
          <w:lang w:val="es-ES"/>
        </w:rPr>
        <w:t xml:space="preserve">, </w:t>
      </w:r>
      <w:proofErr w:type="spellStart"/>
      <w:r>
        <w:rPr>
          <w:lang w:val="es-ES"/>
        </w:rPr>
        <w:t>Trattato</w:t>
      </w:r>
      <w:proofErr w:type="spellEnd"/>
      <w:r>
        <w:rPr>
          <w:lang w:val="es-ES"/>
        </w:rPr>
        <w:t xml:space="preserve"> di </w:t>
      </w:r>
      <w:proofErr w:type="spellStart"/>
      <w:r>
        <w:rPr>
          <w:lang w:val="es-ES"/>
        </w:rPr>
        <w:t>Amicizia</w:t>
      </w:r>
      <w:proofErr w:type="spellEnd"/>
      <w:r>
        <w:rPr>
          <w:lang w:val="es-ES"/>
        </w:rPr>
        <w:t xml:space="preserve">, </w:t>
      </w:r>
      <w:proofErr w:type="spellStart"/>
      <w:r>
        <w:rPr>
          <w:lang w:val="es-ES"/>
        </w:rPr>
        <w:t>Partenariato</w:t>
      </w:r>
      <w:proofErr w:type="spellEnd"/>
      <w:r>
        <w:rPr>
          <w:lang w:val="es-ES"/>
        </w:rPr>
        <w:t xml:space="preserve"> e </w:t>
      </w:r>
      <w:proofErr w:type="spellStart"/>
      <w:r>
        <w:rPr>
          <w:lang w:val="es-ES"/>
        </w:rPr>
        <w:t>Cooperazione</w:t>
      </w:r>
      <w:proofErr w:type="spellEnd"/>
      <w:r>
        <w:rPr>
          <w:lang w:val="es-ES"/>
        </w:rPr>
        <w:t xml:space="preserve"> </w:t>
      </w:r>
      <w:proofErr w:type="spellStart"/>
      <w:r>
        <w:rPr>
          <w:lang w:val="es-ES"/>
        </w:rPr>
        <w:t>tra</w:t>
      </w:r>
      <w:proofErr w:type="spellEnd"/>
      <w:r>
        <w:rPr>
          <w:lang w:val="es-ES"/>
        </w:rPr>
        <w:t xml:space="preserve"> la </w:t>
      </w:r>
      <w:proofErr w:type="spellStart"/>
      <w:r>
        <w:rPr>
          <w:lang w:val="es-ES"/>
        </w:rPr>
        <w:t>Repubblica</w:t>
      </w:r>
      <w:proofErr w:type="spellEnd"/>
      <w:r>
        <w:rPr>
          <w:lang w:val="es-ES"/>
        </w:rPr>
        <w:t xml:space="preserve"> Italiana e la Grande </w:t>
      </w:r>
      <w:proofErr w:type="spellStart"/>
      <w:r>
        <w:rPr>
          <w:lang w:val="es-ES"/>
        </w:rPr>
        <w:t>Giamahiria</w:t>
      </w:r>
      <w:proofErr w:type="spellEnd"/>
      <w:r>
        <w:rPr>
          <w:lang w:val="es-ES"/>
        </w:rPr>
        <w:t xml:space="preserve"> Araba </w:t>
      </w:r>
      <w:proofErr w:type="spellStart"/>
      <w:r>
        <w:rPr>
          <w:lang w:val="es-ES"/>
        </w:rPr>
        <w:t>Libica</w:t>
      </w:r>
      <w:proofErr w:type="spellEnd"/>
      <w:r>
        <w:rPr>
          <w:lang w:val="es-ES"/>
        </w:rPr>
        <w:t xml:space="preserve"> </w:t>
      </w:r>
      <w:proofErr w:type="spellStart"/>
      <w:r>
        <w:rPr>
          <w:lang w:val="es-ES"/>
        </w:rPr>
        <w:t>Popolare</w:t>
      </w:r>
      <w:proofErr w:type="spellEnd"/>
      <w:r>
        <w:rPr>
          <w:lang w:val="es-ES"/>
        </w:rPr>
        <w:t xml:space="preserve"> Socialista, Serie General </w:t>
      </w:r>
      <w:proofErr w:type="spellStart"/>
      <w:r>
        <w:rPr>
          <w:lang w:val="es-ES"/>
        </w:rPr>
        <w:t>Nº</w:t>
      </w:r>
      <w:proofErr w:type="spellEnd"/>
      <w:r>
        <w:rPr>
          <w:lang w:val="es-ES"/>
        </w:rPr>
        <w:t xml:space="preserve"> 40, 18-02-2009, p. 5.</w:t>
      </w:r>
    </w:p>
  </w:footnote>
  <w:footnote w:id="16">
    <w:p w14:paraId="120AC3CA" w14:textId="6231AE12" w:rsidR="00B505CD" w:rsidRPr="00B505CD" w:rsidRDefault="00B505CD">
      <w:pPr>
        <w:pStyle w:val="Textonotapie"/>
        <w:rPr>
          <w:lang w:val="es-ES"/>
        </w:rPr>
      </w:pPr>
      <w:r>
        <w:rPr>
          <w:rStyle w:val="Refdenotaalpie"/>
        </w:rPr>
        <w:footnoteRef/>
      </w:r>
      <w:r>
        <w:t xml:space="preserve"> </w:t>
      </w:r>
      <w:proofErr w:type="spellStart"/>
      <w:r>
        <w:rPr>
          <w:lang w:val="es-ES"/>
        </w:rPr>
        <w:t>Idem</w:t>
      </w:r>
      <w:proofErr w:type="spellEnd"/>
      <w:r>
        <w:rPr>
          <w:lang w:val="es-ES"/>
        </w:rPr>
        <w:t>, p. 7.</w:t>
      </w:r>
    </w:p>
  </w:footnote>
  <w:footnote w:id="17">
    <w:p w14:paraId="350123F4" w14:textId="3F688D1D" w:rsidR="00B505CD" w:rsidRPr="00B505CD" w:rsidRDefault="00B505CD">
      <w:pPr>
        <w:pStyle w:val="Textonotapie"/>
        <w:rPr>
          <w:lang w:val="es-ES"/>
        </w:rPr>
      </w:pPr>
      <w:r>
        <w:rPr>
          <w:rStyle w:val="Refdenotaalpie"/>
        </w:rPr>
        <w:footnoteRef/>
      </w:r>
      <w:r>
        <w:t xml:space="preserve"> </w:t>
      </w:r>
      <w:r>
        <w:rPr>
          <w:lang w:val="es-ES"/>
        </w:rPr>
        <w:t>Ibidem, p. 12.</w:t>
      </w:r>
    </w:p>
  </w:footnote>
  <w:footnote w:id="18">
    <w:p w14:paraId="1F288AEE" w14:textId="21012104" w:rsidR="0062299C" w:rsidRPr="0062299C" w:rsidRDefault="0062299C">
      <w:pPr>
        <w:pStyle w:val="Textonotapie"/>
        <w:rPr>
          <w:lang w:val="es-ES"/>
        </w:rPr>
      </w:pPr>
      <w:r>
        <w:rPr>
          <w:rStyle w:val="Refdenotaalpie"/>
        </w:rPr>
        <w:footnoteRef/>
      </w:r>
      <w:r>
        <w:t xml:space="preserve"> </w:t>
      </w:r>
      <w:proofErr w:type="spellStart"/>
      <w:r>
        <w:rPr>
          <w:lang w:val="es-ES"/>
        </w:rPr>
        <w:t>Ministero</w:t>
      </w:r>
      <w:proofErr w:type="spellEnd"/>
      <w:r w:rsidR="00981284">
        <w:rPr>
          <w:lang w:val="es-ES"/>
        </w:rPr>
        <w:t xml:space="preserve"> </w:t>
      </w:r>
      <w:proofErr w:type="spellStart"/>
      <w:r w:rsidR="00981284">
        <w:rPr>
          <w:lang w:val="es-ES"/>
        </w:rPr>
        <w:t>dell’Interno</w:t>
      </w:r>
      <w:proofErr w:type="spellEnd"/>
      <w:r w:rsidR="00981284">
        <w:rPr>
          <w:lang w:val="es-ES"/>
        </w:rPr>
        <w:t xml:space="preserve">- </w:t>
      </w:r>
      <w:proofErr w:type="spellStart"/>
      <w:r w:rsidR="00981284">
        <w:rPr>
          <w:lang w:val="es-ES"/>
        </w:rPr>
        <w:t>Statistiche</w:t>
      </w:r>
      <w:proofErr w:type="spellEnd"/>
      <w:r w:rsidR="00981284">
        <w:rPr>
          <w:lang w:val="es-ES"/>
        </w:rPr>
        <w:t xml:space="preserve"> e </w:t>
      </w:r>
      <w:proofErr w:type="spellStart"/>
      <w:r w:rsidR="00981284">
        <w:rPr>
          <w:lang w:val="es-ES"/>
        </w:rPr>
        <w:t>Dati</w:t>
      </w:r>
      <w:proofErr w:type="spellEnd"/>
      <w:r w:rsidR="00981284">
        <w:rPr>
          <w:lang w:val="es-ES"/>
        </w:rPr>
        <w:t xml:space="preserve"> – 14 </w:t>
      </w:r>
      <w:proofErr w:type="gramStart"/>
      <w:r w:rsidR="00981284">
        <w:rPr>
          <w:lang w:val="es-ES"/>
        </w:rPr>
        <w:t>Agosto</w:t>
      </w:r>
      <w:proofErr w:type="gramEnd"/>
      <w:r w:rsidR="00981284">
        <w:rPr>
          <w:lang w:val="es-ES"/>
        </w:rPr>
        <w:t xml:space="preserve"> 2014 – A cura del </w:t>
      </w:r>
      <w:proofErr w:type="spellStart"/>
      <w:r w:rsidR="00981284">
        <w:rPr>
          <w:lang w:val="es-ES"/>
        </w:rPr>
        <w:t>dipartimento</w:t>
      </w:r>
      <w:proofErr w:type="spellEnd"/>
      <w:r w:rsidR="00981284">
        <w:rPr>
          <w:lang w:val="es-ES"/>
        </w:rPr>
        <w:t xml:space="preserve"> </w:t>
      </w:r>
      <w:proofErr w:type="spellStart"/>
      <w:r w:rsidR="00981284">
        <w:rPr>
          <w:lang w:val="es-ES"/>
        </w:rPr>
        <w:t>della</w:t>
      </w:r>
      <w:proofErr w:type="spellEnd"/>
      <w:r w:rsidR="00981284">
        <w:rPr>
          <w:lang w:val="es-ES"/>
        </w:rPr>
        <w:t xml:space="preserve"> </w:t>
      </w:r>
      <w:proofErr w:type="spellStart"/>
      <w:r w:rsidR="00981284">
        <w:rPr>
          <w:lang w:val="es-ES"/>
        </w:rPr>
        <w:t>Pubblica</w:t>
      </w:r>
      <w:proofErr w:type="spellEnd"/>
      <w:r w:rsidR="00981284">
        <w:rPr>
          <w:lang w:val="es-ES"/>
        </w:rPr>
        <w:t xml:space="preserve"> </w:t>
      </w:r>
      <w:proofErr w:type="spellStart"/>
      <w:r w:rsidR="00981284">
        <w:rPr>
          <w:lang w:val="es-ES"/>
        </w:rPr>
        <w:t>Sicurezza</w:t>
      </w:r>
      <w:proofErr w:type="spellEnd"/>
      <w:r w:rsidR="00981284">
        <w:rPr>
          <w:lang w:val="es-ES"/>
        </w:rPr>
        <w:t xml:space="preserve">. </w:t>
      </w:r>
      <w:proofErr w:type="spellStart"/>
      <w:r w:rsidR="00981284">
        <w:rPr>
          <w:lang w:val="es-ES"/>
        </w:rPr>
        <w:t>Migranti</w:t>
      </w:r>
      <w:proofErr w:type="spellEnd"/>
      <w:r w:rsidR="00981284">
        <w:rPr>
          <w:lang w:val="es-ES"/>
        </w:rPr>
        <w:t xml:space="preserve"> </w:t>
      </w:r>
      <w:proofErr w:type="spellStart"/>
      <w:r w:rsidR="00981284">
        <w:rPr>
          <w:lang w:val="es-ES"/>
        </w:rPr>
        <w:t>sbarcati</w:t>
      </w:r>
      <w:proofErr w:type="spellEnd"/>
      <w:r w:rsidR="00981284">
        <w:rPr>
          <w:lang w:val="es-ES"/>
        </w:rPr>
        <w:t xml:space="preserve"> </w:t>
      </w:r>
      <w:proofErr w:type="spellStart"/>
      <w:r w:rsidR="00981284">
        <w:rPr>
          <w:lang w:val="es-ES"/>
        </w:rPr>
        <w:t>sulle</w:t>
      </w:r>
      <w:proofErr w:type="spellEnd"/>
      <w:r w:rsidR="00981284">
        <w:rPr>
          <w:lang w:val="es-ES"/>
        </w:rPr>
        <w:t xml:space="preserve"> coste italiane </w:t>
      </w:r>
      <w:proofErr w:type="spellStart"/>
      <w:r w:rsidR="00981284">
        <w:rPr>
          <w:lang w:val="es-ES"/>
        </w:rPr>
        <w:t>dal</w:t>
      </w:r>
      <w:proofErr w:type="spellEnd"/>
      <w:r w:rsidR="00981284">
        <w:rPr>
          <w:lang w:val="es-ES"/>
        </w:rPr>
        <w:t xml:space="preserve"> 1 agosto 2013 al 31 </w:t>
      </w:r>
      <w:proofErr w:type="spellStart"/>
      <w:r w:rsidR="00981284">
        <w:rPr>
          <w:lang w:val="es-ES"/>
        </w:rPr>
        <w:t>luglio</w:t>
      </w:r>
      <w:proofErr w:type="spellEnd"/>
      <w:r w:rsidR="00981284">
        <w:rPr>
          <w:lang w:val="es-ES"/>
        </w:rPr>
        <w:t xml:space="preserve"> 2014. </w:t>
      </w:r>
      <w:proofErr w:type="spellStart"/>
      <w:r w:rsidR="00981284">
        <w:rPr>
          <w:lang w:val="es-ES"/>
        </w:rPr>
        <w:t>Dati</w:t>
      </w:r>
      <w:proofErr w:type="spellEnd"/>
      <w:r w:rsidR="00981284">
        <w:rPr>
          <w:lang w:val="es-ES"/>
        </w:rPr>
        <w:t xml:space="preserve"> </w:t>
      </w:r>
      <w:proofErr w:type="spellStart"/>
      <w:r w:rsidR="00981284">
        <w:rPr>
          <w:lang w:val="es-ES"/>
        </w:rPr>
        <w:t>sul</w:t>
      </w:r>
      <w:proofErr w:type="spellEnd"/>
      <w:r w:rsidR="00981284">
        <w:rPr>
          <w:lang w:val="es-ES"/>
        </w:rPr>
        <w:t xml:space="preserve"> “</w:t>
      </w:r>
      <w:proofErr w:type="spellStart"/>
      <w:r w:rsidR="00981284">
        <w:rPr>
          <w:lang w:val="es-ES"/>
        </w:rPr>
        <w:t>Fenomeno</w:t>
      </w:r>
      <w:proofErr w:type="spellEnd"/>
      <w:r w:rsidR="00981284">
        <w:rPr>
          <w:lang w:val="es-ES"/>
        </w:rPr>
        <w:t xml:space="preserve"> migratorio”.</w:t>
      </w:r>
    </w:p>
  </w:footnote>
  <w:footnote w:id="19">
    <w:p w14:paraId="14AFC89B" w14:textId="696C9DB4" w:rsidR="00806196" w:rsidRPr="00806196" w:rsidRDefault="00806196">
      <w:pPr>
        <w:pStyle w:val="Textonotapie"/>
        <w:rPr>
          <w:lang w:val="es-ES"/>
        </w:rPr>
      </w:pPr>
      <w:r>
        <w:rPr>
          <w:rStyle w:val="Refdenotaalpie"/>
        </w:rPr>
        <w:footnoteRef/>
      </w:r>
      <w:r>
        <w:t xml:space="preserve"> </w:t>
      </w:r>
      <w:proofErr w:type="spellStart"/>
      <w:r>
        <w:rPr>
          <w:lang w:val="es-ES"/>
        </w:rPr>
        <w:t>Fonti</w:t>
      </w:r>
      <w:proofErr w:type="spellEnd"/>
      <w:r>
        <w:rPr>
          <w:lang w:val="es-ES"/>
        </w:rPr>
        <w:t xml:space="preserve"> </w:t>
      </w:r>
      <w:proofErr w:type="spellStart"/>
      <w:r>
        <w:rPr>
          <w:lang w:val="es-ES"/>
        </w:rPr>
        <w:t>dell’Unione</w:t>
      </w:r>
      <w:proofErr w:type="spellEnd"/>
      <w:r>
        <w:rPr>
          <w:lang w:val="es-ES"/>
        </w:rPr>
        <w:t xml:space="preserve"> </w:t>
      </w:r>
      <w:proofErr w:type="gramStart"/>
      <w:r>
        <w:rPr>
          <w:lang w:val="es-ES"/>
        </w:rPr>
        <w:t>Europea</w:t>
      </w:r>
      <w:proofErr w:type="gramEnd"/>
      <w:r>
        <w:rPr>
          <w:lang w:val="es-ES"/>
        </w:rPr>
        <w:t xml:space="preserve"> e </w:t>
      </w:r>
      <w:proofErr w:type="spellStart"/>
      <w:r>
        <w:rPr>
          <w:lang w:val="es-ES"/>
        </w:rPr>
        <w:t>Internazionale</w:t>
      </w:r>
      <w:proofErr w:type="spellEnd"/>
      <w:r>
        <w:rPr>
          <w:lang w:val="es-ES"/>
        </w:rPr>
        <w:t xml:space="preserve">. </w:t>
      </w:r>
      <w:proofErr w:type="spellStart"/>
      <w:r>
        <w:rPr>
          <w:lang w:val="es-ES"/>
        </w:rPr>
        <w:t>Memorandum</w:t>
      </w:r>
      <w:proofErr w:type="spellEnd"/>
      <w:r>
        <w:rPr>
          <w:lang w:val="es-ES"/>
        </w:rPr>
        <w:t xml:space="preserve"> di </w:t>
      </w:r>
      <w:proofErr w:type="spellStart"/>
      <w:r>
        <w:rPr>
          <w:lang w:val="es-ES"/>
        </w:rPr>
        <w:t>intesa</w:t>
      </w:r>
      <w:proofErr w:type="spellEnd"/>
      <w:r>
        <w:rPr>
          <w:lang w:val="es-ES"/>
        </w:rPr>
        <w:t xml:space="preserve"> </w:t>
      </w:r>
      <w:proofErr w:type="spellStart"/>
      <w:r>
        <w:rPr>
          <w:lang w:val="es-ES"/>
        </w:rPr>
        <w:t>tra</w:t>
      </w:r>
      <w:proofErr w:type="spellEnd"/>
      <w:r>
        <w:rPr>
          <w:lang w:val="es-ES"/>
        </w:rPr>
        <w:t xml:space="preserve"> Italia e Libia </w:t>
      </w:r>
      <w:proofErr w:type="spellStart"/>
      <w:r>
        <w:rPr>
          <w:lang w:val="es-ES"/>
        </w:rPr>
        <w:t>firmato</w:t>
      </w:r>
      <w:proofErr w:type="spellEnd"/>
      <w:r>
        <w:rPr>
          <w:lang w:val="es-ES"/>
        </w:rPr>
        <w:t xml:space="preserve"> a roma </w:t>
      </w:r>
      <w:proofErr w:type="spellStart"/>
      <w:r>
        <w:rPr>
          <w:lang w:val="es-ES"/>
        </w:rPr>
        <w:t>il</w:t>
      </w:r>
      <w:proofErr w:type="spellEnd"/>
      <w:r>
        <w:rPr>
          <w:lang w:val="es-ES"/>
        </w:rPr>
        <w:t xml:space="preserve"> 2 </w:t>
      </w:r>
      <w:proofErr w:type="spellStart"/>
      <w:r>
        <w:rPr>
          <w:lang w:val="es-ES"/>
        </w:rPr>
        <w:t>febbrario</w:t>
      </w:r>
      <w:proofErr w:type="spellEnd"/>
      <w:r>
        <w:rPr>
          <w:lang w:val="es-ES"/>
        </w:rPr>
        <w:t xml:space="preserve"> 2017. </w:t>
      </w:r>
      <w:proofErr w:type="spellStart"/>
      <w:r>
        <w:rPr>
          <w:lang w:val="es-ES"/>
        </w:rPr>
        <w:t>Archivio</w:t>
      </w:r>
      <w:proofErr w:type="spellEnd"/>
      <w:r>
        <w:rPr>
          <w:lang w:val="es-ES"/>
        </w:rPr>
        <w:t xml:space="preserve"> </w:t>
      </w:r>
      <w:proofErr w:type="spellStart"/>
      <w:r>
        <w:rPr>
          <w:lang w:val="es-ES"/>
        </w:rPr>
        <w:t>Rubriche</w:t>
      </w:r>
      <w:proofErr w:type="spellEnd"/>
      <w:r>
        <w:rPr>
          <w:lang w:val="es-ES"/>
        </w:rPr>
        <w:t xml:space="preserve"> 2017.</w:t>
      </w:r>
    </w:p>
  </w:footnote>
  <w:footnote w:id="20">
    <w:p w14:paraId="7A1711F7" w14:textId="6F67DD8E" w:rsidR="00EF1170" w:rsidRPr="004E2A7A" w:rsidRDefault="00EF1170" w:rsidP="002D1613">
      <w:pPr>
        <w:pStyle w:val="Textonotapie"/>
        <w:jc w:val="both"/>
      </w:pPr>
      <w:r>
        <w:rPr>
          <w:rStyle w:val="Refdenotaalpie"/>
        </w:rPr>
        <w:footnoteRef/>
      </w:r>
      <w:r>
        <w:t xml:space="preserve"> </w:t>
      </w:r>
      <w:r w:rsidR="004E2A7A">
        <w:rPr>
          <w:lang w:val="es-ES"/>
        </w:rPr>
        <w:t xml:space="preserve">Distintas asociaciones, como </w:t>
      </w:r>
      <w:proofErr w:type="spellStart"/>
      <w:r w:rsidR="004E2A7A">
        <w:rPr>
          <w:lang w:val="es-ES"/>
        </w:rPr>
        <w:t>Amnesty</w:t>
      </w:r>
      <w:proofErr w:type="spellEnd"/>
      <w:r w:rsidR="004E2A7A">
        <w:rPr>
          <w:lang w:val="es-ES"/>
        </w:rPr>
        <w:t xml:space="preserve"> International y ASGI han iniciado campañas en las redes para impedir que el memorándum sea renovado nuevamente. (</w:t>
      </w:r>
      <w:proofErr w:type="spellStart"/>
      <w:r w:rsidRPr="002D1613">
        <w:rPr>
          <w:lang w:val="es-ES"/>
        </w:rPr>
        <w:t>Amnesty</w:t>
      </w:r>
      <w:proofErr w:type="spellEnd"/>
      <w:r w:rsidRPr="002D1613">
        <w:rPr>
          <w:lang w:val="es-ES"/>
        </w:rPr>
        <w:t xml:space="preserve"> Internation</w:t>
      </w:r>
      <w:r w:rsidR="002D1613" w:rsidRPr="002D1613">
        <w:rPr>
          <w:lang w:val="es-ES"/>
        </w:rPr>
        <w:t>al</w:t>
      </w:r>
      <w:r w:rsidRPr="002D1613">
        <w:rPr>
          <w:lang w:val="es-ES"/>
        </w:rPr>
        <w:t xml:space="preserve">. </w:t>
      </w:r>
      <w:r w:rsidRPr="00EF1170">
        <w:rPr>
          <w:lang w:val="es-ES"/>
        </w:rPr>
        <w:t xml:space="preserve">Italia-Libia: </w:t>
      </w:r>
      <w:r w:rsidR="002D1613">
        <w:rPr>
          <w:lang w:val="es-ES"/>
        </w:rPr>
        <w:t>“</w:t>
      </w:r>
      <w:proofErr w:type="spellStart"/>
      <w:r w:rsidRPr="00EF1170">
        <w:rPr>
          <w:lang w:val="es-ES"/>
        </w:rPr>
        <w:t>Cancellare</w:t>
      </w:r>
      <w:proofErr w:type="spellEnd"/>
      <w:r w:rsidRPr="00EF1170">
        <w:rPr>
          <w:lang w:val="es-ES"/>
        </w:rPr>
        <w:t xml:space="preserve"> </w:t>
      </w:r>
      <w:proofErr w:type="spellStart"/>
      <w:r w:rsidRPr="00EF1170">
        <w:rPr>
          <w:lang w:val="es-ES"/>
        </w:rPr>
        <w:t>il</w:t>
      </w:r>
      <w:proofErr w:type="spellEnd"/>
      <w:r w:rsidRPr="00EF1170">
        <w:rPr>
          <w:lang w:val="es-ES"/>
        </w:rPr>
        <w:t xml:space="preserve"> </w:t>
      </w:r>
      <w:proofErr w:type="spellStart"/>
      <w:r w:rsidRPr="00EF1170">
        <w:rPr>
          <w:lang w:val="es-ES"/>
        </w:rPr>
        <w:t>memorandum</w:t>
      </w:r>
      <w:proofErr w:type="spellEnd"/>
      <w:r w:rsidRPr="00EF1170">
        <w:rPr>
          <w:lang w:val="es-ES"/>
        </w:rPr>
        <w:t xml:space="preserve"> </w:t>
      </w:r>
      <w:proofErr w:type="spellStart"/>
      <w:r w:rsidRPr="00EF1170">
        <w:rPr>
          <w:lang w:val="es-ES"/>
        </w:rPr>
        <w:t>d</w:t>
      </w:r>
      <w:r>
        <w:rPr>
          <w:lang w:val="es-ES"/>
        </w:rPr>
        <w:t>’intesa</w:t>
      </w:r>
      <w:proofErr w:type="spellEnd"/>
      <w:r w:rsidR="002D1613">
        <w:rPr>
          <w:lang w:val="es-ES"/>
        </w:rPr>
        <w:t>”</w:t>
      </w:r>
      <w:r>
        <w:rPr>
          <w:lang w:val="es-ES"/>
        </w:rPr>
        <w:t>.</w:t>
      </w:r>
      <w:r w:rsidR="004E2A7A">
        <w:rPr>
          <w:lang w:val="es-ES"/>
        </w:rPr>
        <w:t xml:space="preserve"> </w:t>
      </w:r>
      <w:hyperlink r:id="rId2" w:history="1">
        <w:r w:rsidR="004E2A7A" w:rsidRPr="00E6727A">
          <w:rPr>
            <w:rStyle w:val="Hipervnculo"/>
            <w:lang w:val="es-ES"/>
          </w:rPr>
          <w:t>https://www.amnesty.it/appelli/italia-libia-cancellare-il-memorandum-dintesa</w:t>
        </w:r>
      </w:hyperlink>
      <w:r w:rsidR="004E2A7A">
        <w:rPr>
          <w:lang w:val="es-ES"/>
        </w:rPr>
        <w:t xml:space="preserve">. </w:t>
      </w:r>
      <w:r w:rsidR="002D1613">
        <w:rPr>
          <w:lang w:val="es-ES"/>
        </w:rPr>
        <w:t xml:space="preserve"> </w:t>
      </w:r>
      <w:proofErr w:type="spellStart"/>
      <w:r w:rsidR="002D1613" w:rsidRPr="002D1613">
        <w:rPr>
          <w:lang w:val="es-ES"/>
        </w:rPr>
        <w:t>Associazione</w:t>
      </w:r>
      <w:proofErr w:type="spellEnd"/>
      <w:r w:rsidR="002D1613" w:rsidRPr="002D1613">
        <w:rPr>
          <w:lang w:val="es-ES"/>
        </w:rPr>
        <w:t xml:space="preserve"> per </w:t>
      </w:r>
      <w:proofErr w:type="spellStart"/>
      <w:r w:rsidR="002D1613" w:rsidRPr="002D1613">
        <w:rPr>
          <w:lang w:val="es-ES"/>
        </w:rPr>
        <w:t>gli</w:t>
      </w:r>
      <w:proofErr w:type="spellEnd"/>
      <w:r w:rsidR="002D1613" w:rsidRPr="002D1613">
        <w:rPr>
          <w:lang w:val="es-ES"/>
        </w:rPr>
        <w:t xml:space="preserve"> </w:t>
      </w:r>
      <w:proofErr w:type="spellStart"/>
      <w:r w:rsidR="002D1613" w:rsidRPr="002D1613">
        <w:rPr>
          <w:lang w:val="es-ES"/>
        </w:rPr>
        <w:t>studi</w:t>
      </w:r>
      <w:proofErr w:type="spellEnd"/>
      <w:r w:rsidR="002D1613" w:rsidRPr="002D1613">
        <w:rPr>
          <w:lang w:val="es-ES"/>
        </w:rPr>
        <w:t xml:space="preserve"> </w:t>
      </w:r>
      <w:proofErr w:type="spellStart"/>
      <w:r w:rsidR="002D1613" w:rsidRPr="002D1613">
        <w:rPr>
          <w:lang w:val="es-ES"/>
        </w:rPr>
        <w:t>giuridice</w:t>
      </w:r>
      <w:proofErr w:type="spellEnd"/>
      <w:r w:rsidR="002D1613" w:rsidRPr="002D1613">
        <w:rPr>
          <w:lang w:val="es-ES"/>
        </w:rPr>
        <w:t xml:space="preserve"> </w:t>
      </w:r>
      <w:proofErr w:type="spellStart"/>
      <w:r w:rsidR="002D1613" w:rsidRPr="002D1613">
        <w:rPr>
          <w:lang w:val="es-ES"/>
        </w:rPr>
        <w:t>sulla</w:t>
      </w:r>
      <w:proofErr w:type="spellEnd"/>
      <w:r w:rsidR="002D1613" w:rsidRPr="002D1613">
        <w:rPr>
          <w:lang w:val="es-ES"/>
        </w:rPr>
        <w:t xml:space="preserve"> </w:t>
      </w:r>
      <w:proofErr w:type="spellStart"/>
      <w:r w:rsidR="002D1613" w:rsidRPr="002D1613">
        <w:rPr>
          <w:lang w:val="es-ES"/>
        </w:rPr>
        <w:t>migrazione</w:t>
      </w:r>
      <w:proofErr w:type="spellEnd"/>
      <w:r w:rsidR="002D1613" w:rsidRPr="002D1613">
        <w:rPr>
          <w:lang w:val="es-ES"/>
        </w:rPr>
        <w:t xml:space="preserve"> (ASGI)</w:t>
      </w:r>
      <w:proofErr w:type="gramStart"/>
      <w:r w:rsidR="002D1613" w:rsidRPr="002D1613">
        <w:rPr>
          <w:lang w:val="es-ES"/>
        </w:rPr>
        <w:t>.”</w:t>
      </w:r>
      <w:proofErr w:type="spellStart"/>
      <w:r w:rsidR="002D1613" w:rsidRPr="002D1613">
        <w:rPr>
          <w:lang w:val="es-ES"/>
        </w:rPr>
        <w:t>Abolire</w:t>
      </w:r>
      <w:proofErr w:type="spellEnd"/>
      <w:proofErr w:type="gramEnd"/>
      <w:r w:rsidR="002D1613" w:rsidRPr="002D1613">
        <w:rPr>
          <w:lang w:val="es-ES"/>
        </w:rPr>
        <w:t xml:space="preserve"> </w:t>
      </w:r>
      <w:proofErr w:type="spellStart"/>
      <w:r w:rsidR="002D1613" w:rsidRPr="002D1613">
        <w:rPr>
          <w:lang w:val="es-ES"/>
        </w:rPr>
        <w:t>il</w:t>
      </w:r>
      <w:proofErr w:type="spellEnd"/>
      <w:r w:rsidR="002D1613" w:rsidRPr="002D1613">
        <w:rPr>
          <w:lang w:val="es-ES"/>
        </w:rPr>
        <w:t xml:space="preserve"> </w:t>
      </w:r>
      <w:proofErr w:type="spellStart"/>
      <w:r w:rsidR="002D1613" w:rsidRPr="002D1613">
        <w:rPr>
          <w:lang w:val="es-ES"/>
        </w:rPr>
        <w:t>memorandum</w:t>
      </w:r>
      <w:proofErr w:type="spellEnd"/>
      <w:r w:rsidR="002D1613" w:rsidRPr="002D1613">
        <w:rPr>
          <w:lang w:val="es-ES"/>
        </w:rPr>
        <w:t xml:space="preserve"> I</w:t>
      </w:r>
      <w:r w:rsidR="002D1613">
        <w:rPr>
          <w:lang w:val="es-ES"/>
        </w:rPr>
        <w:t xml:space="preserve">talia-Libia entro </w:t>
      </w:r>
      <w:proofErr w:type="spellStart"/>
      <w:r w:rsidR="002D1613">
        <w:rPr>
          <w:lang w:val="es-ES"/>
        </w:rPr>
        <w:t>il</w:t>
      </w:r>
      <w:proofErr w:type="spellEnd"/>
      <w:r w:rsidR="002D1613">
        <w:rPr>
          <w:lang w:val="es-ES"/>
        </w:rPr>
        <w:t xml:space="preserve"> 2 </w:t>
      </w:r>
      <w:proofErr w:type="spellStart"/>
      <w:r w:rsidR="002D1613">
        <w:rPr>
          <w:lang w:val="es-ES"/>
        </w:rPr>
        <w:t>novembre</w:t>
      </w:r>
      <w:proofErr w:type="spellEnd"/>
      <w:r w:rsidR="002D1613">
        <w:rPr>
          <w:lang w:val="es-ES"/>
        </w:rPr>
        <w:t xml:space="preserve"> de2022: </w:t>
      </w:r>
      <w:proofErr w:type="spellStart"/>
      <w:r w:rsidR="002D1613">
        <w:rPr>
          <w:lang w:val="es-ES"/>
        </w:rPr>
        <w:t>l’obiettivo</w:t>
      </w:r>
      <w:proofErr w:type="spellEnd"/>
      <w:r w:rsidR="002D1613">
        <w:rPr>
          <w:lang w:val="es-ES"/>
        </w:rPr>
        <w:t xml:space="preserve"> </w:t>
      </w:r>
      <w:proofErr w:type="spellStart"/>
      <w:r w:rsidR="002D1613">
        <w:rPr>
          <w:lang w:val="es-ES"/>
        </w:rPr>
        <w:t>della</w:t>
      </w:r>
      <w:proofErr w:type="spellEnd"/>
      <w:r w:rsidR="002D1613">
        <w:rPr>
          <w:lang w:val="es-ES"/>
        </w:rPr>
        <w:t xml:space="preserve"> </w:t>
      </w:r>
      <w:proofErr w:type="spellStart"/>
      <w:r w:rsidR="002D1613">
        <w:rPr>
          <w:lang w:val="es-ES"/>
        </w:rPr>
        <w:t>società</w:t>
      </w:r>
      <w:proofErr w:type="spellEnd"/>
      <w:r w:rsidR="002D1613">
        <w:rPr>
          <w:lang w:val="es-ES"/>
        </w:rPr>
        <w:t xml:space="preserve"> </w:t>
      </w:r>
      <w:proofErr w:type="spellStart"/>
      <w:r w:rsidR="002D1613">
        <w:rPr>
          <w:lang w:val="es-ES"/>
        </w:rPr>
        <w:t>civile</w:t>
      </w:r>
      <w:proofErr w:type="spellEnd"/>
      <w:r w:rsidR="002D1613">
        <w:rPr>
          <w:lang w:val="es-ES"/>
        </w:rPr>
        <w:t xml:space="preserve">. 05-05- 2022. </w:t>
      </w:r>
      <w:hyperlink r:id="rId3" w:history="1">
        <w:r w:rsidR="004E2A7A" w:rsidRPr="00E6727A">
          <w:rPr>
            <w:rStyle w:val="Hipervnculo"/>
          </w:rPr>
          <w:t>https://www.asgi.it/notizie/memorandum-italia-libia-abolizione-2-novembre/</w:t>
        </w:r>
      </w:hyperlink>
      <w:r w:rsidR="004E2A7A" w:rsidRPr="004E2A7A">
        <w:t>)</w:t>
      </w:r>
    </w:p>
    <w:p w14:paraId="65FDC80A" w14:textId="77777777" w:rsidR="004E2A7A" w:rsidRPr="004E2A7A" w:rsidRDefault="004E2A7A" w:rsidP="002D1613">
      <w:pPr>
        <w:pStyle w:val="Textonotapie"/>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2412487"/>
      <w:docPartObj>
        <w:docPartGallery w:val="Page Numbers (Top of Page)"/>
        <w:docPartUnique/>
      </w:docPartObj>
    </w:sdtPr>
    <w:sdtContent>
      <w:p w14:paraId="5BB21894" w14:textId="0DA24168" w:rsidR="001C532D" w:rsidRDefault="001C532D" w:rsidP="00E6727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7A9BA6" w14:textId="77777777" w:rsidR="001C532D" w:rsidRDefault="001C532D" w:rsidP="001C532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6015059"/>
      <w:docPartObj>
        <w:docPartGallery w:val="Page Numbers (Top of Page)"/>
        <w:docPartUnique/>
      </w:docPartObj>
    </w:sdtPr>
    <w:sdtContent>
      <w:p w14:paraId="65A65042" w14:textId="2732EEF8" w:rsidR="001C532D" w:rsidRDefault="001C532D" w:rsidP="00E6727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EFD4754" w14:textId="77777777" w:rsidR="001C532D" w:rsidRDefault="001C532D" w:rsidP="001C532D">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2D91"/>
    <w:multiLevelType w:val="multilevel"/>
    <w:tmpl w:val="9DE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8F21D4"/>
    <w:multiLevelType w:val="multilevel"/>
    <w:tmpl w:val="E55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12863"/>
    <w:multiLevelType w:val="hybridMultilevel"/>
    <w:tmpl w:val="E72E6E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C2A4846"/>
    <w:multiLevelType w:val="multilevel"/>
    <w:tmpl w:val="EDC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373B3"/>
    <w:multiLevelType w:val="multilevel"/>
    <w:tmpl w:val="C7FA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23690">
    <w:abstractNumId w:val="3"/>
  </w:num>
  <w:num w:numId="2" w16cid:durableId="294725588">
    <w:abstractNumId w:val="1"/>
  </w:num>
  <w:num w:numId="3" w16cid:durableId="723875245">
    <w:abstractNumId w:val="4"/>
  </w:num>
  <w:num w:numId="4" w16cid:durableId="1136990606">
    <w:abstractNumId w:val="0"/>
  </w:num>
  <w:num w:numId="5" w16cid:durableId="33314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B2"/>
    <w:rsid w:val="0000211C"/>
    <w:rsid w:val="00005443"/>
    <w:rsid w:val="00005938"/>
    <w:rsid w:val="00012704"/>
    <w:rsid w:val="000137D3"/>
    <w:rsid w:val="0001777F"/>
    <w:rsid w:val="00020023"/>
    <w:rsid w:val="000209E2"/>
    <w:rsid w:val="00025644"/>
    <w:rsid w:val="00033C8B"/>
    <w:rsid w:val="00041B96"/>
    <w:rsid w:val="00044AAC"/>
    <w:rsid w:val="000474D9"/>
    <w:rsid w:val="00051047"/>
    <w:rsid w:val="000523D1"/>
    <w:rsid w:val="00056471"/>
    <w:rsid w:val="00060B1B"/>
    <w:rsid w:val="0006215F"/>
    <w:rsid w:val="00062851"/>
    <w:rsid w:val="00076745"/>
    <w:rsid w:val="00090000"/>
    <w:rsid w:val="00091D1D"/>
    <w:rsid w:val="000A2521"/>
    <w:rsid w:val="000A4DC0"/>
    <w:rsid w:val="000A68E3"/>
    <w:rsid w:val="000B1925"/>
    <w:rsid w:val="000B5173"/>
    <w:rsid w:val="000B6E9A"/>
    <w:rsid w:val="000C18E2"/>
    <w:rsid w:val="000C51DB"/>
    <w:rsid w:val="000C6D6F"/>
    <w:rsid w:val="000D5E96"/>
    <w:rsid w:val="000E04A3"/>
    <w:rsid w:val="000E455A"/>
    <w:rsid w:val="000F0A7E"/>
    <w:rsid w:val="000F18B0"/>
    <w:rsid w:val="000F50CD"/>
    <w:rsid w:val="000F599A"/>
    <w:rsid w:val="000F61DC"/>
    <w:rsid w:val="001001E6"/>
    <w:rsid w:val="00112983"/>
    <w:rsid w:val="001130BE"/>
    <w:rsid w:val="00113525"/>
    <w:rsid w:val="00116F8D"/>
    <w:rsid w:val="00122323"/>
    <w:rsid w:val="0013134B"/>
    <w:rsid w:val="00131F2F"/>
    <w:rsid w:val="00132B5F"/>
    <w:rsid w:val="0013559B"/>
    <w:rsid w:val="00147031"/>
    <w:rsid w:val="00147AA4"/>
    <w:rsid w:val="001507BD"/>
    <w:rsid w:val="001516CE"/>
    <w:rsid w:val="0015263A"/>
    <w:rsid w:val="00163347"/>
    <w:rsid w:val="00167DE5"/>
    <w:rsid w:val="00170612"/>
    <w:rsid w:val="001727AC"/>
    <w:rsid w:val="001760ED"/>
    <w:rsid w:val="00176603"/>
    <w:rsid w:val="00191B42"/>
    <w:rsid w:val="001960CF"/>
    <w:rsid w:val="00197AF5"/>
    <w:rsid w:val="001A12BA"/>
    <w:rsid w:val="001B0F0D"/>
    <w:rsid w:val="001B2AC6"/>
    <w:rsid w:val="001C1A90"/>
    <w:rsid w:val="001C3F10"/>
    <w:rsid w:val="001C532D"/>
    <w:rsid w:val="001D0D4E"/>
    <w:rsid w:val="001D11F8"/>
    <w:rsid w:val="001D64E2"/>
    <w:rsid w:val="001D65EB"/>
    <w:rsid w:val="001D7D79"/>
    <w:rsid w:val="001E1442"/>
    <w:rsid w:val="001E1FFD"/>
    <w:rsid w:val="001E391A"/>
    <w:rsid w:val="001E5627"/>
    <w:rsid w:val="001E79BE"/>
    <w:rsid w:val="001F21C3"/>
    <w:rsid w:val="001F61E3"/>
    <w:rsid w:val="002019E3"/>
    <w:rsid w:val="002032B0"/>
    <w:rsid w:val="00203CA3"/>
    <w:rsid w:val="002159CC"/>
    <w:rsid w:val="002269A3"/>
    <w:rsid w:val="00231192"/>
    <w:rsid w:val="0023261D"/>
    <w:rsid w:val="00235020"/>
    <w:rsid w:val="00236F31"/>
    <w:rsid w:val="002418A6"/>
    <w:rsid w:val="002438A4"/>
    <w:rsid w:val="00253C30"/>
    <w:rsid w:val="002573AD"/>
    <w:rsid w:val="002573B0"/>
    <w:rsid w:val="00262A3D"/>
    <w:rsid w:val="00262E97"/>
    <w:rsid w:val="0026302E"/>
    <w:rsid w:val="00271803"/>
    <w:rsid w:val="00271B85"/>
    <w:rsid w:val="00274E8F"/>
    <w:rsid w:val="00283427"/>
    <w:rsid w:val="00283C89"/>
    <w:rsid w:val="0029278F"/>
    <w:rsid w:val="00294137"/>
    <w:rsid w:val="002A12AA"/>
    <w:rsid w:val="002A12FF"/>
    <w:rsid w:val="002A1B7A"/>
    <w:rsid w:val="002B2908"/>
    <w:rsid w:val="002B2FBC"/>
    <w:rsid w:val="002B5D6C"/>
    <w:rsid w:val="002B6395"/>
    <w:rsid w:val="002B70C8"/>
    <w:rsid w:val="002C18AC"/>
    <w:rsid w:val="002C27AD"/>
    <w:rsid w:val="002C3032"/>
    <w:rsid w:val="002C3D6D"/>
    <w:rsid w:val="002C5B5A"/>
    <w:rsid w:val="002C65AC"/>
    <w:rsid w:val="002C6A37"/>
    <w:rsid w:val="002D1613"/>
    <w:rsid w:val="002D4430"/>
    <w:rsid w:val="002E2AC3"/>
    <w:rsid w:val="002E2DE1"/>
    <w:rsid w:val="002E4BFB"/>
    <w:rsid w:val="002E7D17"/>
    <w:rsid w:val="002F2D10"/>
    <w:rsid w:val="002F5C95"/>
    <w:rsid w:val="002F71B1"/>
    <w:rsid w:val="00302416"/>
    <w:rsid w:val="003154A9"/>
    <w:rsid w:val="0032288C"/>
    <w:rsid w:val="00322EE1"/>
    <w:rsid w:val="0033487D"/>
    <w:rsid w:val="003427EA"/>
    <w:rsid w:val="003527B0"/>
    <w:rsid w:val="003557FB"/>
    <w:rsid w:val="0036306C"/>
    <w:rsid w:val="003668EA"/>
    <w:rsid w:val="00376ED8"/>
    <w:rsid w:val="00377D22"/>
    <w:rsid w:val="003827F7"/>
    <w:rsid w:val="00384730"/>
    <w:rsid w:val="003928BB"/>
    <w:rsid w:val="00395817"/>
    <w:rsid w:val="003A5072"/>
    <w:rsid w:val="003A7D4F"/>
    <w:rsid w:val="003B108D"/>
    <w:rsid w:val="003B2F64"/>
    <w:rsid w:val="003B5230"/>
    <w:rsid w:val="003B60DB"/>
    <w:rsid w:val="003C1415"/>
    <w:rsid w:val="003C4698"/>
    <w:rsid w:val="003C6F4C"/>
    <w:rsid w:val="003C7102"/>
    <w:rsid w:val="003D4AD7"/>
    <w:rsid w:val="003D665F"/>
    <w:rsid w:val="003F176C"/>
    <w:rsid w:val="003F20E7"/>
    <w:rsid w:val="003F2EB7"/>
    <w:rsid w:val="003F3FCC"/>
    <w:rsid w:val="004002BB"/>
    <w:rsid w:val="0040449D"/>
    <w:rsid w:val="00404692"/>
    <w:rsid w:val="00412CF3"/>
    <w:rsid w:val="00414CFC"/>
    <w:rsid w:val="00417173"/>
    <w:rsid w:val="00417B5C"/>
    <w:rsid w:val="00422A4D"/>
    <w:rsid w:val="0042301A"/>
    <w:rsid w:val="00424335"/>
    <w:rsid w:val="00424D9F"/>
    <w:rsid w:val="004258B9"/>
    <w:rsid w:val="00426E1D"/>
    <w:rsid w:val="00431D6A"/>
    <w:rsid w:val="004341C8"/>
    <w:rsid w:val="004362EB"/>
    <w:rsid w:val="0043633B"/>
    <w:rsid w:val="00456023"/>
    <w:rsid w:val="004656AD"/>
    <w:rsid w:val="004672CF"/>
    <w:rsid w:val="00467853"/>
    <w:rsid w:val="00471992"/>
    <w:rsid w:val="00471E41"/>
    <w:rsid w:val="00476345"/>
    <w:rsid w:val="00477988"/>
    <w:rsid w:val="004820A1"/>
    <w:rsid w:val="0048398E"/>
    <w:rsid w:val="0049104B"/>
    <w:rsid w:val="00491A97"/>
    <w:rsid w:val="004936A2"/>
    <w:rsid w:val="00497C57"/>
    <w:rsid w:val="004A29D5"/>
    <w:rsid w:val="004A3261"/>
    <w:rsid w:val="004A4CE9"/>
    <w:rsid w:val="004A6DC2"/>
    <w:rsid w:val="004B369A"/>
    <w:rsid w:val="004B3D55"/>
    <w:rsid w:val="004C1743"/>
    <w:rsid w:val="004D0341"/>
    <w:rsid w:val="004D2D64"/>
    <w:rsid w:val="004D38AD"/>
    <w:rsid w:val="004D3A56"/>
    <w:rsid w:val="004D47CF"/>
    <w:rsid w:val="004E2A7A"/>
    <w:rsid w:val="004E3298"/>
    <w:rsid w:val="004E72AB"/>
    <w:rsid w:val="004E7CD5"/>
    <w:rsid w:val="004E7D8D"/>
    <w:rsid w:val="004F0119"/>
    <w:rsid w:val="004F3680"/>
    <w:rsid w:val="004F4792"/>
    <w:rsid w:val="00501016"/>
    <w:rsid w:val="0051441E"/>
    <w:rsid w:val="005224B8"/>
    <w:rsid w:val="00522D60"/>
    <w:rsid w:val="00530B6E"/>
    <w:rsid w:val="005317F9"/>
    <w:rsid w:val="00533285"/>
    <w:rsid w:val="005378B2"/>
    <w:rsid w:val="00537C59"/>
    <w:rsid w:val="00541C81"/>
    <w:rsid w:val="00551D99"/>
    <w:rsid w:val="00553624"/>
    <w:rsid w:val="00555ABE"/>
    <w:rsid w:val="00561433"/>
    <w:rsid w:val="00561851"/>
    <w:rsid w:val="0056335E"/>
    <w:rsid w:val="00563965"/>
    <w:rsid w:val="00564059"/>
    <w:rsid w:val="00566E2D"/>
    <w:rsid w:val="00584EDA"/>
    <w:rsid w:val="005913B2"/>
    <w:rsid w:val="00591C5D"/>
    <w:rsid w:val="00592535"/>
    <w:rsid w:val="005A02AC"/>
    <w:rsid w:val="005A6986"/>
    <w:rsid w:val="005B2465"/>
    <w:rsid w:val="005B26CF"/>
    <w:rsid w:val="005B2C7A"/>
    <w:rsid w:val="005B4694"/>
    <w:rsid w:val="005B4E4D"/>
    <w:rsid w:val="005C4187"/>
    <w:rsid w:val="005C47E8"/>
    <w:rsid w:val="005D4CB2"/>
    <w:rsid w:val="005D6131"/>
    <w:rsid w:val="005D70B9"/>
    <w:rsid w:val="005E1C87"/>
    <w:rsid w:val="005E2004"/>
    <w:rsid w:val="005E2D44"/>
    <w:rsid w:val="005E536C"/>
    <w:rsid w:val="005E77E5"/>
    <w:rsid w:val="005F0B0B"/>
    <w:rsid w:val="005F237D"/>
    <w:rsid w:val="00611225"/>
    <w:rsid w:val="00612EA8"/>
    <w:rsid w:val="00613846"/>
    <w:rsid w:val="00614051"/>
    <w:rsid w:val="006177CF"/>
    <w:rsid w:val="0062299C"/>
    <w:rsid w:val="00622AAE"/>
    <w:rsid w:val="00623860"/>
    <w:rsid w:val="006305EB"/>
    <w:rsid w:val="006312ED"/>
    <w:rsid w:val="0063575D"/>
    <w:rsid w:val="006425A0"/>
    <w:rsid w:val="00646C13"/>
    <w:rsid w:val="00656A91"/>
    <w:rsid w:val="006577C8"/>
    <w:rsid w:val="00657B2C"/>
    <w:rsid w:val="00660D42"/>
    <w:rsid w:val="006653EA"/>
    <w:rsid w:val="00666618"/>
    <w:rsid w:val="006670DB"/>
    <w:rsid w:val="0067469F"/>
    <w:rsid w:val="00675BA3"/>
    <w:rsid w:val="00677AAA"/>
    <w:rsid w:val="006826CF"/>
    <w:rsid w:val="00686834"/>
    <w:rsid w:val="006877AA"/>
    <w:rsid w:val="00693C30"/>
    <w:rsid w:val="006B50D1"/>
    <w:rsid w:val="006C1C4C"/>
    <w:rsid w:val="006C3FB9"/>
    <w:rsid w:val="006C53FE"/>
    <w:rsid w:val="006C697E"/>
    <w:rsid w:val="006C7833"/>
    <w:rsid w:val="006D5AA7"/>
    <w:rsid w:val="006E23FA"/>
    <w:rsid w:val="006F066D"/>
    <w:rsid w:val="006F33E2"/>
    <w:rsid w:val="00701F34"/>
    <w:rsid w:val="0070362C"/>
    <w:rsid w:val="00704A89"/>
    <w:rsid w:val="00706D51"/>
    <w:rsid w:val="0070766D"/>
    <w:rsid w:val="00712A0A"/>
    <w:rsid w:val="00715FE6"/>
    <w:rsid w:val="00723E16"/>
    <w:rsid w:val="00725086"/>
    <w:rsid w:val="007258E5"/>
    <w:rsid w:val="007302BD"/>
    <w:rsid w:val="00734148"/>
    <w:rsid w:val="00743890"/>
    <w:rsid w:val="00743EB2"/>
    <w:rsid w:val="007445E9"/>
    <w:rsid w:val="00747E79"/>
    <w:rsid w:val="00751E3A"/>
    <w:rsid w:val="00754316"/>
    <w:rsid w:val="00757D4D"/>
    <w:rsid w:val="007759EB"/>
    <w:rsid w:val="00775F08"/>
    <w:rsid w:val="0077737C"/>
    <w:rsid w:val="007773B5"/>
    <w:rsid w:val="00781F6E"/>
    <w:rsid w:val="0078201F"/>
    <w:rsid w:val="0078338E"/>
    <w:rsid w:val="00784DD9"/>
    <w:rsid w:val="007948D4"/>
    <w:rsid w:val="00796B4E"/>
    <w:rsid w:val="007A0ECF"/>
    <w:rsid w:val="007A2810"/>
    <w:rsid w:val="007A6047"/>
    <w:rsid w:val="007B1207"/>
    <w:rsid w:val="007C1413"/>
    <w:rsid w:val="007D0450"/>
    <w:rsid w:val="007D04A0"/>
    <w:rsid w:val="007D6909"/>
    <w:rsid w:val="007E2C55"/>
    <w:rsid w:val="007E52E4"/>
    <w:rsid w:val="007E693B"/>
    <w:rsid w:val="007F5DEA"/>
    <w:rsid w:val="00806196"/>
    <w:rsid w:val="00820F3F"/>
    <w:rsid w:val="008327F5"/>
    <w:rsid w:val="00833742"/>
    <w:rsid w:val="00836706"/>
    <w:rsid w:val="008368D7"/>
    <w:rsid w:val="00840431"/>
    <w:rsid w:val="00842DC0"/>
    <w:rsid w:val="00845F2B"/>
    <w:rsid w:val="0085748F"/>
    <w:rsid w:val="00857FC3"/>
    <w:rsid w:val="00870924"/>
    <w:rsid w:val="008758F3"/>
    <w:rsid w:val="008761CD"/>
    <w:rsid w:val="00877B90"/>
    <w:rsid w:val="00880D1D"/>
    <w:rsid w:val="00893EE2"/>
    <w:rsid w:val="008952E3"/>
    <w:rsid w:val="00896F82"/>
    <w:rsid w:val="008A273E"/>
    <w:rsid w:val="008A45A2"/>
    <w:rsid w:val="008A5101"/>
    <w:rsid w:val="008A7158"/>
    <w:rsid w:val="008B1419"/>
    <w:rsid w:val="008B38D5"/>
    <w:rsid w:val="008C5981"/>
    <w:rsid w:val="008C6B99"/>
    <w:rsid w:val="008D35BF"/>
    <w:rsid w:val="008D493B"/>
    <w:rsid w:val="008D56EC"/>
    <w:rsid w:val="008D74F9"/>
    <w:rsid w:val="008E3027"/>
    <w:rsid w:val="008E4277"/>
    <w:rsid w:val="008E6394"/>
    <w:rsid w:val="008E7B2D"/>
    <w:rsid w:val="008F76DE"/>
    <w:rsid w:val="00914843"/>
    <w:rsid w:val="009151AB"/>
    <w:rsid w:val="00915B61"/>
    <w:rsid w:val="0091718D"/>
    <w:rsid w:val="0092026A"/>
    <w:rsid w:val="0092662A"/>
    <w:rsid w:val="00937296"/>
    <w:rsid w:val="00937355"/>
    <w:rsid w:val="0093770D"/>
    <w:rsid w:val="00937EFB"/>
    <w:rsid w:val="00943BEB"/>
    <w:rsid w:val="00945312"/>
    <w:rsid w:val="00945452"/>
    <w:rsid w:val="00951687"/>
    <w:rsid w:val="00951FF2"/>
    <w:rsid w:val="00952966"/>
    <w:rsid w:val="00954D94"/>
    <w:rsid w:val="009554AA"/>
    <w:rsid w:val="00963359"/>
    <w:rsid w:val="00974083"/>
    <w:rsid w:val="00980B28"/>
    <w:rsid w:val="00981284"/>
    <w:rsid w:val="009912F7"/>
    <w:rsid w:val="009919DD"/>
    <w:rsid w:val="00997ED9"/>
    <w:rsid w:val="009A1766"/>
    <w:rsid w:val="009A32E2"/>
    <w:rsid w:val="009A4475"/>
    <w:rsid w:val="009B2792"/>
    <w:rsid w:val="009B2C40"/>
    <w:rsid w:val="009B4634"/>
    <w:rsid w:val="009B4A6D"/>
    <w:rsid w:val="009B73D7"/>
    <w:rsid w:val="009B7671"/>
    <w:rsid w:val="009C0EE9"/>
    <w:rsid w:val="009C24D5"/>
    <w:rsid w:val="009C34EB"/>
    <w:rsid w:val="009C45D0"/>
    <w:rsid w:val="009D6449"/>
    <w:rsid w:val="009E617F"/>
    <w:rsid w:val="009E7683"/>
    <w:rsid w:val="009F45D3"/>
    <w:rsid w:val="009F7A28"/>
    <w:rsid w:val="00A0495F"/>
    <w:rsid w:val="00A113BE"/>
    <w:rsid w:val="00A11BB2"/>
    <w:rsid w:val="00A139B4"/>
    <w:rsid w:val="00A13CBE"/>
    <w:rsid w:val="00A17FD9"/>
    <w:rsid w:val="00A32759"/>
    <w:rsid w:val="00A33D2B"/>
    <w:rsid w:val="00A4495C"/>
    <w:rsid w:val="00A46CAC"/>
    <w:rsid w:val="00A51559"/>
    <w:rsid w:val="00A5689B"/>
    <w:rsid w:val="00A56A29"/>
    <w:rsid w:val="00A67D83"/>
    <w:rsid w:val="00A71B78"/>
    <w:rsid w:val="00A73D15"/>
    <w:rsid w:val="00A7491B"/>
    <w:rsid w:val="00A7535A"/>
    <w:rsid w:val="00A8437B"/>
    <w:rsid w:val="00A855D3"/>
    <w:rsid w:val="00A86E45"/>
    <w:rsid w:val="00A9359D"/>
    <w:rsid w:val="00A966A4"/>
    <w:rsid w:val="00A9793D"/>
    <w:rsid w:val="00AB1243"/>
    <w:rsid w:val="00AB20CA"/>
    <w:rsid w:val="00AC1A44"/>
    <w:rsid w:val="00AC2033"/>
    <w:rsid w:val="00AC3B89"/>
    <w:rsid w:val="00AC5D2D"/>
    <w:rsid w:val="00AD20FA"/>
    <w:rsid w:val="00AD331B"/>
    <w:rsid w:val="00AD56E6"/>
    <w:rsid w:val="00AF1206"/>
    <w:rsid w:val="00AF4DB9"/>
    <w:rsid w:val="00B02C52"/>
    <w:rsid w:val="00B163F6"/>
    <w:rsid w:val="00B2734C"/>
    <w:rsid w:val="00B27470"/>
    <w:rsid w:val="00B305A3"/>
    <w:rsid w:val="00B306E2"/>
    <w:rsid w:val="00B30931"/>
    <w:rsid w:val="00B31404"/>
    <w:rsid w:val="00B35757"/>
    <w:rsid w:val="00B36D20"/>
    <w:rsid w:val="00B41862"/>
    <w:rsid w:val="00B505CD"/>
    <w:rsid w:val="00B5178C"/>
    <w:rsid w:val="00B52882"/>
    <w:rsid w:val="00B52C0F"/>
    <w:rsid w:val="00B53738"/>
    <w:rsid w:val="00B5594E"/>
    <w:rsid w:val="00B603FC"/>
    <w:rsid w:val="00B61EA2"/>
    <w:rsid w:val="00B631EC"/>
    <w:rsid w:val="00B66130"/>
    <w:rsid w:val="00B66C82"/>
    <w:rsid w:val="00B73436"/>
    <w:rsid w:val="00B75225"/>
    <w:rsid w:val="00B77F3E"/>
    <w:rsid w:val="00B82FC0"/>
    <w:rsid w:val="00B94B97"/>
    <w:rsid w:val="00B9607D"/>
    <w:rsid w:val="00BA34B2"/>
    <w:rsid w:val="00BA3957"/>
    <w:rsid w:val="00BA3CAB"/>
    <w:rsid w:val="00BA6EEA"/>
    <w:rsid w:val="00BB6505"/>
    <w:rsid w:val="00BC5FC2"/>
    <w:rsid w:val="00BC7CC9"/>
    <w:rsid w:val="00BD3BBE"/>
    <w:rsid w:val="00BD5595"/>
    <w:rsid w:val="00BD6731"/>
    <w:rsid w:val="00BD71F2"/>
    <w:rsid w:val="00BE0B07"/>
    <w:rsid w:val="00BF7755"/>
    <w:rsid w:val="00C00F9F"/>
    <w:rsid w:val="00C023EE"/>
    <w:rsid w:val="00C02FBC"/>
    <w:rsid w:val="00C046A2"/>
    <w:rsid w:val="00C06364"/>
    <w:rsid w:val="00C1177D"/>
    <w:rsid w:val="00C14936"/>
    <w:rsid w:val="00C17DA1"/>
    <w:rsid w:val="00C237D0"/>
    <w:rsid w:val="00C23B95"/>
    <w:rsid w:val="00C307FA"/>
    <w:rsid w:val="00C3648F"/>
    <w:rsid w:val="00C37F9C"/>
    <w:rsid w:val="00C435F0"/>
    <w:rsid w:val="00C44257"/>
    <w:rsid w:val="00C503D8"/>
    <w:rsid w:val="00C51F60"/>
    <w:rsid w:val="00C52CEF"/>
    <w:rsid w:val="00C559C5"/>
    <w:rsid w:val="00C62A9B"/>
    <w:rsid w:val="00C651B5"/>
    <w:rsid w:val="00C67CAE"/>
    <w:rsid w:val="00C72A54"/>
    <w:rsid w:val="00C74FAA"/>
    <w:rsid w:val="00C862B3"/>
    <w:rsid w:val="00C87F13"/>
    <w:rsid w:val="00C92690"/>
    <w:rsid w:val="00CA3816"/>
    <w:rsid w:val="00CB080E"/>
    <w:rsid w:val="00CB1D59"/>
    <w:rsid w:val="00CB35F1"/>
    <w:rsid w:val="00CB4119"/>
    <w:rsid w:val="00CB58C7"/>
    <w:rsid w:val="00CB7185"/>
    <w:rsid w:val="00CC2855"/>
    <w:rsid w:val="00CC415B"/>
    <w:rsid w:val="00CD09DA"/>
    <w:rsid w:val="00CD7D01"/>
    <w:rsid w:val="00CF2527"/>
    <w:rsid w:val="00CF6802"/>
    <w:rsid w:val="00D01CDA"/>
    <w:rsid w:val="00D06048"/>
    <w:rsid w:val="00D0659D"/>
    <w:rsid w:val="00D07278"/>
    <w:rsid w:val="00D13322"/>
    <w:rsid w:val="00D24818"/>
    <w:rsid w:val="00D275C8"/>
    <w:rsid w:val="00D3421F"/>
    <w:rsid w:val="00D348E9"/>
    <w:rsid w:val="00D36553"/>
    <w:rsid w:val="00D42B4F"/>
    <w:rsid w:val="00D44FF3"/>
    <w:rsid w:val="00D45812"/>
    <w:rsid w:val="00D5165B"/>
    <w:rsid w:val="00D52AD4"/>
    <w:rsid w:val="00D55BB2"/>
    <w:rsid w:val="00D57182"/>
    <w:rsid w:val="00D6286E"/>
    <w:rsid w:val="00D65341"/>
    <w:rsid w:val="00D77B64"/>
    <w:rsid w:val="00D82263"/>
    <w:rsid w:val="00D8336B"/>
    <w:rsid w:val="00D84290"/>
    <w:rsid w:val="00D859AC"/>
    <w:rsid w:val="00D85CCC"/>
    <w:rsid w:val="00D87DC5"/>
    <w:rsid w:val="00D93D3C"/>
    <w:rsid w:val="00D94755"/>
    <w:rsid w:val="00D94C71"/>
    <w:rsid w:val="00DB244F"/>
    <w:rsid w:val="00DB453E"/>
    <w:rsid w:val="00DB553A"/>
    <w:rsid w:val="00DB57C4"/>
    <w:rsid w:val="00DC0CF7"/>
    <w:rsid w:val="00DC2F49"/>
    <w:rsid w:val="00DC3927"/>
    <w:rsid w:val="00DC4D05"/>
    <w:rsid w:val="00DC7291"/>
    <w:rsid w:val="00DD5B15"/>
    <w:rsid w:val="00DD61BE"/>
    <w:rsid w:val="00DE0F82"/>
    <w:rsid w:val="00DE14D5"/>
    <w:rsid w:val="00DF16D8"/>
    <w:rsid w:val="00E00D71"/>
    <w:rsid w:val="00E00DDB"/>
    <w:rsid w:val="00E02520"/>
    <w:rsid w:val="00E028F0"/>
    <w:rsid w:val="00E02E8E"/>
    <w:rsid w:val="00E02F6E"/>
    <w:rsid w:val="00E04781"/>
    <w:rsid w:val="00E07E32"/>
    <w:rsid w:val="00E11563"/>
    <w:rsid w:val="00E11E6D"/>
    <w:rsid w:val="00E1433F"/>
    <w:rsid w:val="00E16DEA"/>
    <w:rsid w:val="00E2176C"/>
    <w:rsid w:val="00E2253E"/>
    <w:rsid w:val="00E25C20"/>
    <w:rsid w:val="00E32835"/>
    <w:rsid w:val="00E32D3A"/>
    <w:rsid w:val="00E54E55"/>
    <w:rsid w:val="00E57485"/>
    <w:rsid w:val="00E57C15"/>
    <w:rsid w:val="00E62268"/>
    <w:rsid w:val="00E669DA"/>
    <w:rsid w:val="00E66C53"/>
    <w:rsid w:val="00E716BC"/>
    <w:rsid w:val="00E96D44"/>
    <w:rsid w:val="00E97AF2"/>
    <w:rsid w:val="00EA0DDC"/>
    <w:rsid w:val="00EA3EA4"/>
    <w:rsid w:val="00EA41C7"/>
    <w:rsid w:val="00EA4DAB"/>
    <w:rsid w:val="00EC021B"/>
    <w:rsid w:val="00EC1950"/>
    <w:rsid w:val="00ED2D6F"/>
    <w:rsid w:val="00ED5D8C"/>
    <w:rsid w:val="00EF0E41"/>
    <w:rsid w:val="00EF1170"/>
    <w:rsid w:val="00EF1EDB"/>
    <w:rsid w:val="00EF2E2A"/>
    <w:rsid w:val="00EF7F8A"/>
    <w:rsid w:val="00F036DB"/>
    <w:rsid w:val="00F076F9"/>
    <w:rsid w:val="00F079F5"/>
    <w:rsid w:val="00F11DF1"/>
    <w:rsid w:val="00F13E0E"/>
    <w:rsid w:val="00F15499"/>
    <w:rsid w:val="00F167F2"/>
    <w:rsid w:val="00F16A36"/>
    <w:rsid w:val="00F17E35"/>
    <w:rsid w:val="00F207F8"/>
    <w:rsid w:val="00F244B6"/>
    <w:rsid w:val="00F25D09"/>
    <w:rsid w:val="00F26156"/>
    <w:rsid w:val="00F33E55"/>
    <w:rsid w:val="00F3536F"/>
    <w:rsid w:val="00F37109"/>
    <w:rsid w:val="00F45AF2"/>
    <w:rsid w:val="00F464D3"/>
    <w:rsid w:val="00F500A9"/>
    <w:rsid w:val="00F53DAA"/>
    <w:rsid w:val="00F606CA"/>
    <w:rsid w:val="00F60BC5"/>
    <w:rsid w:val="00F64C10"/>
    <w:rsid w:val="00F676DF"/>
    <w:rsid w:val="00F80F4B"/>
    <w:rsid w:val="00F87E61"/>
    <w:rsid w:val="00F94C1D"/>
    <w:rsid w:val="00F96653"/>
    <w:rsid w:val="00F977F2"/>
    <w:rsid w:val="00FA3A17"/>
    <w:rsid w:val="00FA6BF5"/>
    <w:rsid w:val="00FB0D3F"/>
    <w:rsid w:val="00FB3040"/>
    <w:rsid w:val="00FB529B"/>
    <w:rsid w:val="00FB52BD"/>
    <w:rsid w:val="00FB6830"/>
    <w:rsid w:val="00FB6DB0"/>
    <w:rsid w:val="00FC08B6"/>
    <w:rsid w:val="00FC1F59"/>
    <w:rsid w:val="00FC79C1"/>
    <w:rsid w:val="00FD292F"/>
    <w:rsid w:val="00FD5156"/>
    <w:rsid w:val="00FD7500"/>
    <w:rsid w:val="00FE1755"/>
    <w:rsid w:val="00FE3AFF"/>
    <w:rsid w:val="00FE3B4C"/>
    <w:rsid w:val="00FE4F97"/>
    <w:rsid w:val="00FE56B7"/>
    <w:rsid w:val="00FF0B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F9DC"/>
  <w15:chartTrackingRefBased/>
  <w15:docId w15:val="{BE96DC02-C0E8-4043-9019-F71934D4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65"/>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3C141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semiHidden/>
    <w:unhideWhenUsed/>
    <w:qFormat/>
    <w:rsid w:val="003C710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11BB2"/>
    <w:pPr>
      <w:spacing w:before="100" w:beforeAutospacing="1" w:after="100" w:afterAutospacing="1"/>
    </w:pPr>
  </w:style>
  <w:style w:type="paragraph" w:styleId="Encabezado">
    <w:name w:val="header"/>
    <w:basedOn w:val="Normal"/>
    <w:link w:val="EncabezadoCar"/>
    <w:uiPriority w:val="99"/>
    <w:unhideWhenUsed/>
    <w:rsid w:val="00A71B78"/>
    <w:pPr>
      <w:tabs>
        <w:tab w:val="center" w:pos="4680"/>
        <w:tab w:val="right" w:pos="9360"/>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A71B78"/>
  </w:style>
  <w:style w:type="paragraph" w:styleId="Piedepgina">
    <w:name w:val="footer"/>
    <w:basedOn w:val="Normal"/>
    <w:link w:val="PiedepginaCar"/>
    <w:uiPriority w:val="99"/>
    <w:unhideWhenUsed/>
    <w:rsid w:val="00A71B78"/>
    <w:pPr>
      <w:tabs>
        <w:tab w:val="center" w:pos="4680"/>
        <w:tab w:val="right" w:pos="9360"/>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A71B78"/>
  </w:style>
  <w:style w:type="character" w:styleId="Hipervnculo">
    <w:name w:val="Hyperlink"/>
    <w:basedOn w:val="Fuentedeprrafopredeter"/>
    <w:uiPriority w:val="99"/>
    <w:unhideWhenUsed/>
    <w:rsid w:val="00322EE1"/>
    <w:rPr>
      <w:color w:val="0563C1" w:themeColor="hyperlink"/>
      <w:u w:val="single"/>
    </w:rPr>
  </w:style>
  <w:style w:type="character" w:styleId="Mencinsinresolver">
    <w:name w:val="Unresolved Mention"/>
    <w:basedOn w:val="Fuentedeprrafopredeter"/>
    <w:uiPriority w:val="99"/>
    <w:semiHidden/>
    <w:unhideWhenUsed/>
    <w:rsid w:val="00322EE1"/>
    <w:rPr>
      <w:color w:val="605E5C"/>
      <w:shd w:val="clear" w:color="auto" w:fill="E1DFDD"/>
    </w:rPr>
  </w:style>
  <w:style w:type="paragraph" w:styleId="Textonotapie">
    <w:name w:val="footnote text"/>
    <w:basedOn w:val="Normal"/>
    <w:link w:val="TextonotapieCar"/>
    <w:uiPriority w:val="99"/>
    <w:unhideWhenUsed/>
    <w:rsid w:val="005913B2"/>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rsid w:val="005913B2"/>
    <w:rPr>
      <w:sz w:val="20"/>
      <w:szCs w:val="20"/>
    </w:rPr>
  </w:style>
  <w:style w:type="character" w:styleId="Refdenotaalpie">
    <w:name w:val="footnote reference"/>
    <w:basedOn w:val="Fuentedeprrafopredeter"/>
    <w:uiPriority w:val="99"/>
    <w:semiHidden/>
    <w:unhideWhenUsed/>
    <w:rsid w:val="005913B2"/>
    <w:rPr>
      <w:vertAlign w:val="superscript"/>
    </w:rPr>
  </w:style>
  <w:style w:type="character" w:styleId="Hipervnculovisitado">
    <w:name w:val="FollowedHyperlink"/>
    <w:basedOn w:val="Fuentedeprrafopredeter"/>
    <w:uiPriority w:val="99"/>
    <w:semiHidden/>
    <w:unhideWhenUsed/>
    <w:rsid w:val="00147031"/>
    <w:rPr>
      <w:color w:val="954F72" w:themeColor="followedHyperlink"/>
      <w:u w:val="single"/>
    </w:rPr>
  </w:style>
  <w:style w:type="character" w:customStyle="1" w:styleId="Ttulo1Car">
    <w:name w:val="Título 1 Car"/>
    <w:basedOn w:val="Fuentedeprrafopredeter"/>
    <w:link w:val="Ttulo1"/>
    <w:uiPriority w:val="9"/>
    <w:rsid w:val="003C14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C7102"/>
    <w:rPr>
      <w:rFonts w:asciiTheme="majorHAnsi" w:eastAsiaTheme="majorEastAsia" w:hAnsiTheme="majorHAnsi" w:cstheme="majorBidi"/>
      <w:color w:val="2F5496" w:themeColor="accent1" w:themeShade="BF"/>
      <w:sz w:val="26"/>
      <w:szCs w:val="26"/>
    </w:rPr>
  </w:style>
  <w:style w:type="paragraph" w:customStyle="1" w:styleId="Default">
    <w:name w:val="Default"/>
    <w:rsid w:val="00614051"/>
    <w:pPr>
      <w:autoSpaceDE w:val="0"/>
      <w:autoSpaceDN w:val="0"/>
      <w:adjustRightInd w:val="0"/>
    </w:pPr>
    <w:rPr>
      <w:rFonts w:ascii="Gentium Basic" w:hAnsi="Gentium Basic" w:cs="Gentium Basic"/>
      <w:color w:val="000000"/>
      <w:lang w:val="es-ES_tradnl"/>
    </w:rPr>
  </w:style>
  <w:style w:type="character" w:customStyle="1" w:styleId="A22">
    <w:name w:val="A2+2"/>
    <w:uiPriority w:val="99"/>
    <w:rsid w:val="00614051"/>
    <w:rPr>
      <w:rFonts w:cs="Gentium Basic"/>
      <w:color w:val="000000"/>
      <w:sz w:val="20"/>
      <w:szCs w:val="20"/>
    </w:rPr>
  </w:style>
  <w:style w:type="table" w:styleId="Tablaconcuadrcula">
    <w:name w:val="Table Grid"/>
    <w:basedOn w:val="Tablanormal"/>
    <w:uiPriority w:val="39"/>
    <w:rsid w:val="005B4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B5173"/>
  </w:style>
  <w:style w:type="character" w:customStyle="1" w:styleId="Fecha1">
    <w:name w:val="Fecha1"/>
    <w:basedOn w:val="Fuentedeprrafopredeter"/>
    <w:rsid w:val="00E66C53"/>
  </w:style>
  <w:style w:type="paragraph" w:customStyle="1" w:styleId="by-line">
    <w:name w:val="by-line"/>
    <w:basedOn w:val="Normal"/>
    <w:rsid w:val="00CB1D59"/>
    <w:pPr>
      <w:spacing w:before="100" w:beforeAutospacing="1" w:after="100" w:afterAutospacing="1"/>
    </w:pPr>
  </w:style>
  <w:style w:type="character" w:customStyle="1" w:styleId="time-stamp">
    <w:name w:val="time-stamp"/>
    <w:basedOn w:val="Fuentedeprrafopredeter"/>
    <w:rsid w:val="00CB1D59"/>
  </w:style>
  <w:style w:type="character" w:styleId="Nmerodepgina">
    <w:name w:val="page number"/>
    <w:basedOn w:val="Fuentedeprrafopredeter"/>
    <w:uiPriority w:val="99"/>
    <w:semiHidden/>
    <w:unhideWhenUsed/>
    <w:rsid w:val="001C532D"/>
  </w:style>
  <w:style w:type="paragraph" w:styleId="Prrafodelista">
    <w:name w:val="List Paragraph"/>
    <w:basedOn w:val="Normal"/>
    <w:uiPriority w:val="34"/>
    <w:qFormat/>
    <w:rsid w:val="00CB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965">
      <w:bodyDiv w:val="1"/>
      <w:marLeft w:val="0"/>
      <w:marRight w:val="0"/>
      <w:marTop w:val="0"/>
      <w:marBottom w:val="0"/>
      <w:divBdr>
        <w:top w:val="none" w:sz="0" w:space="0" w:color="auto"/>
        <w:left w:val="none" w:sz="0" w:space="0" w:color="auto"/>
        <w:bottom w:val="none" w:sz="0" w:space="0" w:color="auto"/>
        <w:right w:val="none" w:sz="0" w:space="0" w:color="auto"/>
      </w:divBdr>
      <w:divsChild>
        <w:div w:id="1554385924">
          <w:marLeft w:val="0"/>
          <w:marRight w:val="0"/>
          <w:marTop w:val="0"/>
          <w:marBottom w:val="0"/>
          <w:divBdr>
            <w:top w:val="none" w:sz="0" w:space="0" w:color="auto"/>
            <w:left w:val="none" w:sz="0" w:space="0" w:color="auto"/>
            <w:bottom w:val="none" w:sz="0" w:space="0" w:color="auto"/>
            <w:right w:val="none" w:sz="0" w:space="0" w:color="auto"/>
          </w:divBdr>
          <w:divsChild>
            <w:div w:id="399409066">
              <w:marLeft w:val="0"/>
              <w:marRight w:val="0"/>
              <w:marTop w:val="0"/>
              <w:marBottom w:val="0"/>
              <w:divBdr>
                <w:top w:val="none" w:sz="0" w:space="0" w:color="auto"/>
                <w:left w:val="none" w:sz="0" w:space="0" w:color="auto"/>
                <w:bottom w:val="none" w:sz="0" w:space="0" w:color="auto"/>
                <w:right w:val="none" w:sz="0" w:space="0" w:color="auto"/>
              </w:divBdr>
              <w:divsChild>
                <w:div w:id="13817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3331">
      <w:bodyDiv w:val="1"/>
      <w:marLeft w:val="0"/>
      <w:marRight w:val="0"/>
      <w:marTop w:val="0"/>
      <w:marBottom w:val="0"/>
      <w:divBdr>
        <w:top w:val="none" w:sz="0" w:space="0" w:color="auto"/>
        <w:left w:val="none" w:sz="0" w:space="0" w:color="auto"/>
        <w:bottom w:val="none" w:sz="0" w:space="0" w:color="auto"/>
        <w:right w:val="none" w:sz="0" w:space="0" w:color="auto"/>
      </w:divBdr>
    </w:div>
    <w:div w:id="27267395">
      <w:bodyDiv w:val="1"/>
      <w:marLeft w:val="0"/>
      <w:marRight w:val="0"/>
      <w:marTop w:val="0"/>
      <w:marBottom w:val="0"/>
      <w:divBdr>
        <w:top w:val="none" w:sz="0" w:space="0" w:color="auto"/>
        <w:left w:val="none" w:sz="0" w:space="0" w:color="auto"/>
        <w:bottom w:val="none" w:sz="0" w:space="0" w:color="auto"/>
        <w:right w:val="none" w:sz="0" w:space="0" w:color="auto"/>
      </w:divBdr>
      <w:divsChild>
        <w:div w:id="774445557">
          <w:marLeft w:val="0"/>
          <w:marRight w:val="0"/>
          <w:marTop w:val="0"/>
          <w:marBottom w:val="0"/>
          <w:divBdr>
            <w:top w:val="none" w:sz="0" w:space="0" w:color="auto"/>
            <w:left w:val="none" w:sz="0" w:space="0" w:color="auto"/>
            <w:bottom w:val="none" w:sz="0" w:space="0" w:color="auto"/>
            <w:right w:val="none" w:sz="0" w:space="0" w:color="auto"/>
          </w:divBdr>
          <w:divsChild>
            <w:div w:id="1477987238">
              <w:marLeft w:val="0"/>
              <w:marRight w:val="0"/>
              <w:marTop w:val="0"/>
              <w:marBottom w:val="0"/>
              <w:divBdr>
                <w:top w:val="none" w:sz="0" w:space="0" w:color="auto"/>
                <w:left w:val="none" w:sz="0" w:space="0" w:color="auto"/>
                <w:bottom w:val="none" w:sz="0" w:space="0" w:color="auto"/>
                <w:right w:val="none" w:sz="0" w:space="0" w:color="auto"/>
              </w:divBdr>
              <w:divsChild>
                <w:div w:id="21472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620">
          <w:marLeft w:val="0"/>
          <w:marRight w:val="0"/>
          <w:marTop w:val="0"/>
          <w:marBottom w:val="0"/>
          <w:divBdr>
            <w:top w:val="none" w:sz="0" w:space="0" w:color="auto"/>
            <w:left w:val="none" w:sz="0" w:space="0" w:color="auto"/>
            <w:bottom w:val="none" w:sz="0" w:space="0" w:color="auto"/>
            <w:right w:val="none" w:sz="0" w:space="0" w:color="auto"/>
          </w:divBdr>
          <w:divsChild>
            <w:div w:id="1284576637">
              <w:marLeft w:val="0"/>
              <w:marRight w:val="0"/>
              <w:marTop w:val="0"/>
              <w:marBottom w:val="0"/>
              <w:divBdr>
                <w:top w:val="none" w:sz="0" w:space="0" w:color="auto"/>
                <w:left w:val="none" w:sz="0" w:space="0" w:color="auto"/>
                <w:bottom w:val="none" w:sz="0" w:space="0" w:color="auto"/>
                <w:right w:val="none" w:sz="0" w:space="0" w:color="auto"/>
              </w:divBdr>
              <w:divsChild>
                <w:div w:id="1278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3635">
      <w:bodyDiv w:val="1"/>
      <w:marLeft w:val="0"/>
      <w:marRight w:val="0"/>
      <w:marTop w:val="0"/>
      <w:marBottom w:val="0"/>
      <w:divBdr>
        <w:top w:val="none" w:sz="0" w:space="0" w:color="auto"/>
        <w:left w:val="none" w:sz="0" w:space="0" w:color="auto"/>
        <w:bottom w:val="none" w:sz="0" w:space="0" w:color="auto"/>
        <w:right w:val="none" w:sz="0" w:space="0" w:color="auto"/>
      </w:divBdr>
      <w:divsChild>
        <w:div w:id="688291198">
          <w:marLeft w:val="0"/>
          <w:marRight w:val="0"/>
          <w:marTop w:val="0"/>
          <w:marBottom w:val="0"/>
          <w:divBdr>
            <w:top w:val="none" w:sz="0" w:space="0" w:color="auto"/>
            <w:left w:val="none" w:sz="0" w:space="0" w:color="auto"/>
            <w:bottom w:val="none" w:sz="0" w:space="0" w:color="auto"/>
            <w:right w:val="none" w:sz="0" w:space="0" w:color="auto"/>
          </w:divBdr>
          <w:divsChild>
            <w:div w:id="649486250">
              <w:marLeft w:val="0"/>
              <w:marRight w:val="0"/>
              <w:marTop w:val="0"/>
              <w:marBottom w:val="0"/>
              <w:divBdr>
                <w:top w:val="none" w:sz="0" w:space="0" w:color="auto"/>
                <w:left w:val="none" w:sz="0" w:space="0" w:color="auto"/>
                <w:bottom w:val="none" w:sz="0" w:space="0" w:color="auto"/>
                <w:right w:val="none" w:sz="0" w:space="0" w:color="auto"/>
              </w:divBdr>
              <w:divsChild>
                <w:div w:id="1152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494">
      <w:bodyDiv w:val="1"/>
      <w:marLeft w:val="0"/>
      <w:marRight w:val="0"/>
      <w:marTop w:val="0"/>
      <w:marBottom w:val="0"/>
      <w:divBdr>
        <w:top w:val="none" w:sz="0" w:space="0" w:color="auto"/>
        <w:left w:val="none" w:sz="0" w:space="0" w:color="auto"/>
        <w:bottom w:val="none" w:sz="0" w:space="0" w:color="auto"/>
        <w:right w:val="none" w:sz="0" w:space="0" w:color="auto"/>
      </w:divBdr>
      <w:divsChild>
        <w:div w:id="1026709937">
          <w:marLeft w:val="0"/>
          <w:marRight w:val="0"/>
          <w:marTop w:val="0"/>
          <w:marBottom w:val="0"/>
          <w:divBdr>
            <w:top w:val="none" w:sz="0" w:space="0" w:color="auto"/>
            <w:left w:val="none" w:sz="0" w:space="0" w:color="auto"/>
            <w:bottom w:val="none" w:sz="0" w:space="0" w:color="auto"/>
            <w:right w:val="none" w:sz="0" w:space="0" w:color="auto"/>
          </w:divBdr>
          <w:divsChild>
            <w:div w:id="306863576">
              <w:marLeft w:val="0"/>
              <w:marRight w:val="0"/>
              <w:marTop w:val="0"/>
              <w:marBottom w:val="0"/>
              <w:divBdr>
                <w:top w:val="none" w:sz="0" w:space="0" w:color="auto"/>
                <w:left w:val="none" w:sz="0" w:space="0" w:color="auto"/>
                <w:bottom w:val="none" w:sz="0" w:space="0" w:color="auto"/>
                <w:right w:val="none" w:sz="0" w:space="0" w:color="auto"/>
              </w:divBdr>
              <w:divsChild>
                <w:div w:id="1936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6621">
      <w:bodyDiv w:val="1"/>
      <w:marLeft w:val="0"/>
      <w:marRight w:val="0"/>
      <w:marTop w:val="0"/>
      <w:marBottom w:val="0"/>
      <w:divBdr>
        <w:top w:val="none" w:sz="0" w:space="0" w:color="auto"/>
        <w:left w:val="none" w:sz="0" w:space="0" w:color="auto"/>
        <w:bottom w:val="none" w:sz="0" w:space="0" w:color="auto"/>
        <w:right w:val="none" w:sz="0" w:space="0" w:color="auto"/>
      </w:divBdr>
    </w:div>
    <w:div w:id="95372849">
      <w:bodyDiv w:val="1"/>
      <w:marLeft w:val="0"/>
      <w:marRight w:val="0"/>
      <w:marTop w:val="0"/>
      <w:marBottom w:val="0"/>
      <w:divBdr>
        <w:top w:val="none" w:sz="0" w:space="0" w:color="auto"/>
        <w:left w:val="none" w:sz="0" w:space="0" w:color="auto"/>
        <w:bottom w:val="none" w:sz="0" w:space="0" w:color="auto"/>
        <w:right w:val="none" w:sz="0" w:space="0" w:color="auto"/>
      </w:divBdr>
    </w:div>
    <w:div w:id="121702306">
      <w:bodyDiv w:val="1"/>
      <w:marLeft w:val="0"/>
      <w:marRight w:val="0"/>
      <w:marTop w:val="0"/>
      <w:marBottom w:val="0"/>
      <w:divBdr>
        <w:top w:val="none" w:sz="0" w:space="0" w:color="auto"/>
        <w:left w:val="none" w:sz="0" w:space="0" w:color="auto"/>
        <w:bottom w:val="none" w:sz="0" w:space="0" w:color="auto"/>
        <w:right w:val="none" w:sz="0" w:space="0" w:color="auto"/>
      </w:divBdr>
      <w:divsChild>
        <w:div w:id="501967923">
          <w:marLeft w:val="0"/>
          <w:marRight w:val="0"/>
          <w:marTop w:val="0"/>
          <w:marBottom w:val="0"/>
          <w:divBdr>
            <w:top w:val="none" w:sz="0" w:space="0" w:color="auto"/>
            <w:left w:val="none" w:sz="0" w:space="0" w:color="auto"/>
            <w:bottom w:val="none" w:sz="0" w:space="0" w:color="auto"/>
            <w:right w:val="none" w:sz="0" w:space="0" w:color="auto"/>
          </w:divBdr>
          <w:divsChild>
            <w:div w:id="21901067">
              <w:marLeft w:val="0"/>
              <w:marRight w:val="0"/>
              <w:marTop w:val="0"/>
              <w:marBottom w:val="0"/>
              <w:divBdr>
                <w:top w:val="none" w:sz="0" w:space="0" w:color="auto"/>
                <w:left w:val="none" w:sz="0" w:space="0" w:color="auto"/>
                <w:bottom w:val="none" w:sz="0" w:space="0" w:color="auto"/>
                <w:right w:val="none" w:sz="0" w:space="0" w:color="auto"/>
              </w:divBdr>
              <w:divsChild>
                <w:div w:id="431121885">
                  <w:marLeft w:val="0"/>
                  <w:marRight w:val="0"/>
                  <w:marTop w:val="0"/>
                  <w:marBottom w:val="0"/>
                  <w:divBdr>
                    <w:top w:val="none" w:sz="0" w:space="0" w:color="auto"/>
                    <w:left w:val="none" w:sz="0" w:space="0" w:color="auto"/>
                    <w:bottom w:val="none" w:sz="0" w:space="0" w:color="auto"/>
                    <w:right w:val="none" w:sz="0" w:space="0" w:color="auto"/>
                  </w:divBdr>
                </w:div>
              </w:divsChild>
            </w:div>
            <w:div w:id="1504320783">
              <w:marLeft w:val="0"/>
              <w:marRight w:val="0"/>
              <w:marTop w:val="0"/>
              <w:marBottom w:val="0"/>
              <w:divBdr>
                <w:top w:val="none" w:sz="0" w:space="0" w:color="auto"/>
                <w:left w:val="none" w:sz="0" w:space="0" w:color="auto"/>
                <w:bottom w:val="none" w:sz="0" w:space="0" w:color="auto"/>
                <w:right w:val="none" w:sz="0" w:space="0" w:color="auto"/>
              </w:divBdr>
              <w:divsChild>
                <w:div w:id="1063140692">
                  <w:marLeft w:val="0"/>
                  <w:marRight w:val="0"/>
                  <w:marTop w:val="0"/>
                  <w:marBottom w:val="0"/>
                  <w:divBdr>
                    <w:top w:val="none" w:sz="0" w:space="0" w:color="auto"/>
                    <w:left w:val="none" w:sz="0" w:space="0" w:color="auto"/>
                    <w:bottom w:val="none" w:sz="0" w:space="0" w:color="auto"/>
                    <w:right w:val="none" w:sz="0" w:space="0" w:color="auto"/>
                  </w:divBdr>
                </w:div>
              </w:divsChild>
            </w:div>
            <w:div w:id="1526947036">
              <w:marLeft w:val="0"/>
              <w:marRight w:val="0"/>
              <w:marTop w:val="0"/>
              <w:marBottom w:val="0"/>
              <w:divBdr>
                <w:top w:val="none" w:sz="0" w:space="0" w:color="auto"/>
                <w:left w:val="none" w:sz="0" w:space="0" w:color="auto"/>
                <w:bottom w:val="none" w:sz="0" w:space="0" w:color="auto"/>
                <w:right w:val="none" w:sz="0" w:space="0" w:color="auto"/>
              </w:divBdr>
              <w:divsChild>
                <w:div w:id="1757439219">
                  <w:marLeft w:val="0"/>
                  <w:marRight w:val="0"/>
                  <w:marTop w:val="0"/>
                  <w:marBottom w:val="0"/>
                  <w:divBdr>
                    <w:top w:val="none" w:sz="0" w:space="0" w:color="auto"/>
                    <w:left w:val="none" w:sz="0" w:space="0" w:color="auto"/>
                    <w:bottom w:val="none" w:sz="0" w:space="0" w:color="auto"/>
                    <w:right w:val="none" w:sz="0" w:space="0" w:color="auto"/>
                  </w:divBdr>
                </w:div>
              </w:divsChild>
            </w:div>
            <w:div w:id="976685524">
              <w:marLeft w:val="0"/>
              <w:marRight w:val="0"/>
              <w:marTop w:val="0"/>
              <w:marBottom w:val="0"/>
              <w:divBdr>
                <w:top w:val="none" w:sz="0" w:space="0" w:color="auto"/>
                <w:left w:val="none" w:sz="0" w:space="0" w:color="auto"/>
                <w:bottom w:val="none" w:sz="0" w:space="0" w:color="auto"/>
                <w:right w:val="none" w:sz="0" w:space="0" w:color="auto"/>
              </w:divBdr>
              <w:divsChild>
                <w:div w:id="283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358">
      <w:bodyDiv w:val="1"/>
      <w:marLeft w:val="0"/>
      <w:marRight w:val="0"/>
      <w:marTop w:val="0"/>
      <w:marBottom w:val="0"/>
      <w:divBdr>
        <w:top w:val="none" w:sz="0" w:space="0" w:color="auto"/>
        <w:left w:val="none" w:sz="0" w:space="0" w:color="auto"/>
        <w:bottom w:val="none" w:sz="0" w:space="0" w:color="auto"/>
        <w:right w:val="none" w:sz="0" w:space="0" w:color="auto"/>
      </w:divBdr>
    </w:div>
    <w:div w:id="149299645">
      <w:bodyDiv w:val="1"/>
      <w:marLeft w:val="0"/>
      <w:marRight w:val="0"/>
      <w:marTop w:val="0"/>
      <w:marBottom w:val="0"/>
      <w:divBdr>
        <w:top w:val="none" w:sz="0" w:space="0" w:color="auto"/>
        <w:left w:val="none" w:sz="0" w:space="0" w:color="auto"/>
        <w:bottom w:val="none" w:sz="0" w:space="0" w:color="auto"/>
        <w:right w:val="none" w:sz="0" w:space="0" w:color="auto"/>
      </w:divBdr>
      <w:divsChild>
        <w:div w:id="569654216">
          <w:marLeft w:val="0"/>
          <w:marRight w:val="0"/>
          <w:marTop w:val="0"/>
          <w:marBottom w:val="0"/>
          <w:divBdr>
            <w:top w:val="none" w:sz="0" w:space="0" w:color="auto"/>
            <w:left w:val="none" w:sz="0" w:space="0" w:color="auto"/>
            <w:bottom w:val="none" w:sz="0" w:space="0" w:color="auto"/>
            <w:right w:val="none" w:sz="0" w:space="0" w:color="auto"/>
          </w:divBdr>
          <w:divsChild>
            <w:div w:id="845486269">
              <w:marLeft w:val="0"/>
              <w:marRight w:val="0"/>
              <w:marTop w:val="0"/>
              <w:marBottom w:val="0"/>
              <w:divBdr>
                <w:top w:val="none" w:sz="0" w:space="0" w:color="auto"/>
                <w:left w:val="none" w:sz="0" w:space="0" w:color="auto"/>
                <w:bottom w:val="none" w:sz="0" w:space="0" w:color="auto"/>
                <w:right w:val="none" w:sz="0" w:space="0" w:color="auto"/>
              </w:divBdr>
              <w:divsChild>
                <w:div w:id="835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4114">
      <w:bodyDiv w:val="1"/>
      <w:marLeft w:val="0"/>
      <w:marRight w:val="0"/>
      <w:marTop w:val="0"/>
      <w:marBottom w:val="0"/>
      <w:divBdr>
        <w:top w:val="none" w:sz="0" w:space="0" w:color="auto"/>
        <w:left w:val="none" w:sz="0" w:space="0" w:color="auto"/>
        <w:bottom w:val="none" w:sz="0" w:space="0" w:color="auto"/>
        <w:right w:val="none" w:sz="0" w:space="0" w:color="auto"/>
      </w:divBdr>
    </w:div>
    <w:div w:id="177621132">
      <w:bodyDiv w:val="1"/>
      <w:marLeft w:val="0"/>
      <w:marRight w:val="0"/>
      <w:marTop w:val="0"/>
      <w:marBottom w:val="0"/>
      <w:divBdr>
        <w:top w:val="none" w:sz="0" w:space="0" w:color="auto"/>
        <w:left w:val="none" w:sz="0" w:space="0" w:color="auto"/>
        <w:bottom w:val="none" w:sz="0" w:space="0" w:color="auto"/>
        <w:right w:val="none" w:sz="0" w:space="0" w:color="auto"/>
      </w:divBdr>
    </w:div>
    <w:div w:id="195853494">
      <w:bodyDiv w:val="1"/>
      <w:marLeft w:val="0"/>
      <w:marRight w:val="0"/>
      <w:marTop w:val="0"/>
      <w:marBottom w:val="0"/>
      <w:divBdr>
        <w:top w:val="none" w:sz="0" w:space="0" w:color="auto"/>
        <w:left w:val="none" w:sz="0" w:space="0" w:color="auto"/>
        <w:bottom w:val="none" w:sz="0" w:space="0" w:color="auto"/>
        <w:right w:val="none" w:sz="0" w:space="0" w:color="auto"/>
      </w:divBdr>
      <w:divsChild>
        <w:div w:id="670572767">
          <w:marLeft w:val="0"/>
          <w:marRight w:val="0"/>
          <w:marTop w:val="0"/>
          <w:marBottom w:val="0"/>
          <w:divBdr>
            <w:top w:val="none" w:sz="0" w:space="0" w:color="auto"/>
            <w:left w:val="none" w:sz="0" w:space="0" w:color="auto"/>
            <w:bottom w:val="none" w:sz="0" w:space="0" w:color="auto"/>
            <w:right w:val="none" w:sz="0" w:space="0" w:color="auto"/>
          </w:divBdr>
          <w:divsChild>
            <w:div w:id="1698000664">
              <w:marLeft w:val="0"/>
              <w:marRight w:val="0"/>
              <w:marTop w:val="0"/>
              <w:marBottom w:val="0"/>
              <w:divBdr>
                <w:top w:val="none" w:sz="0" w:space="0" w:color="auto"/>
                <w:left w:val="none" w:sz="0" w:space="0" w:color="auto"/>
                <w:bottom w:val="none" w:sz="0" w:space="0" w:color="auto"/>
                <w:right w:val="none" w:sz="0" w:space="0" w:color="auto"/>
              </w:divBdr>
              <w:divsChild>
                <w:div w:id="196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9006">
      <w:bodyDiv w:val="1"/>
      <w:marLeft w:val="0"/>
      <w:marRight w:val="0"/>
      <w:marTop w:val="0"/>
      <w:marBottom w:val="0"/>
      <w:divBdr>
        <w:top w:val="none" w:sz="0" w:space="0" w:color="auto"/>
        <w:left w:val="none" w:sz="0" w:space="0" w:color="auto"/>
        <w:bottom w:val="none" w:sz="0" w:space="0" w:color="auto"/>
        <w:right w:val="none" w:sz="0" w:space="0" w:color="auto"/>
      </w:divBdr>
    </w:div>
    <w:div w:id="209609473">
      <w:bodyDiv w:val="1"/>
      <w:marLeft w:val="0"/>
      <w:marRight w:val="0"/>
      <w:marTop w:val="0"/>
      <w:marBottom w:val="0"/>
      <w:divBdr>
        <w:top w:val="none" w:sz="0" w:space="0" w:color="auto"/>
        <w:left w:val="none" w:sz="0" w:space="0" w:color="auto"/>
        <w:bottom w:val="none" w:sz="0" w:space="0" w:color="auto"/>
        <w:right w:val="none" w:sz="0" w:space="0" w:color="auto"/>
      </w:divBdr>
      <w:divsChild>
        <w:div w:id="1284842799">
          <w:marLeft w:val="0"/>
          <w:marRight w:val="0"/>
          <w:marTop w:val="0"/>
          <w:marBottom w:val="0"/>
          <w:divBdr>
            <w:top w:val="none" w:sz="0" w:space="0" w:color="auto"/>
            <w:left w:val="none" w:sz="0" w:space="0" w:color="auto"/>
            <w:bottom w:val="none" w:sz="0" w:space="0" w:color="auto"/>
            <w:right w:val="none" w:sz="0" w:space="0" w:color="auto"/>
          </w:divBdr>
          <w:divsChild>
            <w:div w:id="1735739069">
              <w:marLeft w:val="0"/>
              <w:marRight w:val="0"/>
              <w:marTop w:val="0"/>
              <w:marBottom w:val="0"/>
              <w:divBdr>
                <w:top w:val="none" w:sz="0" w:space="0" w:color="auto"/>
                <w:left w:val="none" w:sz="0" w:space="0" w:color="auto"/>
                <w:bottom w:val="none" w:sz="0" w:space="0" w:color="auto"/>
                <w:right w:val="none" w:sz="0" w:space="0" w:color="auto"/>
              </w:divBdr>
              <w:divsChild>
                <w:div w:id="8551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5450">
      <w:bodyDiv w:val="1"/>
      <w:marLeft w:val="0"/>
      <w:marRight w:val="0"/>
      <w:marTop w:val="0"/>
      <w:marBottom w:val="0"/>
      <w:divBdr>
        <w:top w:val="none" w:sz="0" w:space="0" w:color="auto"/>
        <w:left w:val="none" w:sz="0" w:space="0" w:color="auto"/>
        <w:bottom w:val="none" w:sz="0" w:space="0" w:color="auto"/>
        <w:right w:val="none" w:sz="0" w:space="0" w:color="auto"/>
      </w:divBdr>
    </w:div>
    <w:div w:id="222643373">
      <w:bodyDiv w:val="1"/>
      <w:marLeft w:val="0"/>
      <w:marRight w:val="0"/>
      <w:marTop w:val="0"/>
      <w:marBottom w:val="0"/>
      <w:divBdr>
        <w:top w:val="none" w:sz="0" w:space="0" w:color="auto"/>
        <w:left w:val="none" w:sz="0" w:space="0" w:color="auto"/>
        <w:bottom w:val="none" w:sz="0" w:space="0" w:color="auto"/>
        <w:right w:val="none" w:sz="0" w:space="0" w:color="auto"/>
      </w:divBdr>
    </w:div>
    <w:div w:id="243616180">
      <w:bodyDiv w:val="1"/>
      <w:marLeft w:val="0"/>
      <w:marRight w:val="0"/>
      <w:marTop w:val="0"/>
      <w:marBottom w:val="0"/>
      <w:divBdr>
        <w:top w:val="none" w:sz="0" w:space="0" w:color="auto"/>
        <w:left w:val="none" w:sz="0" w:space="0" w:color="auto"/>
        <w:bottom w:val="none" w:sz="0" w:space="0" w:color="auto"/>
        <w:right w:val="none" w:sz="0" w:space="0" w:color="auto"/>
      </w:divBdr>
      <w:divsChild>
        <w:div w:id="415519603">
          <w:marLeft w:val="0"/>
          <w:marRight w:val="0"/>
          <w:marTop w:val="0"/>
          <w:marBottom w:val="0"/>
          <w:divBdr>
            <w:top w:val="none" w:sz="0" w:space="0" w:color="auto"/>
            <w:left w:val="none" w:sz="0" w:space="0" w:color="auto"/>
            <w:bottom w:val="none" w:sz="0" w:space="0" w:color="auto"/>
            <w:right w:val="none" w:sz="0" w:space="0" w:color="auto"/>
          </w:divBdr>
          <w:divsChild>
            <w:div w:id="650671106">
              <w:marLeft w:val="0"/>
              <w:marRight w:val="0"/>
              <w:marTop w:val="0"/>
              <w:marBottom w:val="0"/>
              <w:divBdr>
                <w:top w:val="none" w:sz="0" w:space="0" w:color="auto"/>
                <w:left w:val="none" w:sz="0" w:space="0" w:color="auto"/>
                <w:bottom w:val="none" w:sz="0" w:space="0" w:color="auto"/>
                <w:right w:val="none" w:sz="0" w:space="0" w:color="auto"/>
              </w:divBdr>
              <w:divsChild>
                <w:div w:id="1426804015">
                  <w:marLeft w:val="0"/>
                  <w:marRight w:val="0"/>
                  <w:marTop w:val="0"/>
                  <w:marBottom w:val="0"/>
                  <w:divBdr>
                    <w:top w:val="none" w:sz="0" w:space="0" w:color="auto"/>
                    <w:left w:val="none" w:sz="0" w:space="0" w:color="auto"/>
                    <w:bottom w:val="none" w:sz="0" w:space="0" w:color="auto"/>
                    <w:right w:val="none" w:sz="0" w:space="0" w:color="auto"/>
                  </w:divBdr>
                  <w:divsChild>
                    <w:div w:id="1364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7918">
      <w:bodyDiv w:val="1"/>
      <w:marLeft w:val="0"/>
      <w:marRight w:val="0"/>
      <w:marTop w:val="0"/>
      <w:marBottom w:val="0"/>
      <w:divBdr>
        <w:top w:val="none" w:sz="0" w:space="0" w:color="auto"/>
        <w:left w:val="none" w:sz="0" w:space="0" w:color="auto"/>
        <w:bottom w:val="none" w:sz="0" w:space="0" w:color="auto"/>
        <w:right w:val="none" w:sz="0" w:space="0" w:color="auto"/>
      </w:divBdr>
    </w:div>
    <w:div w:id="275910750">
      <w:bodyDiv w:val="1"/>
      <w:marLeft w:val="0"/>
      <w:marRight w:val="0"/>
      <w:marTop w:val="0"/>
      <w:marBottom w:val="0"/>
      <w:divBdr>
        <w:top w:val="none" w:sz="0" w:space="0" w:color="auto"/>
        <w:left w:val="none" w:sz="0" w:space="0" w:color="auto"/>
        <w:bottom w:val="none" w:sz="0" w:space="0" w:color="auto"/>
        <w:right w:val="none" w:sz="0" w:space="0" w:color="auto"/>
      </w:divBdr>
      <w:divsChild>
        <w:div w:id="655109971">
          <w:marLeft w:val="0"/>
          <w:marRight w:val="0"/>
          <w:marTop w:val="0"/>
          <w:marBottom w:val="0"/>
          <w:divBdr>
            <w:top w:val="none" w:sz="0" w:space="0" w:color="auto"/>
            <w:left w:val="none" w:sz="0" w:space="0" w:color="auto"/>
            <w:bottom w:val="none" w:sz="0" w:space="0" w:color="auto"/>
            <w:right w:val="none" w:sz="0" w:space="0" w:color="auto"/>
          </w:divBdr>
          <w:divsChild>
            <w:div w:id="1613396698">
              <w:marLeft w:val="0"/>
              <w:marRight w:val="0"/>
              <w:marTop w:val="0"/>
              <w:marBottom w:val="0"/>
              <w:divBdr>
                <w:top w:val="none" w:sz="0" w:space="0" w:color="auto"/>
                <w:left w:val="none" w:sz="0" w:space="0" w:color="auto"/>
                <w:bottom w:val="none" w:sz="0" w:space="0" w:color="auto"/>
                <w:right w:val="none" w:sz="0" w:space="0" w:color="auto"/>
              </w:divBdr>
              <w:divsChild>
                <w:div w:id="1042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4376">
      <w:bodyDiv w:val="1"/>
      <w:marLeft w:val="0"/>
      <w:marRight w:val="0"/>
      <w:marTop w:val="0"/>
      <w:marBottom w:val="0"/>
      <w:divBdr>
        <w:top w:val="none" w:sz="0" w:space="0" w:color="auto"/>
        <w:left w:val="none" w:sz="0" w:space="0" w:color="auto"/>
        <w:bottom w:val="none" w:sz="0" w:space="0" w:color="auto"/>
        <w:right w:val="none" w:sz="0" w:space="0" w:color="auto"/>
      </w:divBdr>
    </w:div>
    <w:div w:id="375010832">
      <w:bodyDiv w:val="1"/>
      <w:marLeft w:val="0"/>
      <w:marRight w:val="0"/>
      <w:marTop w:val="0"/>
      <w:marBottom w:val="0"/>
      <w:divBdr>
        <w:top w:val="none" w:sz="0" w:space="0" w:color="auto"/>
        <w:left w:val="none" w:sz="0" w:space="0" w:color="auto"/>
        <w:bottom w:val="none" w:sz="0" w:space="0" w:color="auto"/>
        <w:right w:val="none" w:sz="0" w:space="0" w:color="auto"/>
      </w:divBdr>
    </w:div>
    <w:div w:id="382556304">
      <w:bodyDiv w:val="1"/>
      <w:marLeft w:val="0"/>
      <w:marRight w:val="0"/>
      <w:marTop w:val="0"/>
      <w:marBottom w:val="0"/>
      <w:divBdr>
        <w:top w:val="none" w:sz="0" w:space="0" w:color="auto"/>
        <w:left w:val="none" w:sz="0" w:space="0" w:color="auto"/>
        <w:bottom w:val="none" w:sz="0" w:space="0" w:color="auto"/>
        <w:right w:val="none" w:sz="0" w:space="0" w:color="auto"/>
      </w:divBdr>
    </w:div>
    <w:div w:id="385564351">
      <w:bodyDiv w:val="1"/>
      <w:marLeft w:val="0"/>
      <w:marRight w:val="0"/>
      <w:marTop w:val="0"/>
      <w:marBottom w:val="0"/>
      <w:divBdr>
        <w:top w:val="none" w:sz="0" w:space="0" w:color="auto"/>
        <w:left w:val="none" w:sz="0" w:space="0" w:color="auto"/>
        <w:bottom w:val="none" w:sz="0" w:space="0" w:color="auto"/>
        <w:right w:val="none" w:sz="0" w:space="0" w:color="auto"/>
      </w:divBdr>
      <w:divsChild>
        <w:div w:id="1815952906">
          <w:marLeft w:val="0"/>
          <w:marRight w:val="0"/>
          <w:marTop w:val="0"/>
          <w:marBottom w:val="0"/>
          <w:divBdr>
            <w:top w:val="none" w:sz="0" w:space="0" w:color="auto"/>
            <w:left w:val="none" w:sz="0" w:space="0" w:color="auto"/>
            <w:bottom w:val="none" w:sz="0" w:space="0" w:color="auto"/>
            <w:right w:val="none" w:sz="0" w:space="0" w:color="auto"/>
          </w:divBdr>
          <w:divsChild>
            <w:div w:id="883179487">
              <w:marLeft w:val="0"/>
              <w:marRight w:val="0"/>
              <w:marTop w:val="0"/>
              <w:marBottom w:val="0"/>
              <w:divBdr>
                <w:top w:val="none" w:sz="0" w:space="0" w:color="auto"/>
                <w:left w:val="none" w:sz="0" w:space="0" w:color="auto"/>
                <w:bottom w:val="none" w:sz="0" w:space="0" w:color="auto"/>
                <w:right w:val="none" w:sz="0" w:space="0" w:color="auto"/>
              </w:divBdr>
              <w:divsChild>
                <w:div w:id="12158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713">
      <w:bodyDiv w:val="1"/>
      <w:marLeft w:val="0"/>
      <w:marRight w:val="0"/>
      <w:marTop w:val="0"/>
      <w:marBottom w:val="0"/>
      <w:divBdr>
        <w:top w:val="none" w:sz="0" w:space="0" w:color="auto"/>
        <w:left w:val="none" w:sz="0" w:space="0" w:color="auto"/>
        <w:bottom w:val="none" w:sz="0" w:space="0" w:color="auto"/>
        <w:right w:val="none" w:sz="0" w:space="0" w:color="auto"/>
      </w:divBdr>
      <w:divsChild>
        <w:div w:id="1305891256">
          <w:marLeft w:val="0"/>
          <w:marRight w:val="0"/>
          <w:marTop w:val="0"/>
          <w:marBottom w:val="0"/>
          <w:divBdr>
            <w:top w:val="none" w:sz="0" w:space="0" w:color="auto"/>
            <w:left w:val="none" w:sz="0" w:space="0" w:color="auto"/>
            <w:bottom w:val="none" w:sz="0" w:space="0" w:color="auto"/>
            <w:right w:val="none" w:sz="0" w:space="0" w:color="auto"/>
          </w:divBdr>
          <w:divsChild>
            <w:div w:id="1549536115">
              <w:marLeft w:val="0"/>
              <w:marRight w:val="0"/>
              <w:marTop w:val="0"/>
              <w:marBottom w:val="0"/>
              <w:divBdr>
                <w:top w:val="none" w:sz="0" w:space="0" w:color="auto"/>
                <w:left w:val="none" w:sz="0" w:space="0" w:color="auto"/>
                <w:bottom w:val="none" w:sz="0" w:space="0" w:color="auto"/>
                <w:right w:val="none" w:sz="0" w:space="0" w:color="auto"/>
              </w:divBdr>
              <w:divsChild>
                <w:div w:id="928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979">
      <w:bodyDiv w:val="1"/>
      <w:marLeft w:val="0"/>
      <w:marRight w:val="0"/>
      <w:marTop w:val="0"/>
      <w:marBottom w:val="0"/>
      <w:divBdr>
        <w:top w:val="none" w:sz="0" w:space="0" w:color="auto"/>
        <w:left w:val="none" w:sz="0" w:space="0" w:color="auto"/>
        <w:bottom w:val="none" w:sz="0" w:space="0" w:color="auto"/>
        <w:right w:val="none" w:sz="0" w:space="0" w:color="auto"/>
      </w:divBdr>
      <w:divsChild>
        <w:div w:id="1037437576">
          <w:marLeft w:val="0"/>
          <w:marRight w:val="0"/>
          <w:marTop w:val="0"/>
          <w:marBottom w:val="0"/>
          <w:divBdr>
            <w:top w:val="none" w:sz="0" w:space="0" w:color="auto"/>
            <w:left w:val="none" w:sz="0" w:space="0" w:color="auto"/>
            <w:bottom w:val="none" w:sz="0" w:space="0" w:color="auto"/>
            <w:right w:val="none" w:sz="0" w:space="0" w:color="auto"/>
          </w:divBdr>
          <w:divsChild>
            <w:div w:id="1312246624">
              <w:marLeft w:val="0"/>
              <w:marRight w:val="0"/>
              <w:marTop w:val="0"/>
              <w:marBottom w:val="0"/>
              <w:divBdr>
                <w:top w:val="none" w:sz="0" w:space="0" w:color="auto"/>
                <w:left w:val="none" w:sz="0" w:space="0" w:color="auto"/>
                <w:bottom w:val="none" w:sz="0" w:space="0" w:color="auto"/>
                <w:right w:val="none" w:sz="0" w:space="0" w:color="auto"/>
              </w:divBdr>
              <w:divsChild>
                <w:div w:id="20961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9855">
      <w:bodyDiv w:val="1"/>
      <w:marLeft w:val="0"/>
      <w:marRight w:val="0"/>
      <w:marTop w:val="0"/>
      <w:marBottom w:val="0"/>
      <w:divBdr>
        <w:top w:val="none" w:sz="0" w:space="0" w:color="auto"/>
        <w:left w:val="none" w:sz="0" w:space="0" w:color="auto"/>
        <w:bottom w:val="none" w:sz="0" w:space="0" w:color="auto"/>
        <w:right w:val="none" w:sz="0" w:space="0" w:color="auto"/>
      </w:divBdr>
      <w:divsChild>
        <w:div w:id="1462382506">
          <w:marLeft w:val="0"/>
          <w:marRight w:val="0"/>
          <w:marTop w:val="0"/>
          <w:marBottom w:val="0"/>
          <w:divBdr>
            <w:top w:val="none" w:sz="0" w:space="0" w:color="auto"/>
            <w:left w:val="none" w:sz="0" w:space="0" w:color="auto"/>
            <w:bottom w:val="none" w:sz="0" w:space="0" w:color="auto"/>
            <w:right w:val="none" w:sz="0" w:space="0" w:color="auto"/>
          </w:divBdr>
          <w:divsChild>
            <w:div w:id="152524505">
              <w:marLeft w:val="0"/>
              <w:marRight w:val="0"/>
              <w:marTop w:val="0"/>
              <w:marBottom w:val="0"/>
              <w:divBdr>
                <w:top w:val="none" w:sz="0" w:space="0" w:color="auto"/>
                <w:left w:val="none" w:sz="0" w:space="0" w:color="auto"/>
                <w:bottom w:val="none" w:sz="0" w:space="0" w:color="auto"/>
                <w:right w:val="none" w:sz="0" w:space="0" w:color="auto"/>
              </w:divBdr>
              <w:divsChild>
                <w:div w:id="626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8903">
      <w:bodyDiv w:val="1"/>
      <w:marLeft w:val="0"/>
      <w:marRight w:val="0"/>
      <w:marTop w:val="0"/>
      <w:marBottom w:val="0"/>
      <w:divBdr>
        <w:top w:val="none" w:sz="0" w:space="0" w:color="auto"/>
        <w:left w:val="none" w:sz="0" w:space="0" w:color="auto"/>
        <w:bottom w:val="none" w:sz="0" w:space="0" w:color="auto"/>
        <w:right w:val="none" w:sz="0" w:space="0" w:color="auto"/>
      </w:divBdr>
    </w:div>
    <w:div w:id="448164301">
      <w:bodyDiv w:val="1"/>
      <w:marLeft w:val="0"/>
      <w:marRight w:val="0"/>
      <w:marTop w:val="0"/>
      <w:marBottom w:val="0"/>
      <w:divBdr>
        <w:top w:val="none" w:sz="0" w:space="0" w:color="auto"/>
        <w:left w:val="none" w:sz="0" w:space="0" w:color="auto"/>
        <w:bottom w:val="none" w:sz="0" w:space="0" w:color="auto"/>
        <w:right w:val="none" w:sz="0" w:space="0" w:color="auto"/>
      </w:divBdr>
      <w:divsChild>
        <w:div w:id="590630274">
          <w:marLeft w:val="0"/>
          <w:marRight w:val="0"/>
          <w:marTop w:val="0"/>
          <w:marBottom w:val="0"/>
          <w:divBdr>
            <w:top w:val="none" w:sz="0" w:space="0" w:color="auto"/>
            <w:left w:val="none" w:sz="0" w:space="0" w:color="auto"/>
            <w:bottom w:val="none" w:sz="0" w:space="0" w:color="auto"/>
            <w:right w:val="none" w:sz="0" w:space="0" w:color="auto"/>
          </w:divBdr>
          <w:divsChild>
            <w:div w:id="663968759">
              <w:marLeft w:val="0"/>
              <w:marRight w:val="0"/>
              <w:marTop w:val="0"/>
              <w:marBottom w:val="0"/>
              <w:divBdr>
                <w:top w:val="none" w:sz="0" w:space="0" w:color="auto"/>
                <w:left w:val="none" w:sz="0" w:space="0" w:color="auto"/>
                <w:bottom w:val="none" w:sz="0" w:space="0" w:color="auto"/>
                <w:right w:val="none" w:sz="0" w:space="0" w:color="auto"/>
              </w:divBdr>
              <w:divsChild>
                <w:div w:id="96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4944">
      <w:bodyDiv w:val="1"/>
      <w:marLeft w:val="0"/>
      <w:marRight w:val="0"/>
      <w:marTop w:val="0"/>
      <w:marBottom w:val="0"/>
      <w:divBdr>
        <w:top w:val="none" w:sz="0" w:space="0" w:color="auto"/>
        <w:left w:val="none" w:sz="0" w:space="0" w:color="auto"/>
        <w:bottom w:val="none" w:sz="0" w:space="0" w:color="auto"/>
        <w:right w:val="none" w:sz="0" w:space="0" w:color="auto"/>
      </w:divBdr>
    </w:div>
    <w:div w:id="534974506">
      <w:bodyDiv w:val="1"/>
      <w:marLeft w:val="0"/>
      <w:marRight w:val="0"/>
      <w:marTop w:val="0"/>
      <w:marBottom w:val="0"/>
      <w:divBdr>
        <w:top w:val="none" w:sz="0" w:space="0" w:color="auto"/>
        <w:left w:val="none" w:sz="0" w:space="0" w:color="auto"/>
        <w:bottom w:val="none" w:sz="0" w:space="0" w:color="auto"/>
        <w:right w:val="none" w:sz="0" w:space="0" w:color="auto"/>
      </w:divBdr>
    </w:div>
    <w:div w:id="545803045">
      <w:bodyDiv w:val="1"/>
      <w:marLeft w:val="0"/>
      <w:marRight w:val="0"/>
      <w:marTop w:val="0"/>
      <w:marBottom w:val="0"/>
      <w:divBdr>
        <w:top w:val="none" w:sz="0" w:space="0" w:color="auto"/>
        <w:left w:val="none" w:sz="0" w:space="0" w:color="auto"/>
        <w:bottom w:val="none" w:sz="0" w:space="0" w:color="auto"/>
        <w:right w:val="none" w:sz="0" w:space="0" w:color="auto"/>
      </w:divBdr>
    </w:div>
    <w:div w:id="547451539">
      <w:bodyDiv w:val="1"/>
      <w:marLeft w:val="0"/>
      <w:marRight w:val="0"/>
      <w:marTop w:val="0"/>
      <w:marBottom w:val="0"/>
      <w:divBdr>
        <w:top w:val="none" w:sz="0" w:space="0" w:color="auto"/>
        <w:left w:val="none" w:sz="0" w:space="0" w:color="auto"/>
        <w:bottom w:val="none" w:sz="0" w:space="0" w:color="auto"/>
        <w:right w:val="none" w:sz="0" w:space="0" w:color="auto"/>
      </w:divBdr>
      <w:divsChild>
        <w:div w:id="958535642">
          <w:marLeft w:val="0"/>
          <w:marRight w:val="0"/>
          <w:marTop w:val="0"/>
          <w:marBottom w:val="0"/>
          <w:divBdr>
            <w:top w:val="none" w:sz="0" w:space="0" w:color="auto"/>
            <w:left w:val="none" w:sz="0" w:space="0" w:color="auto"/>
            <w:bottom w:val="none" w:sz="0" w:space="0" w:color="auto"/>
            <w:right w:val="none" w:sz="0" w:space="0" w:color="auto"/>
          </w:divBdr>
          <w:divsChild>
            <w:div w:id="1993219903">
              <w:marLeft w:val="0"/>
              <w:marRight w:val="0"/>
              <w:marTop w:val="0"/>
              <w:marBottom w:val="0"/>
              <w:divBdr>
                <w:top w:val="none" w:sz="0" w:space="0" w:color="auto"/>
                <w:left w:val="none" w:sz="0" w:space="0" w:color="auto"/>
                <w:bottom w:val="none" w:sz="0" w:space="0" w:color="auto"/>
                <w:right w:val="none" w:sz="0" w:space="0" w:color="auto"/>
              </w:divBdr>
              <w:divsChild>
                <w:div w:id="17548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7243">
      <w:bodyDiv w:val="1"/>
      <w:marLeft w:val="0"/>
      <w:marRight w:val="0"/>
      <w:marTop w:val="0"/>
      <w:marBottom w:val="0"/>
      <w:divBdr>
        <w:top w:val="none" w:sz="0" w:space="0" w:color="auto"/>
        <w:left w:val="none" w:sz="0" w:space="0" w:color="auto"/>
        <w:bottom w:val="none" w:sz="0" w:space="0" w:color="auto"/>
        <w:right w:val="none" w:sz="0" w:space="0" w:color="auto"/>
      </w:divBdr>
      <w:divsChild>
        <w:div w:id="1595436804">
          <w:marLeft w:val="0"/>
          <w:marRight w:val="0"/>
          <w:marTop w:val="0"/>
          <w:marBottom w:val="0"/>
          <w:divBdr>
            <w:top w:val="none" w:sz="0" w:space="0" w:color="auto"/>
            <w:left w:val="none" w:sz="0" w:space="0" w:color="auto"/>
            <w:bottom w:val="none" w:sz="0" w:space="0" w:color="auto"/>
            <w:right w:val="none" w:sz="0" w:space="0" w:color="auto"/>
          </w:divBdr>
          <w:divsChild>
            <w:div w:id="150996097">
              <w:marLeft w:val="0"/>
              <w:marRight w:val="0"/>
              <w:marTop w:val="0"/>
              <w:marBottom w:val="0"/>
              <w:divBdr>
                <w:top w:val="none" w:sz="0" w:space="0" w:color="auto"/>
                <w:left w:val="none" w:sz="0" w:space="0" w:color="auto"/>
                <w:bottom w:val="none" w:sz="0" w:space="0" w:color="auto"/>
                <w:right w:val="none" w:sz="0" w:space="0" w:color="auto"/>
              </w:divBdr>
              <w:divsChild>
                <w:div w:id="21286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6364">
      <w:bodyDiv w:val="1"/>
      <w:marLeft w:val="0"/>
      <w:marRight w:val="0"/>
      <w:marTop w:val="0"/>
      <w:marBottom w:val="0"/>
      <w:divBdr>
        <w:top w:val="none" w:sz="0" w:space="0" w:color="auto"/>
        <w:left w:val="none" w:sz="0" w:space="0" w:color="auto"/>
        <w:bottom w:val="none" w:sz="0" w:space="0" w:color="auto"/>
        <w:right w:val="none" w:sz="0" w:space="0" w:color="auto"/>
      </w:divBdr>
    </w:div>
    <w:div w:id="667712327">
      <w:bodyDiv w:val="1"/>
      <w:marLeft w:val="0"/>
      <w:marRight w:val="0"/>
      <w:marTop w:val="0"/>
      <w:marBottom w:val="0"/>
      <w:divBdr>
        <w:top w:val="none" w:sz="0" w:space="0" w:color="auto"/>
        <w:left w:val="none" w:sz="0" w:space="0" w:color="auto"/>
        <w:bottom w:val="none" w:sz="0" w:space="0" w:color="auto"/>
        <w:right w:val="none" w:sz="0" w:space="0" w:color="auto"/>
      </w:divBdr>
    </w:div>
    <w:div w:id="744299840">
      <w:bodyDiv w:val="1"/>
      <w:marLeft w:val="0"/>
      <w:marRight w:val="0"/>
      <w:marTop w:val="0"/>
      <w:marBottom w:val="0"/>
      <w:divBdr>
        <w:top w:val="none" w:sz="0" w:space="0" w:color="auto"/>
        <w:left w:val="none" w:sz="0" w:space="0" w:color="auto"/>
        <w:bottom w:val="none" w:sz="0" w:space="0" w:color="auto"/>
        <w:right w:val="none" w:sz="0" w:space="0" w:color="auto"/>
      </w:divBdr>
      <w:divsChild>
        <w:div w:id="1338271315">
          <w:marLeft w:val="0"/>
          <w:marRight w:val="0"/>
          <w:marTop w:val="0"/>
          <w:marBottom w:val="0"/>
          <w:divBdr>
            <w:top w:val="none" w:sz="0" w:space="0" w:color="auto"/>
            <w:left w:val="none" w:sz="0" w:space="0" w:color="auto"/>
            <w:bottom w:val="none" w:sz="0" w:space="0" w:color="auto"/>
            <w:right w:val="none" w:sz="0" w:space="0" w:color="auto"/>
          </w:divBdr>
          <w:divsChild>
            <w:div w:id="94789994">
              <w:marLeft w:val="0"/>
              <w:marRight w:val="0"/>
              <w:marTop w:val="0"/>
              <w:marBottom w:val="0"/>
              <w:divBdr>
                <w:top w:val="none" w:sz="0" w:space="0" w:color="auto"/>
                <w:left w:val="none" w:sz="0" w:space="0" w:color="auto"/>
                <w:bottom w:val="none" w:sz="0" w:space="0" w:color="auto"/>
                <w:right w:val="none" w:sz="0" w:space="0" w:color="auto"/>
              </w:divBdr>
              <w:divsChild>
                <w:div w:id="1934557561">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2954">
      <w:bodyDiv w:val="1"/>
      <w:marLeft w:val="0"/>
      <w:marRight w:val="0"/>
      <w:marTop w:val="0"/>
      <w:marBottom w:val="0"/>
      <w:divBdr>
        <w:top w:val="none" w:sz="0" w:space="0" w:color="auto"/>
        <w:left w:val="none" w:sz="0" w:space="0" w:color="auto"/>
        <w:bottom w:val="none" w:sz="0" w:space="0" w:color="auto"/>
        <w:right w:val="none" w:sz="0" w:space="0" w:color="auto"/>
      </w:divBdr>
      <w:divsChild>
        <w:div w:id="1806116231">
          <w:marLeft w:val="0"/>
          <w:marRight w:val="0"/>
          <w:marTop w:val="0"/>
          <w:marBottom w:val="0"/>
          <w:divBdr>
            <w:top w:val="none" w:sz="0" w:space="0" w:color="auto"/>
            <w:left w:val="none" w:sz="0" w:space="0" w:color="auto"/>
            <w:bottom w:val="none" w:sz="0" w:space="0" w:color="auto"/>
            <w:right w:val="none" w:sz="0" w:space="0" w:color="auto"/>
          </w:divBdr>
          <w:divsChild>
            <w:div w:id="1440105843">
              <w:marLeft w:val="0"/>
              <w:marRight w:val="0"/>
              <w:marTop w:val="0"/>
              <w:marBottom w:val="0"/>
              <w:divBdr>
                <w:top w:val="none" w:sz="0" w:space="0" w:color="auto"/>
                <w:left w:val="none" w:sz="0" w:space="0" w:color="auto"/>
                <w:bottom w:val="none" w:sz="0" w:space="0" w:color="auto"/>
                <w:right w:val="none" w:sz="0" w:space="0" w:color="auto"/>
              </w:divBdr>
              <w:divsChild>
                <w:div w:id="4881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1379">
      <w:bodyDiv w:val="1"/>
      <w:marLeft w:val="0"/>
      <w:marRight w:val="0"/>
      <w:marTop w:val="0"/>
      <w:marBottom w:val="0"/>
      <w:divBdr>
        <w:top w:val="none" w:sz="0" w:space="0" w:color="auto"/>
        <w:left w:val="none" w:sz="0" w:space="0" w:color="auto"/>
        <w:bottom w:val="none" w:sz="0" w:space="0" w:color="auto"/>
        <w:right w:val="none" w:sz="0" w:space="0" w:color="auto"/>
      </w:divBdr>
      <w:divsChild>
        <w:div w:id="431559645">
          <w:marLeft w:val="0"/>
          <w:marRight w:val="0"/>
          <w:marTop w:val="0"/>
          <w:marBottom w:val="0"/>
          <w:divBdr>
            <w:top w:val="none" w:sz="0" w:space="0" w:color="auto"/>
            <w:left w:val="none" w:sz="0" w:space="0" w:color="auto"/>
            <w:bottom w:val="none" w:sz="0" w:space="0" w:color="auto"/>
            <w:right w:val="none" w:sz="0" w:space="0" w:color="auto"/>
          </w:divBdr>
        </w:div>
        <w:div w:id="1984966911">
          <w:marLeft w:val="0"/>
          <w:marRight w:val="0"/>
          <w:marTop w:val="0"/>
          <w:marBottom w:val="0"/>
          <w:divBdr>
            <w:top w:val="none" w:sz="0" w:space="0" w:color="auto"/>
            <w:left w:val="none" w:sz="0" w:space="0" w:color="auto"/>
            <w:bottom w:val="none" w:sz="0" w:space="0" w:color="auto"/>
            <w:right w:val="none" w:sz="0" w:space="0" w:color="auto"/>
          </w:divBdr>
          <w:divsChild>
            <w:div w:id="545606860">
              <w:marLeft w:val="0"/>
              <w:marRight w:val="0"/>
              <w:marTop w:val="0"/>
              <w:marBottom w:val="0"/>
              <w:divBdr>
                <w:top w:val="none" w:sz="0" w:space="0" w:color="auto"/>
                <w:left w:val="none" w:sz="0" w:space="0" w:color="auto"/>
                <w:bottom w:val="none" w:sz="0" w:space="0" w:color="auto"/>
                <w:right w:val="none" w:sz="0" w:space="0" w:color="auto"/>
              </w:divBdr>
            </w:div>
            <w:div w:id="1402481276">
              <w:marLeft w:val="0"/>
              <w:marRight w:val="0"/>
              <w:marTop w:val="0"/>
              <w:marBottom w:val="0"/>
              <w:divBdr>
                <w:top w:val="none" w:sz="0" w:space="0" w:color="auto"/>
                <w:left w:val="none" w:sz="0" w:space="0" w:color="auto"/>
                <w:bottom w:val="single" w:sz="6" w:space="0" w:color="4A4A4A"/>
                <w:right w:val="none" w:sz="0" w:space="0" w:color="auto"/>
              </w:divBdr>
            </w:div>
          </w:divsChild>
        </w:div>
      </w:divsChild>
    </w:div>
    <w:div w:id="782307677">
      <w:bodyDiv w:val="1"/>
      <w:marLeft w:val="0"/>
      <w:marRight w:val="0"/>
      <w:marTop w:val="0"/>
      <w:marBottom w:val="0"/>
      <w:divBdr>
        <w:top w:val="none" w:sz="0" w:space="0" w:color="auto"/>
        <w:left w:val="none" w:sz="0" w:space="0" w:color="auto"/>
        <w:bottom w:val="none" w:sz="0" w:space="0" w:color="auto"/>
        <w:right w:val="none" w:sz="0" w:space="0" w:color="auto"/>
      </w:divBdr>
    </w:div>
    <w:div w:id="797601994">
      <w:bodyDiv w:val="1"/>
      <w:marLeft w:val="0"/>
      <w:marRight w:val="0"/>
      <w:marTop w:val="0"/>
      <w:marBottom w:val="0"/>
      <w:divBdr>
        <w:top w:val="none" w:sz="0" w:space="0" w:color="auto"/>
        <w:left w:val="none" w:sz="0" w:space="0" w:color="auto"/>
        <w:bottom w:val="none" w:sz="0" w:space="0" w:color="auto"/>
        <w:right w:val="none" w:sz="0" w:space="0" w:color="auto"/>
      </w:divBdr>
      <w:divsChild>
        <w:div w:id="394476262">
          <w:marLeft w:val="0"/>
          <w:marRight w:val="0"/>
          <w:marTop w:val="0"/>
          <w:marBottom w:val="0"/>
          <w:divBdr>
            <w:top w:val="none" w:sz="0" w:space="0" w:color="auto"/>
            <w:left w:val="none" w:sz="0" w:space="0" w:color="auto"/>
            <w:bottom w:val="none" w:sz="0" w:space="0" w:color="auto"/>
            <w:right w:val="none" w:sz="0" w:space="0" w:color="auto"/>
          </w:divBdr>
        </w:div>
      </w:divsChild>
    </w:div>
    <w:div w:id="797799473">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3">
          <w:marLeft w:val="0"/>
          <w:marRight w:val="0"/>
          <w:marTop w:val="0"/>
          <w:marBottom w:val="0"/>
          <w:divBdr>
            <w:top w:val="none" w:sz="0" w:space="0" w:color="auto"/>
            <w:left w:val="none" w:sz="0" w:space="0" w:color="auto"/>
            <w:bottom w:val="none" w:sz="0" w:space="0" w:color="auto"/>
            <w:right w:val="none" w:sz="0" w:space="0" w:color="auto"/>
          </w:divBdr>
        </w:div>
        <w:div w:id="1635718692">
          <w:marLeft w:val="0"/>
          <w:marRight w:val="0"/>
          <w:marTop w:val="0"/>
          <w:marBottom w:val="0"/>
          <w:divBdr>
            <w:top w:val="none" w:sz="0" w:space="0" w:color="auto"/>
            <w:left w:val="none" w:sz="0" w:space="0" w:color="auto"/>
            <w:bottom w:val="none" w:sz="0" w:space="0" w:color="auto"/>
            <w:right w:val="none" w:sz="0" w:space="0" w:color="auto"/>
          </w:divBdr>
        </w:div>
        <w:div w:id="2146048576">
          <w:marLeft w:val="0"/>
          <w:marRight w:val="0"/>
          <w:marTop w:val="0"/>
          <w:marBottom w:val="0"/>
          <w:divBdr>
            <w:top w:val="none" w:sz="0" w:space="0" w:color="auto"/>
            <w:left w:val="none" w:sz="0" w:space="0" w:color="auto"/>
            <w:bottom w:val="none" w:sz="0" w:space="0" w:color="auto"/>
            <w:right w:val="none" w:sz="0" w:space="0" w:color="auto"/>
          </w:divBdr>
        </w:div>
        <w:div w:id="255136416">
          <w:marLeft w:val="0"/>
          <w:marRight w:val="0"/>
          <w:marTop w:val="0"/>
          <w:marBottom w:val="0"/>
          <w:divBdr>
            <w:top w:val="none" w:sz="0" w:space="0" w:color="auto"/>
            <w:left w:val="none" w:sz="0" w:space="0" w:color="auto"/>
            <w:bottom w:val="none" w:sz="0" w:space="0" w:color="auto"/>
            <w:right w:val="none" w:sz="0" w:space="0" w:color="auto"/>
          </w:divBdr>
        </w:div>
        <w:div w:id="277416639">
          <w:marLeft w:val="0"/>
          <w:marRight w:val="0"/>
          <w:marTop w:val="0"/>
          <w:marBottom w:val="0"/>
          <w:divBdr>
            <w:top w:val="none" w:sz="0" w:space="0" w:color="auto"/>
            <w:left w:val="none" w:sz="0" w:space="0" w:color="auto"/>
            <w:bottom w:val="none" w:sz="0" w:space="0" w:color="auto"/>
            <w:right w:val="none" w:sz="0" w:space="0" w:color="auto"/>
          </w:divBdr>
        </w:div>
        <w:div w:id="1432969658">
          <w:marLeft w:val="0"/>
          <w:marRight w:val="0"/>
          <w:marTop w:val="0"/>
          <w:marBottom w:val="0"/>
          <w:divBdr>
            <w:top w:val="none" w:sz="0" w:space="0" w:color="auto"/>
            <w:left w:val="none" w:sz="0" w:space="0" w:color="auto"/>
            <w:bottom w:val="none" w:sz="0" w:space="0" w:color="auto"/>
            <w:right w:val="none" w:sz="0" w:space="0" w:color="auto"/>
          </w:divBdr>
        </w:div>
        <w:div w:id="810827681">
          <w:marLeft w:val="0"/>
          <w:marRight w:val="0"/>
          <w:marTop w:val="0"/>
          <w:marBottom w:val="0"/>
          <w:divBdr>
            <w:top w:val="none" w:sz="0" w:space="0" w:color="auto"/>
            <w:left w:val="none" w:sz="0" w:space="0" w:color="auto"/>
            <w:bottom w:val="none" w:sz="0" w:space="0" w:color="auto"/>
            <w:right w:val="none" w:sz="0" w:space="0" w:color="auto"/>
          </w:divBdr>
        </w:div>
      </w:divsChild>
    </w:div>
    <w:div w:id="799231865">
      <w:bodyDiv w:val="1"/>
      <w:marLeft w:val="0"/>
      <w:marRight w:val="0"/>
      <w:marTop w:val="0"/>
      <w:marBottom w:val="0"/>
      <w:divBdr>
        <w:top w:val="none" w:sz="0" w:space="0" w:color="auto"/>
        <w:left w:val="none" w:sz="0" w:space="0" w:color="auto"/>
        <w:bottom w:val="none" w:sz="0" w:space="0" w:color="auto"/>
        <w:right w:val="none" w:sz="0" w:space="0" w:color="auto"/>
      </w:divBdr>
    </w:div>
    <w:div w:id="812672388">
      <w:bodyDiv w:val="1"/>
      <w:marLeft w:val="0"/>
      <w:marRight w:val="0"/>
      <w:marTop w:val="0"/>
      <w:marBottom w:val="0"/>
      <w:divBdr>
        <w:top w:val="none" w:sz="0" w:space="0" w:color="auto"/>
        <w:left w:val="none" w:sz="0" w:space="0" w:color="auto"/>
        <w:bottom w:val="none" w:sz="0" w:space="0" w:color="auto"/>
        <w:right w:val="none" w:sz="0" w:space="0" w:color="auto"/>
      </w:divBdr>
    </w:div>
    <w:div w:id="844824752">
      <w:bodyDiv w:val="1"/>
      <w:marLeft w:val="0"/>
      <w:marRight w:val="0"/>
      <w:marTop w:val="0"/>
      <w:marBottom w:val="0"/>
      <w:divBdr>
        <w:top w:val="none" w:sz="0" w:space="0" w:color="auto"/>
        <w:left w:val="none" w:sz="0" w:space="0" w:color="auto"/>
        <w:bottom w:val="none" w:sz="0" w:space="0" w:color="auto"/>
        <w:right w:val="none" w:sz="0" w:space="0" w:color="auto"/>
      </w:divBdr>
    </w:div>
    <w:div w:id="849486922">
      <w:bodyDiv w:val="1"/>
      <w:marLeft w:val="0"/>
      <w:marRight w:val="0"/>
      <w:marTop w:val="0"/>
      <w:marBottom w:val="0"/>
      <w:divBdr>
        <w:top w:val="none" w:sz="0" w:space="0" w:color="auto"/>
        <w:left w:val="none" w:sz="0" w:space="0" w:color="auto"/>
        <w:bottom w:val="none" w:sz="0" w:space="0" w:color="auto"/>
        <w:right w:val="none" w:sz="0" w:space="0" w:color="auto"/>
      </w:divBdr>
    </w:div>
    <w:div w:id="850989018">
      <w:bodyDiv w:val="1"/>
      <w:marLeft w:val="0"/>
      <w:marRight w:val="0"/>
      <w:marTop w:val="0"/>
      <w:marBottom w:val="0"/>
      <w:divBdr>
        <w:top w:val="none" w:sz="0" w:space="0" w:color="auto"/>
        <w:left w:val="none" w:sz="0" w:space="0" w:color="auto"/>
        <w:bottom w:val="none" w:sz="0" w:space="0" w:color="auto"/>
        <w:right w:val="none" w:sz="0" w:space="0" w:color="auto"/>
      </w:divBdr>
      <w:divsChild>
        <w:div w:id="1929147511">
          <w:marLeft w:val="0"/>
          <w:marRight w:val="0"/>
          <w:marTop w:val="0"/>
          <w:marBottom w:val="60"/>
          <w:divBdr>
            <w:top w:val="none" w:sz="0" w:space="0" w:color="auto"/>
            <w:left w:val="none" w:sz="0" w:space="0" w:color="auto"/>
            <w:bottom w:val="none" w:sz="0" w:space="0" w:color="auto"/>
            <w:right w:val="none" w:sz="0" w:space="0" w:color="auto"/>
          </w:divBdr>
          <w:divsChild>
            <w:div w:id="372538206">
              <w:marLeft w:val="0"/>
              <w:marRight w:val="180"/>
              <w:marTop w:val="0"/>
              <w:marBottom w:val="0"/>
              <w:divBdr>
                <w:top w:val="none" w:sz="0" w:space="0" w:color="auto"/>
                <w:left w:val="none" w:sz="0" w:space="0" w:color="auto"/>
                <w:bottom w:val="none" w:sz="0" w:space="0" w:color="auto"/>
                <w:right w:val="none" w:sz="0" w:space="0" w:color="auto"/>
              </w:divBdr>
              <w:divsChild>
                <w:div w:id="1565262038">
                  <w:marLeft w:val="0"/>
                  <w:marRight w:val="0"/>
                  <w:marTop w:val="0"/>
                  <w:marBottom w:val="0"/>
                  <w:divBdr>
                    <w:top w:val="none" w:sz="0" w:space="0" w:color="auto"/>
                    <w:left w:val="none" w:sz="0" w:space="0" w:color="auto"/>
                    <w:bottom w:val="none" w:sz="0" w:space="0" w:color="auto"/>
                    <w:right w:val="none" w:sz="0" w:space="0" w:color="auto"/>
                  </w:divBdr>
                  <w:divsChild>
                    <w:div w:id="149830596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13399234">
          <w:marLeft w:val="0"/>
          <w:marRight w:val="0"/>
          <w:marTop w:val="0"/>
          <w:marBottom w:val="60"/>
          <w:divBdr>
            <w:top w:val="none" w:sz="0" w:space="0" w:color="auto"/>
            <w:left w:val="none" w:sz="0" w:space="0" w:color="auto"/>
            <w:bottom w:val="none" w:sz="0" w:space="0" w:color="auto"/>
            <w:right w:val="none" w:sz="0" w:space="0" w:color="auto"/>
          </w:divBdr>
        </w:div>
        <w:div w:id="1845434236">
          <w:marLeft w:val="0"/>
          <w:marRight w:val="0"/>
          <w:marTop w:val="0"/>
          <w:marBottom w:val="0"/>
          <w:divBdr>
            <w:top w:val="none" w:sz="0" w:space="0" w:color="auto"/>
            <w:left w:val="none" w:sz="0" w:space="0" w:color="auto"/>
            <w:bottom w:val="none" w:sz="0" w:space="0" w:color="auto"/>
            <w:right w:val="none" w:sz="0" w:space="0" w:color="auto"/>
          </w:divBdr>
          <w:divsChild>
            <w:div w:id="2065789217">
              <w:marLeft w:val="0"/>
              <w:marRight w:val="0"/>
              <w:marTop w:val="0"/>
              <w:marBottom w:val="60"/>
              <w:divBdr>
                <w:top w:val="none" w:sz="0" w:space="0" w:color="auto"/>
                <w:left w:val="none" w:sz="0" w:space="0" w:color="auto"/>
                <w:bottom w:val="none" w:sz="0" w:space="0" w:color="auto"/>
                <w:right w:val="none" w:sz="0" w:space="0" w:color="auto"/>
              </w:divBdr>
            </w:div>
            <w:div w:id="1001083976">
              <w:marLeft w:val="0"/>
              <w:marRight w:val="0"/>
              <w:marTop w:val="0"/>
              <w:marBottom w:val="0"/>
              <w:divBdr>
                <w:top w:val="none" w:sz="0" w:space="0" w:color="auto"/>
                <w:left w:val="none" w:sz="0" w:space="0" w:color="auto"/>
                <w:bottom w:val="none" w:sz="0" w:space="0" w:color="auto"/>
                <w:right w:val="none" w:sz="0" w:space="0" w:color="auto"/>
              </w:divBdr>
            </w:div>
          </w:divsChild>
        </w:div>
        <w:div w:id="589856685">
          <w:marLeft w:val="0"/>
          <w:marRight w:val="0"/>
          <w:marTop w:val="0"/>
          <w:marBottom w:val="0"/>
          <w:divBdr>
            <w:top w:val="none" w:sz="0" w:space="0" w:color="auto"/>
            <w:left w:val="none" w:sz="0" w:space="0" w:color="auto"/>
            <w:bottom w:val="none" w:sz="0" w:space="0" w:color="auto"/>
            <w:right w:val="none" w:sz="0" w:space="0" w:color="auto"/>
          </w:divBdr>
          <w:divsChild>
            <w:div w:id="837381722">
              <w:marLeft w:val="0"/>
              <w:marRight w:val="0"/>
              <w:marTop w:val="0"/>
              <w:marBottom w:val="60"/>
              <w:divBdr>
                <w:top w:val="none" w:sz="0" w:space="0" w:color="auto"/>
                <w:left w:val="none" w:sz="0" w:space="0" w:color="auto"/>
                <w:bottom w:val="none" w:sz="0" w:space="0" w:color="auto"/>
                <w:right w:val="none" w:sz="0" w:space="0" w:color="auto"/>
              </w:divBdr>
              <w:divsChild>
                <w:div w:id="802580735">
                  <w:marLeft w:val="0"/>
                  <w:marRight w:val="0"/>
                  <w:marTop w:val="0"/>
                  <w:marBottom w:val="0"/>
                  <w:divBdr>
                    <w:top w:val="none" w:sz="0" w:space="0" w:color="auto"/>
                    <w:left w:val="none" w:sz="0" w:space="0" w:color="auto"/>
                    <w:bottom w:val="none" w:sz="0" w:space="0" w:color="auto"/>
                    <w:right w:val="none" w:sz="0" w:space="0" w:color="auto"/>
                  </w:divBdr>
                  <w:divsChild>
                    <w:div w:id="416099092">
                      <w:marLeft w:val="0"/>
                      <w:marRight w:val="0"/>
                      <w:marTop w:val="0"/>
                      <w:marBottom w:val="0"/>
                      <w:divBdr>
                        <w:top w:val="none" w:sz="0" w:space="0" w:color="auto"/>
                        <w:left w:val="none" w:sz="0" w:space="0" w:color="auto"/>
                        <w:bottom w:val="none" w:sz="0" w:space="0" w:color="auto"/>
                        <w:right w:val="none" w:sz="0" w:space="0" w:color="auto"/>
                      </w:divBdr>
                    </w:div>
                  </w:divsChild>
                </w:div>
                <w:div w:id="49235811">
                  <w:marLeft w:val="0"/>
                  <w:marRight w:val="0"/>
                  <w:marTop w:val="0"/>
                  <w:marBottom w:val="0"/>
                  <w:divBdr>
                    <w:top w:val="none" w:sz="0" w:space="0" w:color="auto"/>
                    <w:left w:val="none" w:sz="0" w:space="0" w:color="auto"/>
                    <w:bottom w:val="none" w:sz="0" w:space="0" w:color="auto"/>
                    <w:right w:val="none" w:sz="0" w:space="0" w:color="auto"/>
                  </w:divBdr>
                  <w:divsChild>
                    <w:div w:id="1363898613">
                      <w:marLeft w:val="0"/>
                      <w:marRight w:val="0"/>
                      <w:marTop w:val="0"/>
                      <w:marBottom w:val="0"/>
                      <w:divBdr>
                        <w:top w:val="none" w:sz="0" w:space="0" w:color="auto"/>
                        <w:left w:val="none" w:sz="0" w:space="0" w:color="auto"/>
                        <w:bottom w:val="none" w:sz="0" w:space="0" w:color="auto"/>
                        <w:right w:val="none" w:sz="0" w:space="0" w:color="auto"/>
                      </w:divBdr>
                    </w:div>
                  </w:divsChild>
                </w:div>
                <w:div w:id="2130396436">
                  <w:marLeft w:val="0"/>
                  <w:marRight w:val="0"/>
                  <w:marTop w:val="0"/>
                  <w:marBottom w:val="0"/>
                  <w:divBdr>
                    <w:top w:val="none" w:sz="0" w:space="0" w:color="auto"/>
                    <w:left w:val="none" w:sz="0" w:space="0" w:color="auto"/>
                    <w:bottom w:val="none" w:sz="0" w:space="0" w:color="auto"/>
                    <w:right w:val="none" w:sz="0" w:space="0" w:color="auto"/>
                  </w:divBdr>
                  <w:divsChild>
                    <w:div w:id="217790234">
                      <w:marLeft w:val="0"/>
                      <w:marRight w:val="0"/>
                      <w:marTop w:val="0"/>
                      <w:marBottom w:val="0"/>
                      <w:divBdr>
                        <w:top w:val="none" w:sz="0" w:space="0" w:color="auto"/>
                        <w:left w:val="none" w:sz="0" w:space="0" w:color="auto"/>
                        <w:bottom w:val="none" w:sz="0" w:space="0" w:color="auto"/>
                        <w:right w:val="none" w:sz="0" w:space="0" w:color="auto"/>
                      </w:divBdr>
                    </w:div>
                  </w:divsChild>
                </w:div>
                <w:div w:id="698773181">
                  <w:marLeft w:val="0"/>
                  <w:marRight w:val="0"/>
                  <w:marTop w:val="0"/>
                  <w:marBottom w:val="0"/>
                  <w:divBdr>
                    <w:top w:val="none" w:sz="0" w:space="0" w:color="auto"/>
                    <w:left w:val="none" w:sz="0" w:space="0" w:color="auto"/>
                    <w:bottom w:val="none" w:sz="0" w:space="0" w:color="auto"/>
                    <w:right w:val="none" w:sz="0" w:space="0" w:color="auto"/>
                  </w:divBdr>
                  <w:divsChild>
                    <w:div w:id="886334735">
                      <w:marLeft w:val="0"/>
                      <w:marRight w:val="0"/>
                      <w:marTop w:val="0"/>
                      <w:marBottom w:val="0"/>
                      <w:divBdr>
                        <w:top w:val="none" w:sz="0" w:space="0" w:color="auto"/>
                        <w:left w:val="none" w:sz="0" w:space="0" w:color="auto"/>
                        <w:bottom w:val="none" w:sz="0" w:space="0" w:color="auto"/>
                        <w:right w:val="none" w:sz="0" w:space="0" w:color="auto"/>
                      </w:divBdr>
                    </w:div>
                  </w:divsChild>
                </w:div>
                <w:div w:id="855116074">
                  <w:marLeft w:val="0"/>
                  <w:marRight w:val="0"/>
                  <w:marTop w:val="0"/>
                  <w:marBottom w:val="0"/>
                  <w:divBdr>
                    <w:top w:val="none" w:sz="0" w:space="0" w:color="auto"/>
                    <w:left w:val="none" w:sz="0" w:space="0" w:color="auto"/>
                    <w:bottom w:val="none" w:sz="0" w:space="0" w:color="auto"/>
                    <w:right w:val="none" w:sz="0" w:space="0" w:color="auto"/>
                  </w:divBdr>
                  <w:divsChild>
                    <w:div w:id="1381322398">
                      <w:marLeft w:val="0"/>
                      <w:marRight w:val="0"/>
                      <w:marTop w:val="0"/>
                      <w:marBottom w:val="0"/>
                      <w:divBdr>
                        <w:top w:val="none" w:sz="0" w:space="0" w:color="auto"/>
                        <w:left w:val="none" w:sz="0" w:space="0" w:color="auto"/>
                        <w:bottom w:val="none" w:sz="0" w:space="0" w:color="auto"/>
                        <w:right w:val="none" w:sz="0" w:space="0" w:color="auto"/>
                      </w:divBdr>
                    </w:div>
                  </w:divsChild>
                </w:div>
                <w:div w:id="2689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77">
          <w:marLeft w:val="0"/>
          <w:marRight w:val="0"/>
          <w:marTop w:val="0"/>
          <w:marBottom w:val="180"/>
          <w:divBdr>
            <w:top w:val="none" w:sz="0" w:space="0" w:color="auto"/>
            <w:left w:val="none" w:sz="0" w:space="0" w:color="auto"/>
            <w:bottom w:val="none" w:sz="0" w:space="0" w:color="auto"/>
            <w:right w:val="none" w:sz="0" w:space="0" w:color="auto"/>
          </w:divBdr>
        </w:div>
        <w:div w:id="1199972489">
          <w:marLeft w:val="0"/>
          <w:marRight w:val="0"/>
          <w:marTop w:val="0"/>
          <w:marBottom w:val="150"/>
          <w:divBdr>
            <w:top w:val="none" w:sz="0" w:space="0" w:color="auto"/>
            <w:left w:val="none" w:sz="0" w:space="0" w:color="auto"/>
            <w:bottom w:val="none" w:sz="0" w:space="0" w:color="auto"/>
            <w:right w:val="none" w:sz="0" w:space="0" w:color="auto"/>
          </w:divBdr>
          <w:divsChild>
            <w:div w:id="307757058">
              <w:marLeft w:val="0"/>
              <w:marRight w:val="0"/>
              <w:marTop w:val="0"/>
              <w:marBottom w:val="120"/>
              <w:divBdr>
                <w:top w:val="none" w:sz="0" w:space="0" w:color="auto"/>
                <w:left w:val="none" w:sz="0" w:space="0" w:color="auto"/>
                <w:bottom w:val="none" w:sz="0" w:space="0" w:color="auto"/>
                <w:right w:val="none" w:sz="0" w:space="0" w:color="auto"/>
              </w:divBdr>
              <w:divsChild>
                <w:div w:id="1196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8798">
      <w:bodyDiv w:val="1"/>
      <w:marLeft w:val="0"/>
      <w:marRight w:val="0"/>
      <w:marTop w:val="0"/>
      <w:marBottom w:val="0"/>
      <w:divBdr>
        <w:top w:val="none" w:sz="0" w:space="0" w:color="auto"/>
        <w:left w:val="none" w:sz="0" w:space="0" w:color="auto"/>
        <w:bottom w:val="none" w:sz="0" w:space="0" w:color="auto"/>
        <w:right w:val="none" w:sz="0" w:space="0" w:color="auto"/>
      </w:divBdr>
      <w:divsChild>
        <w:div w:id="1399865086">
          <w:marLeft w:val="0"/>
          <w:marRight w:val="0"/>
          <w:marTop w:val="0"/>
          <w:marBottom w:val="0"/>
          <w:divBdr>
            <w:top w:val="none" w:sz="0" w:space="0" w:color="auto"/>
            <w:left w:val="none" w:sz="0" w:space="0" w:color="auto"/>
            <w:bottom w:val="none" w:sz="0" w:space="0" w:color="auto"/>
            <w:right w:val="none" w:sz="0" w:space="0" w:color="auto"/>
          </w:divBdr>
          <w:divsChild>
            <w:div w:id="1783380628">
              <w:marLeft w:val="0"/>
              <w:marRight w:val="0"/>
              <w:marTop w:val="0"/>
              <w:marBottom w:val="0"/>
              <w:divBdr>
                <w:top w:val="none" w:sz="0" w:space="0" w:color="auto"/>
                <w:left w:val="none" w:sz="0" w:space="0" w:color="auto"/>
                <w:bottom w:val="none" w:sz="0" w:space="0" w:color="auto"/>
                <w:right w:val="none" w:sz="0" w:space="0" w:color="auto"/>
              </w:divBdr>
              <w:divsChild>
                <w:div w:id="15851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4262">
      <w:bodyDiv w:val="1"/>
      <w:marLeft w:val="0"/>
      <w:marRight w:val="0"/>
      <w:marTop w:val="0"/>
      <w:marBottom w:val="0"/>
      <w:divBdr>
        <w:top w:val="none" w:sz="0" w:space="0" w:color="auto"/>
        <w:left w:val="none" w:sz="0" w:space="0" w:color="auto"/>
        <w:bottom w:val="none" w:sz="0" w:space="0" w:color="auto"/>
        <w:right w:val="none" w:sz="0" w:space="0" w:color="auto"/>
      </w:divBdr>
    </w:div>
    <w:div w:id="897210538">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0">
          <w:marLeft w:val="0"/>
          <w:marRight w:val="0"/>
          <w:marTop w:val="0"/>
          <w:marBottom w:val="0"/>
          <w:divBdr>
            <w:top w:val="none" w:sz="0" w:space="0" w:color="auto"/>
            <w:left w:val="none" w:sz="0" w:space="0" w:color="auto"/>
            <w:bottom w:val="none" w:sz="0" w:space="0" w:color="auto"/>
            <w:right w:val="none" w:sz="0" w:space="0" w:color="auto"/>
          </w:divBdr>
          <w:divsChild>
            <w:div w:id="1816795150">
              <w:marLeft w:val="0"/>
              <w:marRight w:val="0"/>
              <w:marTop w:val="0"/>
              <w:marBottom w:val="0"/>
              <w:divBdr>
                <w:top w:val="none" w:sz="0" w:space="0" w:color="auto"/>
                <w:left w:val="none" w:sz="0" w:space="0" w:color="auto"/>
                <w:bottom w:val="none" w:sz="0" w:space="0" w:color="auto"/>
                <w:right w:val="none" w:sz="0" w:space="0" w:color="auto"/>
              </w:divBdr>
              <w:divsChild>
                <w:div w:id="3135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1453">
      <w:bodyDiv w:val="1"/>
      <w:marLeft w:val="0"/>
      <w:marRight w:val="0"/>
      <w:marTop w:val="0"/>
      <w:marBottom w:val="0"/>
      <w:divBdr>
        <w:top w:val="none" w:sz="0" w:space="0" w:color="auto"/>
        <w:left w:val="none" w:sz="0" w:space="0" w:color="auto"/>
        <w:bottom w:val="none" w:sz="0" w:space="0" w:color="auto"/>
        <w:right w:val="none" w:sz="0" w:space="0" w:color="auto"/>
      </w:divBdr>
    </w:div>
    <w:div w:id="955793654">
      <w:bodyDiv w:val="1"/>
      <w:marLeft w:val="0"/>
      <w:marRight w:val="0"/>
      <w:marTop w:val="0"/>
      <w:marBottom w:val="0"/>
      <w:divBdr>
        <w:top w:val="none" w:sz="0" w:space="0" w:color="auto"/>
        <w:left w:val="none" w:sz="0" w:space="0" w:color="auto"/>
        <w:bottom w:val="none" w:sz="0" w:space="0" w:color="auto"/>
        <w:right w:val="none" w:sz="0" w:space="0" w:color="auto"/>
      </w:divBdr>
    </w:div>
    <w:div w:id="968439860">
      <w:bodyDiv w:val="1"/>
      <w:marLeft w:val="0"/>
      <w:marRight w:val="0"/>
      <w:marTop w:val="0"/>
      <w:marBottom w:val="0"/>
      <w:divBdr>
        <w:top w:val="none" w:sz="0" w:space="0" w:color="auto"/>
        <w:left w:val="none" w:sz="0" w:space="0" w:color="auto"/>
        <w:bottom w:val="none" w:sz="0" w:space="0" w:color="auto"/>
        <w:right w:val="none" w:sz="0" w:space="0" w:color="auto"/>
      </w:divBdr>
    </w:div>
    <w:div w:id="975719285">
      <w:bodyDiv w:val="1"/>
      <w:marLeft w:val="0"/>
      <w:marRight w:val="0"/>
      <w:marTop w:val="0"/>
      <w:marBottom w:val="0"/>
      <w:divBdr>
        <w:top w:val="none" w:sz="0" w:space="0" w:color="auto"/>
        <w:left w:val="none" w:sz="0" w:space="0" w:color="auto"/>
        <w:bottom w:val="none" w:sz="0" w:space="0" w:color="auto"/>
        <w:right w:val="none" w:sz="0" w:space="0" w:color="auto"/>
      </w:divBdr>
      <w:divsChild>
        <w:div w:id="974214536">
          <w:marLeft w:val="0"/>
          <w:marRight w:val="0"/>
          <w:marTop w:val="0"/>
          <w:marBottom w:val="0"/>
          <w:divBdr>
            <w:top w:val="none" w:sz="0" w:space="0" w:color="auto"/>
            <w:left w:val="none" w:sz="0" w:space="0" w:color="auto"/>
            <w:bottom w:val="none" w:sz="0" w:space="0" w:color="auto"/>
            <w:right w:val="none" w:sz="0" w:space="0" w:color="auto"/>
          </w:divBdr>
        </w:div>
        <w:div w:id="1649820741">
          <w:marLeft w:val="0"/>
          <w:marRight w:val="0"/>
          <w:marTop w:val="0"/>
          <w:marBottom w:val="0"/>
          <w:divBdr>
            <w:top w:val="none" w:sz="0" w:space="0" w:color="auto"/>
            <w:left w:val="none" w:sz="0" w:space="0" w:color="auto"/>
            <w:bottom w:val="none" w:sz="0" w:space="0" w:color="auto"/>
            <w:right w:val="none" w:sz="0" w:space="0" w:color="auto"/>
          </w:divBdr>
          <w:divsChild>
            <w:div w:id="1591157727">
              <w:marLeft w:val="0"/>
              <w:marRight w:val="0"/>
              <w:marTop w:val="0"/>
              <w:marBottom w:val="0"/>
              <w:divBdr>
                <w:top w:val="none" w:sz="0" w:space="0" w:color="auto"/>
                <w:left w:val="none" w:sz="0" w:space="0" w:color="auto"/>
                <w:bottom w:val="none" w:sz="0" w:space="0" w:color="auto"/>
                <w:right w:val="none" w:sz="0" w:space="0" w:color="auto"/>
              </w:divBdr>
            </w:div>
            <w:div w:id="985010994">
              <w:marLeft w:val="0"/>
              <w:marRight w:val="0"/>
              <w:marTop w:val="0"/>
              <w:marBottom w:val="0"/>
              <w:divBdr>
                <w:top w:val="none" w:sz="0" w:space="0" w:color="auto"/>
                <w:left w:val="none" w:sz="0" w:space="0" w:color="auto"/>
                <w:bottom w:val="single" w:sz="6" w:space="0" w:color="4A4A4A"/>
                <w:right w:val="none" w:sz="0" w:space="0" w:color="auto"/>
              </w:divBdr>
            </w:div>
          </w:divsChild>
        </w:div>
      </w:divsChild>
    </w:div>
    <w:div w:id="1013414632">
      <w:bodyDiv w:val="1"/>
      <w:marLeft w:val="0"/>
      <w:marRight w:val="0"/>
      <w:marTop w:val="0"/>
      <w:marBottom w:val="0"/>
      <w:divBdr>
        <w:top w:val="none" w:sz="0" w:space="0" w:color="auto"/>
        <w:left w:val="none" w:sz="0" w:space="0" w:color="auto"/>
        <w:bottom w:val="none" w:sz="0" w:space="0" w:color="auto"/>
        <w:right w:val="none" w:sz="0" w:space="0" w:color="auto"/>
      </w:divBdr>
    </w:div>
    <w:div w:id="1035960142">
      <w:bodyDiv w:val="1"/>
      <w:marLeft w:val="0"/>
      <w:marRight w:val="0"/>
      <w:marTop w:val="0"/>
      <w:marBottom w:val="0"/>
      <w:divBdr>
        <w:top w:val="none" w:sz="0" w:space="0" w:color="auto"/>
        <w:left w:val="none" w:sz="0" w:space="0" w:color="auto"/>
        <w:bottom w:val="none" w:sz="0" w:space="0" w:color="auto"/>
        <w:right w:val="none" w:sz="0" w:space="0" w:color="auto"/>
      </w:divBdr>
      <w:divsChild>
        <w:div w:id="1496650248">
          <w:marLeft w:val="0"/>
          <w:marRight w:val="0"/>
          <w:marTop w:val="0"/>
          <w:marBottom w:val="0"/>
          <w:divBdr>
            <w:top w:val="none" w:sz="0" w:space="0" w:color="auto"/>
            <w:left w:val="none" w:sz="0" w:space="0" w:color="auto"/>
            <w:bottom w:val="none" w:sz="0" w:space="0" w:color="auto"/>
            <w:right w:val="none" w:sz="0" w:space="0" w:color="auto"/>
          </w:divBdr>
          <w:divsChild>
            <w:div w:id="209072237">
              <w:marLeft w:val="0"/>
              <w:marRight w:val="0"/>
              <w:marTop w:val="0"/>
              <w:marBottom w:val="0"/>
              <w:divBdr>
                <w:top w:val="none" w:sz="0" w:space="0" w:color="auto"/>
                <w:left w:val="none" w:sz="0" w:space="0" w:color="auto"/>
                <w:bottom w:val="none" w:sz="0" w:space="0" w:color="auto"/>
                <w:right w:val="none" w:sz="0" w:space="0" w:color="auto"/>
              </w:divBdr>
              <w:divsChild>
                <w:div w:id="17354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5896">
      <w:bodyDiv w:val="1"/>
      <w:marLeft w:val="0"/>
      <w:marRight w:val="0"/>
      <w:marTop w:val="0"/>
      <w:marBottom w:val="0"/>
      <w:divBdr>
        <w:top w:val="none" w:sz="0" w:space="0" w:color="auto"/>
        <w:left w:val="none" w:sz="0" w:space="0" w:color="auto"/>
        <w:bottom w:val="none" w:sz="0" w:space="0" w:color="auto"/>
        <w:right w:val="none" w:sz="0" w:space="0" w:color="auto"/>
      </w:divBdr>
    </w:div>
    <w:div w:id="1070008301">
      <w:bodyDiv w:val="1"/>
      <w:marLeft w:val="0"/>
      <w:marRight w:val="0"/>
      <w:marTop w:val="0"/>
      <w:marBottom w:val="0"/>
      <w:divBdr>
        <w:top w:val="none" w:sz="0" w:space="0" w:color="auto"/>
        <w:left w:val="none" w:sz="0" w:space="0" w:color="auto"/>
        <w:bottom w:val="none" w:sz="0" w:space="0" w:color="auto"/>
        <w:right w:val="none" w:sz="0" w:space="0" w:color="auto"/>
      </w:divBdr>
    </w:div>
    <w:div w:id="1078790084">
      <w:bodyDiv w:val="1"/>
      <w:marLeft w:val="0"/>
      <w:marRight w:val="0"/>
      <w:marTop w:val="0"/>
      <w:marBottom w:val="0"/>
      <w:divBdr>
        <w:top w:val="none" w:sz="0" w:space="0" w:color="auto"/>
        <w:left w:val="none" w:sz="0" w:space="0" w:color="auto"/>
        <w:bottom w:val="none" w:sz="0" w:space="0" w:color="auto"/>
        <w:right w:val="none" w:sz="0" w:space="0" w:color="auto"/>
      </w:divBdr>
      <w:divsChild>
        <w:div w:id="563108201">
          <w:marLeft w:val="0"/>
          <w:marRight w:val="0"/>
          <w:marTop w:val="0"/>
          <w:marBottom w:val="0"/>
          <w:divBdr>
            <w:top w:val="none" w:sz="0" w:space="0" w:color="auto"/>
            <w:left w:val="none" w:sz="0" w:space="0" w:color="auto"/>
            <w:bottom w:val="none" w:sz="0" w:space="0" w:color="auto"/>
            <w:right w:val="none" w:sz="0" w:space="0" w:color="auto"/>
          </w:divBdr>
          <w:divsChild>
            <w:div w:id="1517890430">
              <w:marLeft w:val="0"/>
              <w:marRight w:val="0"/>
              <w:marTop w:val="0"/>
              <w:marBottom w:val="0"/>
              <w:divBdr>
                <w:top w:val="none" w:sz="0" w:space="0" w:color="auto"/>
                <w:left w:val="none" w:sz="0" w:space="0" w:color="auto"/>
                <w:bottom w:val="none" w:sz="0" w:space="0" w:color="auto"/>
                <w:right w:val="none" w:sz="0" w:space="0" w:color="auto"/>
              </w:divBdr>
              <w:divsChild>
                <w:div w:id="1100418351">
                  <w:marLeft w:val="0"/>
                  <w:marRight w:val="0"/>
                  <w:marTop w:val="0"/>
                  <w:marBottom w:val="0"/>
                  <w:divBdr>
                    <w:top w:val="none" w:sz="0" w:space="0" w:color="auto"/>
                    <w:left w:val="none" w:sz="0" w:space="0" w:color="auto"/>
                    <w:bottom w:val="none" w:sz="0" w:space="0" w:color="auto"/>
                    <w:right w:val="none" w:sz="0" w:space="0" w:color="auto"/>
                  </w:divBdr>
                </w:div>
              </w:divsChild>
            </w:div>
            <w:div w:id="578100117">
              <w:marLeft w:val="0"/>
              <w:marRight w:val="0"/>
              <w:marTop w:val="0"/>
              <w:marBottom w:val="0"/>
              <w:divBdr>
                <w:top w:val="none" w:sz="0" w:space="0" w:color="auto"/>
                <w:left w:val="none" w:sz="0" w:space="0" w:color="auto"/>
                <w:bottom w:val="none" w:sz="0" w:space="0" w:color="auto"/>
                <w:right w:val="none" w:sz="0" w:space="0" w:color="auto"/>
              </w:divBdr>
              <w:divsChild>
                <w:div w:id="4198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240">
          <w:marLeft w:val="0"/>
          <w:marRight w:val="0"/>
          <w:marTop w:val="0"/>
          <w:marBottom w:val="0"/>
          <w:divBdr>
            <w:top w:val="none" w:sz="0" w:space="0" w:color="auto"/>
            <w:left w:val="none" w:sz="0" w:space="0" w:color="auto"/>
            <w:bottom w:val="none" w:sz="0" w:space="0" w:color="auto"/>
            <w:right w:val="none" w:sz="0" w:space="0" w:color="auto"/>
          </w:divBdr>
          <w:divsChild>
            <w:div w:id="18969917">
              <w:marLeft w:val="0"/>
              <w:marRight w:val="0"/>
              <w:marTop w:val="0"/>
              <w:marBottom w:val="0"/>
              <w:divBdr>
                <w:top w:val="none" w:sz="0" w:space="0" w:color="auto"/>
                <w:left w:val="none" w:sz="0" w:space="0" w:color="auto"/>
                <w:bottom w:val="none" w:sz="0" w:space="0" w:color="auto"/>
                <w:right w:val="none" w:sz="0" w:space="0" w:color="auto"/>
              </w:divBdr>
              <w:divsChild>
                <w:div w:id="6467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4209">
      <w:bodyDiv w:val="1"/>
      <w:marLeft w:val="0"/>
      <w:marRight w:val="0"/>
      <w:marTop w:val="0"/>
      <w:marBottom w:val="0"/>
      <w:divBdr>
        <w:top w:val="none" w:sz="0" w:space="0" w:color="auto"/>
        <w:left w:val="none" w:sz="0" w:space="0" w:color="auto"/>
        <w:bottom w:val="none" w:sz="0" w:space="0" w:color="auto"/>
        <w:right w:val="none" w:sz="0" w:space="0" w:color="auto"/>
      </w:divBdr>
    </w:div>
    <w:div w:id="1146093768">
      <w:bodyDiv w:val="1"/>
      <w:marLeft w:val="0"/>
      <w:marRight w:val="0"/>
      <w:marTop w:val="0"/>
      <w:marBottom w:val="0"/>
      <w:divBdr>
        <w:top w:val="none" w:sz="0" w:space="0" w:color="auto"/>
        <w:left w:val="none" w:sz="0" w:space="0" w:color="auto"/>
        <w:bottom w:val="none" w:sz="0" w:space="0" w:color="auto"/>
        <w:right w:val="none" w:sz="0" w:space="0" w:color="auto"/>
      </w:divBdr>
    </w:div>
    <w:div w:id="1149983206">
      <w:bodyDiv w:val="1"/>
      <w:marLeft w:val="0"/>
      <w:marRight w:val="0"/>
      <w:marTop w:val="0"/>
      <w:marBottom w:val="0"/>
      <w:divBdr>
        <w:top w:val="none" w:sz="0" w:space="0" w:color="auto"/>
        <w:left w:val="none" w:sz="0" w:space="0" w:color="auto"/>
        <w:bottom w:val="none" w:sz="0" w:space="0" w:color="auto"/>
        <w:right w:val="none" w:sz="0" w:space="0" w:color="auto"/>
      </w:divBdr>
      <w:divsChild>
        <w:div w:id="1387798188">
          <w:marLeft w:val="0"/>
          <w:marRight w:val="0"/>
          <w:marTop w:val="0"/>
          <w:marBottom w:val="0"/>
          <w:divBdr>
            <w:top w:val="none" w:sz="0" w:space="0" w:color="auto"/>
            <w:left w:val="none" w:sz="0" w:space="0" w:color="auto"/>
            <w:bottom w:val="none" w:sz="0" w:space="0" w:color="auto"/>
            <w:right w:val="none" w:sz="0" w:space="0" w:color="auto"/>
          </w:divBdr>
          <w:divsChild>
            <w:div w:id="1106077956">
              <w:marLeft w:val="0"/>
              <w:marRight w:val="0"/>
              <w:marTop w:val="0"/>
              <w:marBottom w:val="0"/>
              <w:divBdr>
                <w:top w:val="none" w:sz="0" w:space="0" w:color="auto"/>
                <w:left w:val="none" w:sz="0" w:space="0" w:color="auto"/>
                <w:bottom w:val="none" w:sz="0" w:space="0" w:color="auto"/>
                <w:right w:val="none" w:sz="0" w:space="0" w:color="auto"/>
              </w:divBdr>
              <w:divsChild>
                <w:div w:id="7655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4243">
      <w:bodyDiv w:val="1"/>
      <w:marLeft w:val="0"/>
      <w:marRight w:val="0"/>
      <w:marTop w:val="0"/>
      <w:marBottom w:val="0"/>
      <w:divBdr>
        <w:top w:val="none" w:sz="0" w:space="0" w:color="auto"/>
        <w:left w:val="none" w:sz="0" w:space="0" w:color="auto"/>
        <w:bottom w:val="none" w:sz="0" w:space="0" w:color="auto"/>
        <w:right w:val="none" w:sz="0" w:space="0" w:color="auto"/>
      </w:divBdr>
    </w:div>
    <w:div w:id="1193038399">
      <w:bodyDiv w:val="1"/>
      <w:marLeft w:val="0"/>
      <w:marRight w:val="0"/>
      <w:marTop w:val="0"/>
      <w:marBottom w:val="0"/>
      <w:divBdr>
        <w:top w:val="none" w:sz="0" w:space="0" w:color="auto"/>
        <w:left w:val="none" w:sz="0" w:space="0" w:color="auto"/>
        <w:bottom w:val="none" w:sz="0" w:space="0" w:color="auto"/>
        <w:right w:val="none" w:sz="0" w:space="0" w:color="auto"/>
      </w:divBdr>
    </w:div>
    <w:div w:id="1221555355">
      <w:bodyDiv w:val="1"/>
      <w:marLeft w:val="0"/>
      <w:marRight w:val="0"/>
      <w:marTop w:val="0"/>
      <w:marBottom w:val="0"/>
      <w:divBdr>
        <w:top w:val="none" w:sz="0" w:space="0" w:color="auto"/>
        <w:left w:val="none" w:sz="0" w:space="0" w:color="auto"/>
        <w:bottom w:val="none" w:sz="0" w:space="0" w:color="auto"/>
        <w:right w:val="none" w:sz="0" w:space="0" w:color="auto"/>
      </w:divBdr>
    </w:div>
    <w:div w:id="1235044813">
      <w:bodyDiv w:val="1"/>
      <w:marLeft w:val="0"/>
      <w:marRight w:val="0"/>
      <w:marTop w:val="0"/>
      <w:marBottom w:val="0"/>
      <w:divBdr>
        <w:top w:val="none" w:sz="0" w:space="0" w:color="auto"/>
        <w:left w:val="none" w:sz="0" w:space="0" w:color="auto"/>
        <w:bottom w:val="none" w:sz="0" w:space="0" w:color="auto"/>
        <w:right w:val="none" w:sz="0" w:space="0" w:color="auto"/>
      </w:divBdr>
    </w:div>
    <w:div w:id="1245798285">
      <w:bodyDiv w:val="1"/>
      <w:marLeft w:val="0"/>
      <w:marRight w:val="0"/>
      <w:marTop w:val="0"/>
      <w:marBottom w:val="0"/>
      <w:divBdr>
        <w:top w:val="none" w:sz="0" w:space="0" w:color="auto"/>
        <w:left w:val="none" w:sz="0" w:space="0" w:color="auto"/>
        <w:bottom w:val="none" w:sz="0" w:space="0" w:color="auto"/>
        <w:right w:val="none" w:sz="0" w:space="0" w:color="auto"/>
      </w:divBdr>
      <w:divsChild>
        <w:div w:id="125201434">
          <w:marLeft w:val="0"/>
          <w:marRight w:val="0"/>
          <w:marTop w:val="0"/>
          <w:marBottom w:val="0"/>
          <w:divBdr>
            <w:top w:val="none" w:sz="0" w:space="0" w:color="auto"/>
            <w:left w:val="none" w:sz="0" w:space="0" w:color="auto"/>
            <w:bottom w:val="none" w:sz="0" w:space="0" w:color="auto"/>
            <w:right w:val="none" w:sz="0" w:space="0" w:color="auto"/>
          </w:divBdr>
          <w:divsChild>
            <w:div w:id="1338656283">
              <w:marLeft w:val="0"/>
              <w:marRight w:val="0"/>
              <w:marTop w:val="0"/>
              <w:marBottom w:val="0"/>
              <w:divBdr>
                <w:top w:val="none" w:sz="0" w:space="0" w:color="auto"/>
                <w:left w:val="none" w:sz="0" w:space="0" w:color="auto"/>
                <w:bottom w:val="none" w:sz="0" w:space="0" w:color="auto"/>
                <w:right w:val="none" w:sz="0" w:space="0" w:color="auto"/>
              </w:divBdr>
              <w:divsChild>
                <w:div w:id="13163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184">
      <w:bodyDiv w:val="1"/>
      <w:marLeft w:val="0"/>
      <w:marRight w:val="0"/>
      <w:marTop w:val="0"/>
      <w:marBottom w:val="0"/>
      <w:divBdr>
        <w:top w:val="none" w:sz="0" w:space="0" w:color="auto"/>
        <w:left w:val="none" w:sz="0" w:space="0" w:color="auto"/>
        <w:bottom w:val="none" w:sz="0" w:space="0" w:color="auto"/>
        <w:right w:val="none" w:sz="0" w:space="0" w:color="auto"/>
      </w:divBdr>
    </w:div>
    <w:div w:id="1282765190">
      <w:bodyDiv w:val="1"/>
      <w:marLeft w:val="0"/>
      <w:marRight w:val="0"/>
      <w:marTop w:val="0"/>
      <w:marBottom w:val="0"/>
      <w:divBdr>
        <w:top w:val="none" w:sz="0" w:space="0" w:color="auto"/>
        <w:left w:val="none" w:sz="0" w:space="0" w:color="auto"/>
        <w:bottom w:val="none" w:sz="0" w:space="0" w:color="auto"/>
        <w:right w:val="none" w:sz="0" w:space="0" w:color="auto"/>
      </w:divBdr>
      <w:divsChild>
        <w:div w:id="765153861">
          <w:marLeft w:val="0"/>
          <w:marRight w:val="0"/>
          <w:marTop w:val="0"/>
          <w:marBottom w:val="0"/>
          <w:divBdr>
            <w:top w:val="none" w:sz="0" w:space="0" w:color="auto"/>
            <w:left w:val="none" w:sz="0" w:space="0" w:color="auto"/>
            <w:bottom w:val="none" w:sz="0" w:space="0" w:color="auto"/>
            <w:right w:val="none" w:sz="0" w:space="0" w:color="auto"/>
          </w:divBdr>
          <w:divsChild>
            <w:div w:id="1613396251">
              <w:marLeft w:val="0"/>
              <w:marRight w:val="0"/>
              <w:marTop w:val="0"/>
              <w:marBottom w:val="0"/>
              <w:divBdr>
                <w:top w:val="none" w:sz="0" w:space="0" w:color="auto"/>
                <w:left w:val="none" w:sz="0" w:space="0" w:color="auto"/>
                <w:bottom w:val="none" w:sz="0" w:space="0" w:color="auto"/>
                <w:right w:val="none" w:sz="0" w:space="0" w:color="auto"/>
              </w:divBdr>
              <w:divsChild>
                <w:div w:id="787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3351">
      <w:bodyDiv w:val="1"/>
      <w:marLeft w:val="0"/>
      <w:marRight w:val="0"/>
      <w:marTop w:val="0"/>
      <w:marBottom w:val="0"/>
      <w:divBdr>
        <w:top w:val="none" w:sz="0" w:space="0" w:color="auto"/>
        <w:left w:val="none" w:sz="0" w:space="0" w:color="auto"/>
        <w:bottom w:val="none" w:sz="0" w:space="0" w:color="auto"/>
        <w:right w:val="none" w:sz="0" w:space="0" w:color="auto"/>
      </w:divBdr>
    </w:div>
    <w:div w:id="1349022493">
      <w:bodyDiv w:val="1"/>
      <w:marLeft w:val="0"/>
      <w:marRight w:val="0"/>
      <w:marTop w:val="0"/>
      <w:marBottom w:val="0"/>
      <w:divBdr>
        <w:top w:val="none" w:sz="0" w:space="0" w:color="auto"/>
        <w:left w:val="none" w:sz="0" w:space="0" w:color="auto"/>
        <w:bottom w:val="none" w:sz="0" w:space="0" w:color="auto"/>
        <w:right w:val="none" w:sz="0" w:space="0" w:color="auto"/>
      </w:divBdr>
    </w:div>
    <w:div w:id="1351762130">
      <w:bodyDiv w:val="1"/>
      <w:marLeft w:val="0"/>
      <w:marRight w:val="0"/>
      <w:marTop w:val="0"/>
      <w:marBottom w:val="0"/>
      <w:divBdr>
        <w:top w:val="none" w:sz="0" w:space="0" w:color="auto"/>
        <w:left w:val="none" w:sz="0" w:space="0" w:color="auto"/>
        <w:bottom w:val="none" w:sz="0" w:space="0" w:color="auto"/>
        <w:right w:val="none" w:sz="0" w:space="0" w:color="auto"/>
      </w:divBdr>
    </w:div>
    <w:div w:id="1382555412">
      <w:bodyDiv w:val="1"/>
      <w:marLeft w:val="0"/>
      <w:marRight w:val="0"/>
      <w:marTop w:val="0"/>
      <w:marBottom w:val="0"/>
      <w:divBdr>
        <w:top w:val="none" w:sz="0" w:space="0" w:color="auto"/>
        <w:left w:val="none" w:sz="0" w:space="0" w:color="auto"/>
        <w:bottom w:val="none" w:sz="0" w:space="0" w:color="auto"/>
        <w:right w:val="none" w:sz="0" w:space="0" w:color="auto"/>
      </w:divBdr>
      <w:divsChild>
        <w:div w:id="1102842402">
          <w:marLeft w:val="0"/>
          <w:marRight w:val="0"/>
          <w:marTop w:val="0"/>
          <w:marBottom w:val="0"/>
          <w:divBdr>
            <w:top w:val="none" w:sz="0" w:space="0" w:color="auto"/>
            <w:left w:val="none" w:sz="0" w:space="0" w:color="auto"/>
            <w:bottom w:val="none" w:sz="0" w:space="0" w:color="auto"/>
            <w:right w:val="none" w:sz="0" w:space="0" w:color="auto"/>
          </w:divBdr>
          <w:divsChild>
            <w:div w:id="1350524960">
              <w:marLeft w:val="0"/>
              <w:marRight w:val="0"/>
              <w:marTop w:val="0"/>
              <w:marBottom w:val="0"/>
              <w:divBdr>
                <w:top w:val="none" w:sz="0" w:space="0" w:color="auto"/>
                <w:left w:val="none" w:sz="0" w:space="0" w:color="auto"/>
                <w:bottom w:val="none" w:sz="0" w:space="0" w:color="auto"/>
                <w:right w:val="none" w:sz="0" w:space="0" w:color="auto"/>
              </w:divBdr>
              <w:divsChild>
                <w:div w:id="10062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31118">
      <w:bodyDiv w:val="1"/>
      <w:marLeft w:val="0"/>
      <w:marRight w:val="0"/>
      <w:marTop w:val="0"/>
      <w:marBottom w:val="0"/>
      <w:divBdr>
        <w:top w:val="none" w:sz="0" w:space="0" w:color="auto"/>
        <w:left w:val="none" w:sz="0" w:space="0" w:color="auto"/>
        <w:bottom w:val="none" w:sz="0" w:space="0" w:color="auto"/>
        <w:right w:val="none" w:sz="0" w:space="0" w:color="auto"/>
      </w:divBdr>
    </w:div>
    <w:div w:id="1491480873">
      <w:bodyDiv w:val="1"/>
      <w:marLeft w:val="0"/>
      <w:marRight w:val="0"/>
      <w:marTop w:val="0"/>
      <w:marBottom w:val="0"/>
      <w:divBdr>
        <w:top w:val="none" w:sz="0" w:space="0" w:color="auto"/>
        <w:left w:val="none" w:sz="0" w:space="0" w:color="auto"/>
        <w:bottom w:val="none" w:sz="0" w:space="0" w:color="auto"/>
        <w:right w:val="none" w:sz="0" w:space="0" w:color="auto"/>
      </w:divBdr>
      <w:divsChild>
        <w:div w:id="1601910513">
          <w:marLeft w:val="0"/>
          <w:marRight w:val="0"/>
          <w:marTop w:val="0"/>
          <w:marBottom w:val="0"/>
          <w:divBdr>
            <w:top w:val="none" w:sz="0" w:space="0" w:color="auto"/>
            <w:left w:val="none" w:sz="0" w:space="0" w:color="auto"/>
            <w:bottom w:val="none" w:sz="0" w:space="0" w:color="auto"/>
            <w:right w:val="none" w:sz="0" w:space="0" w:color="auto"/>
          </w:divBdr>
          <w:divsChild>
            <w:div w:id="1893690048">
              <w:marLeft w:val="0"/>
              <w:marRight w:val="0"/>
              <w:marTop w:val="0"/>
              <w:marBottom w:val="0"/>
              <w:divBdr>
                <w:top w:val="none" w:sz="0" w:space="0" w:color="auto"/>
                <w:left w:val="none" w:sz="0" w:space="0" w:color="auto"/>
                <w:bottom w:val="none" w:sz="0" w:space="0" w:color="auto"/>
                <w:right w:val="none" w:sz="0" w:space="0" w:color="auto"/>
              </w:divBdr>
              <w:divsChild>
                <w:div w:id="6684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6775">
      <w:bodyDiv w:val="1"/>
      <w:marLeft w:val="0"/>
      <w:marRight w:val="0"/>
      <w:marTop w:val="0"/>
      <w:marBottom w:val="0"/>
      <w:divBdr>
        <w:top w:val="none" w:sz="0" w:space="0" w:color="auto"/>
        <w:left w:val="none" w:sz="0" w:space="0" w:color="auto"/>
        <w:bottom w:val="none" w:sz="0" w:space="0" w:color="auto"/>
        <w:right w:val="none" w:sz="0" w:space="0" w:color="auto"/>
      </w:divBdr>
      <w:divsChild>
        <w:div w:id="836577308">
          <w:marLeft w:val="0"/>
          <w:marRight w:val="0"/>
          <w:marTop w:val="0"/>
          <w:marBottom w:val="0"/>
          <w:divBdr>
            <w:top w:val="none" w:sz="0" w:space="0" w:color="auto"/>
            <w:left w:val="none" w:sz="0" w:space="0" w:color="auto"/>
            <w:bottom w:val="none" w:sz="0" w:space="0" w:color="auto"/>
            <w:right w:val="none" w:sz="0" w:space="0" w:color="auto"/>
          </w:divBdr>
          <w:divsChild>
            <w:div w:id="2096516560">
              <w:marLeft w:val="0"/>
              <w:marRight w:val="0"/>
              <w:marTop w:val="0"/>
              <w:marBottom w:val="0"/>
              <w:divBdr>
                <w:top w:val="none" w:sz="0" w:space="0" w:color="auto"/>
                <w:left w:val="none" w:sz="0" w:space="0" w:color="auto"/>
                <w:bottom w:val="none" w:sz="0" w:space="0" w:color="auto"/>
                <w:right w:val="none" w:sz="0" w:space="0" w:color="auto"/>
              </w:divBdr>
              <w:divsChild>
                <w:div w:id="201133318">
                  <w:marLeft w:val="0"/>
                  <w:marRight w:val="0"/>
                  <w:marTop w:val="0"/>
                  <w:marBottom w:val="0"/>
                  <w:divBdr>
                    <w:top w:val="none" w:sz="0" w:space="0" w:color="auto"/>
                    <w:left w:val="none" w:sz="0" w:space="0" w:color="auto"/>
                    <w:bottom w:val="none" w:sz="0" w:space="0" w:color="auto"/>
                    <w:right w:val="none" w:sz="0" w:space="0" w:color="auto"/>
                  </w:divBdr>
                  <w:divsChild>
                    <w:div w:id="1651447743">
                      <w:marLeft w:val="0"/>
                      <w:marRight w:val="0"/>
                      <w:marTop w:val="0"/>
                      <w:marBottom w:val="0"/>
                      <w:divBdr>
                        <w:top w:val="none" w:sz="0" w:space="0" w:color="auto"/>
                        <w:left w:val="none" w:sz="0" w:space="0" w:color="auto"/>
                        <w:bottom w:val="none" w:sz="0" w:space="0" w:color="auto"/>
                        <w:right w:val="none" w:sz="0" w:space="0" w:color="auto"/>
                      </w:divBdr>
                    </w:div>
                  </w:divsChild>
                </w:div>
                <w:div w:id="298146919">
                  <w:marLeft w:val="0"/>
                  <w:marRight w:val="0"/>
                  <w:marTop w:val="0"/>
                  <w:marBottom w:val="0"/>
                  <w:divBdr>
                    <w:top w:val="none" w:sz="0" w:space="0" w:color="auto"/>
                    <w:left w:val="none" w:sz="0" w:space="0" w:color="auto"/>
                    <w:bottom w:val="none" w:sz="0" w:space="0" w:color="auto"/>
                    <w:right w:val="none" w:sz="0" w:space="0" w:color="auto"/>
                  </w:divBdr>
                  <w:divsChild>
                    <w:div w:id="582957627">
                      <w:marLeft w:val="0"/>
                      <w:marRight w:val="0"/>
                      <w:marTop w:val="0"/>
                      <w:marBottom w:val="0"/>
                      <w:divBdr>
                        <w:top w:val="none" w:sz="0" w:space="0" w:color="auto"/>
                        <w:left w:val="none" w:sz="0" w:space="0" w:color="auto"/>
                        <w:bottom w:val="none" w:sz="0" w:space="0" w:color="auto"/>
                        <w:right w:val="none" w:sz="0" w:space="0" w:color="auto"/>
                      </w:divBdr>
                    </w:div>
                  </w:divsChild>
                </w:div>
                <w:div w:id="351537806">
                  <w:marLeft w:val="0"/>
                  <w:marRight w:val="0"/>
                  <w:marTop w:val="0"/>
                  <w:marBottom w:val="0"/>
                  <w:divBdr>
                    <w:top w:val="none" w:sz="0" w:space="0" w:color="auto"/>
                    <w:left w:val="none" w:sz="0" w:space="0" w:color="auto"/>
                    <w:bottom w:val="none" w:sz="0" w:space="0" w:color="auto"/>
                    <w:right w:val="none" w:sz="0" w:space="0" w:color="auto"/>
                  </w:divBdr>
                  <w:divsChild>
                    <w:div w:id="57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6627">
      <w:bodyDiv w:val="1"/>
      <w:marLeft w:val="0"/>
      <w:marRight w:val="0"/>
      <w:marTop w:val="0"/>
      <w:marBottom w:val="0"/>
      <w:divBdr>
        <w:top w:val="none" w:sz="0" w:space="0" w:color="auto"/>
        <w:left w:val="none" w:sz="0" w:space="0" w:color="auto"/>
        <w:bottom w:val="none" w:sz="0" w:space="0" w:color="auto"/>
        <w:right w:val="none" w:sz="0" w:space="0" w:color="auto"/>
      </w:divBdr>
    </w:div>
    <w:div w:id="1498575009">
      <w:bodyDiv w:val="1"/>
      <w:marLeft w:val="0"/>
      <w:marRight w:val="0"/>
      <w:marTop w:val="0"/>
      <w:marBottom w:val="0"/>
      <w:divBdr>
        <w:top w:val="none" w:sz="0" w:space="0" w:color="auto"/>
        <w:left w:val="none" w:sz="0" w:space="0" w:color="auto"/>
        <w:bottom w:val="none" w:sz="0" w:space="0" w:color="auto"/>
        <w:right w:val="none" w:sz="0" w:space="0" w:color="auto"/>
      </w:divBdr>
    </w:div>
    <w:div w:id="1500653293">
      <w:bodyDiv w:val="1"/>
      <w:marLeft w:val="0"/>
      <w:marRight w:val="0"/>
      <w:marTop w:val="0"/>
      <w:marBottom w:val="0"/>
      <w:divBdr>
        <w:top w:val="none" w:sz="0" w:space="0" w:color="auto"/>
        <w:left w:val="none" w:sz="0" w:space="0" w:color="auto"/>
        <w:bottom w:val="none" w:sz="0" w:space="0" w:color="auto"/>
        <w:right w:val="none" w:sz="0" w:space="0" w:color="auto"/>
      </w:divBdr>
    </w:div>
    <w:div w:id="1505436835">
      <w:bodyDiv w:val="1"/>
      <w:marLeft w:val="0"/>
      <w:marRight w:val="0"/>
      <w:marTop w:val="0"/>
      <w:marBottom w:val="0"/>
      <w:divBdr>
        <w:top w:val="none" w:sz="0" w:space="0" w:color="auto"/>
        <w:left w:val="none" w:sz="0" w:space="0" w:color="auto"/>
        <w:bottom w:val="none" w:sz="0" w:space="0" w:color="auto"/>
        <w:right w:val="none" w:sz="0" w:space="0" w:color="auto"/>
      </w:divBdr>
      <w:divsChild>
        <w:div w:id="836725343">
          <w:marLeft w:val="0"/>
          <w:marRight w:val="0"/>
          <w:marTop w:val="0"/>
          <w:marBottom w:val="0"/>
          <w:divBdr>
            <w:top w:val="none" w:sz="0" w:space="0" w:color="auto"/>
            <w:left w:val="none" w:sz="0" w:space="0" w:color="auto"/>
            <w:bottom w:val="none" w:sz="0" w:space="0" w:color="auto"/>
            <w:right w:val="none" w:sz="0" w:space="0" w:color="auto"/>
          </w:divBdr>
          <w:divsChild>
            <w:div w:id="1027104342">
              <w:marLeft w:val="0"/>
              <w:marRight w:val="0"/>
              <w:marTop w:val="0"/>
              <w:marBottom w:val="0"/>
              <w:divBdr>
                <w:top w:val="none" w:sz="0" w:space="0" w:color="auto"/>
                <w:left w:val="none" w:sz="0" w:space="0" w:color="auto"/>
                <w:bottom w:val="none" w:sz="0" w:space="0" w:color="auto"/>
                <w:right w:val="none" w:sz="0" w:space="0" w:color="auto"/>
              </w:divBdr>
              <w:divsChild>
                <w:div w:id="8719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771">
      <w:bodyDiv w:val="1"/>
      <w:marLeft w:val="0"/>
      <w:marRight w:val="0"/>
      <w:marTop w:val="0"/>
      <w:marBottom w:val="0"/>
      <w:divBdr>
        <w:top w:val="none" w:sz="0" w:space="0" w:color="auto"/>
        <w:left w:val="none" w:sz="0" w:space="0" w:color="auto"/>
        <w:bottom w:val="none" w:sz="0" w:space="0" w:color="auto"/>
        <w:right w:val="none" w:sz="0" w:space="0" w:color="auto"/>
      </w:divBdr>
      <w:divsChild>
        <w:div w:id="824471279">
          <w:marLeft w:val="0"/>
          <w:marRight w:val="0"/>
          <w:marTop w:val="0"/>
          <w:marBottom w:val="0"/>
          <w:divBdr>
            <w:top w:val="none" w:sz="0" w:space="0" w:color="auto"/>
            <w:left w:val="none" w:sz="0" w:space="0" w:color="auto"/>
            <w:bottom w:val="none" w:sz="0" w:space="0" w:color="auto"/>
            <w:right w:val="none" w:sz="0" w:space="0" w:color="auto"/>
          </w:divBdr>
        </w:div>
      </w:divsChild>
    </w:div>
    <w:div w:id="1599486665">
      <w:bodyDiv w:val="1"/>
      <w:marLeft w:val="0"/>
      <w:marRight w:val="0"/>
      <w:marTop w:val="0"/>
      <w:marBottom w:val="0"/>
      <w:divBdr>
        <w:top w:val="none" w:sz="0" w:space="0" w:color="auto"/>
        <w:left w:val="none" w:sz="0" w:space="0" w:color="auto"/>
        <w:bottom w:val="none" w:sz="0" w:space="0" w:color="auto"/>
        <w:right w:val="none" w:sz="0" w:space="0" w:color="auto"/>
      </w:divBdr>
    </w:div>
    <w:div w:id="1643341415">
      <w:bodyDiv w:val="1"/>
      <w:marLeft w:val="0"/>
      <w:marRight w:val="0"/>
      <w:marTop w:val="0"/>
      <w:marBottom w:val="0"/>
      <w:divBdr>
        <w:top w:val="none" w:sz="0" w:space="0" w:color="auto"/>
        <w:left w:val="none" w:sz="0" w:space="0" w:color="auto"/>
        <w:bottom w:val="none" w:sz="0" w:space="0" w:color="auto"/>
        <w:right w:val="none" w:sz="0" w:space="0" w:color="auto"/>
      </w:divBdr>
    </w:div>
    <w:div w:id="1668553536">
      <w:bodyDiv w:val="1"/>
      <w:marLeft w:val="0"/>
      <w:marRight w:val="0"/>
      <w:marTop w:val="0"/>
      <w:marBottom w:val="0"/>
      <w:divBdr>
        <w:top w:val="none" w:sz="0" w:space="0" w:color="auto"/>
        <w:left w:val="none" w:sz="0" w:space="0" w:color="auto"/>
        <w:bottom w:val="none" w:sz="0" w:space="0" w:color="auto"/>
        <w:right w:val="none" w:sz="0" w:space="0" w:color="auto"/>
      </w:divBdr>
    </w:div>
    <w:div w:id="1705404059">
      <w:bodyDiv w:val="1"/>
      <w:marLeft w:val="0"/>
      <w:marRight w:val="0"/>
      <w:marTop w:val="0"/>
      <w:marBottom w:val="0"/>
      <w:divBdr>
        <w:top w:val="none" w:sz="0" w:space="0" w:color="auto"/>
        <w:left w:val="none" w:sz="0" w:space="0" w:color="auto"/>
        <w:bottom w:val="none" w:sz="0" w:space="0" w:color="auto"/>
        <w:right w:val="none" w:sz="0" w:space="0" w:color="auto"/>
      </w:divBdr>
    </w:div>
    <w:div w:id="1707365028">
      <w:bodyDiv w:val="1"/>
      <w:marLeft w:val="0"/>
      <w:marRight w:val="0"/>
      <w:marTop w:val="0"/>
      <w:marBottom w:val="0"/>
      <w:divBdr>
        <w:top w:val="none" w:sz="0" w:space="0" w:color="auto"/>
        <w:left w:val="none" w:sz="0" w:space="0" w:color="auto"/>
        <w:bottom w:val="none" w:sz="0" w:space="0" w:color="auto"/>
        <w:right w:val="none" w:sz="0" w:space="0" w:color="auto"/>
      </w:divBdr>
    </w:div>
    <w:div w:id="1707680164">
      <w:bodyDiv w:val="1"/>
      <w:marLeft w:val="0"/>
      <w:marRight w:val="0"/>
      <w:marTop w:val="0"/>
      <w:marBottom w:val="0"/>
      <w:divBdr>
        <w:top w:val="none" w:sz="0" w:space="0" w:color="auto"/>
        <w:left w:val="none" w:sz="0" w:space="0" w:color="auto"/>
        <w:bottom w:val="none" w:sz="0" w:space="0" w:color="auto"/>
        <w:right w:val="none" w:sz="0" w:space="0" w:color="auto"/>
      </w:divBdr>
    </w:div>
    <w:div w:id="1778870534">
      <w:bodyDiv w:val="1"/>
      <w:marLeft w:val="0"/>
      <w:marRight w:val="0"/>
      <w:marTop w:val="0"/>
      <w:marBottom w:val="0"/>
      <w:divBdr>
        <w:top w:val="none" w:sz="0" w:space="0" w:color="auto"/>
        <w:left w:val="none" w:sz="0" w:space="0" w:color="auto"/>
        <w:bottom w:val="none" w:sz="0" w:space="0" w:color="auto"/>
        <w:right w:val="none" w:sz="0" w:space="0" w:color="auto"/>
      </w:divBdr>
      <w:divsChild>
        <w:div w:id="185024763">
          <w:marLeft w:val="0"/>
          <w:marRight w:val="0"/>
          <w:marTop w:val="0"/>
          <w:marBottom w:val="0"/>
          <w:divBdr>
            <w:top w:val="none" w:sz="0" w:space="0" w:color="auto"/>
            <w:left w:val="none" w:sz="0" w:space="0" w:color="auto"/>
            <w:bottom w:val="none" w:sz="0" w:space="0" w:color="auto"/>
            <w:right w:val="none" w:sz="0" w:space="0" w:color="auto"/>
          </w:divBdr>
          <w:divsChild>
            <w:div w:id="1581985362">
              <w:marLeft w:val="0"/>
              <w:marRight w:val="0"/>
              <w:marTop w:val="0"/>
              <w:marBottom w:val="0"/>
              <w:divBdr>
                <w:top w:val="none" w:sz="0" w:space="0" w:color="auto"/>
                <w:left w:val="none" w:sz="0" w:space="0" w:color="auto"/>
                <w:bottom w:val="none" w:sz="0" w:space="0" w:color="auto"/>
                <w:right w:val="none" w:sz="0" w:space="0" w:color="auto"/>
              </w:divBdr>
              <w:divsChild>
                <w:div w:id="555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1459">
      <w:bodyDiv w:val="1"/>
      <w:marLeft w:val="0"/>
      <w:marRight w:val="0"/>
      <w:marTop w:val="0"/>
      <w:marBottom w:val="0"/>
      <w:divBdr>
        <w:top w:val="none" w:sz="0" w:space="0" w:color="auto"/>
        <w:left w:val="none" w:sz="0" w:space="0" w:color="auto"/>
        <w:bottom w:val="none" w:sz="0" w:space="0" w:color="auto"/>
        <w:right w:val="none" w:sz="0" w:space="0" w:color="auto"/>
      </w:divBdr>
    </w:div>
    <w:div w:id="1797794235">
      <w:bodyDiv w:val="1"/>
      <w:marLeft w:val="0"/>
      <w:marRight w:val="0"/>
      <w:marTop w:val="0"/>
      <w:marBottom w:val="0"/>
      <w:divBdr>
        <w:top w:val="none" w:sz="0" w:space="0" w:color="auto"/>
        <w:left w:val="none" w:sz="0" w:space="0" w:color="auto"/>
        <w:bottom w:val="none" w:sz="0" w:space="0" w:color="auto"/>
        <w:right w:val="none" w:sz="0" w:space="0" w:color="auto"/>
      </w:divBdr>
    </w:div>
    <w:div w:id="1822188789">
      <w:bodyDiv w:val="1"/>
      <w:marLeft w:val="0"/>
      <w:marRight w:val="0"/>
      <w:marTop w:val="0"/>
      <w:marBottom w:val="0"/>
      <w:divBdr>
        <w:top w:val="none" w:sz="0" w:space="0" w:color="auto"/>
        <w:left w:val="none" w:sz="0" w:space="0" w:color="auto"/>
        <w:bottom w:val="none" w:sz="0" w:space="0" w:color="auto"/>
        <w:right w:val="none" w:sz="0" w:space="0" w:color="auto"/>
      </w:divBdr>
      <w:divsChild>
        <w:div w:id="142546621">
          <w:marLeft w:val="0"/>
          <w:marRight w:val="0"/>
          <w:marTop w:val="0"/>
          <w:marBottom w:val="0"/>
          <w:divBdr>
            <w:top w:val="none" w:sz="0" w:space="0" w:color="auto"/>
            <w:left w:val="none" w:sz="0" w:space="0" w:color="auto"/>
            <w:bottom w:val="none" w:sz="0" w:space="0" w:color="auto"/>
            <w:right w:val="none" w:sz="0" w:space="0" w:color="auto"/>
          </w:divBdr>
          <w:divsChild>
            <w:div w:id="1942373638">
              <w:marLeft w:val="0"/>
              <w:marRight w:val="0"/>
              <w:marTop w:val="0"/>
              <w:marBottom w:val="0"/>
              <w:divBdr>
                <w:top w:val="none" w:sz="0" w:space="0" w:color="auto"/>
                <w:left w:val="none" w:sz="0" w:space="0" w:color="auto"/>
                <w:bottom w:val="none" w:sz="0" w:space="0" w:color="auto"/>
                <w:right w:val="none" w:sz="0" w:space="0" w:color="auto"/>
              </w:divBdr>
              <w:divsChild>
                <w:div w:id="1620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4307">
      <w:bodyDiv w:val="1"/>
      <w:marLeft w:val="0"/>
      <w:marRight w:val="0"/>
      <w:marTop w:val="0"/>
      <w:marBottom w:val="0"/>
      <w:divBdr>
        <w:top w:val="none" w:sz="0" w:space="0" w:color="auto"/>
        <w:left w:val="none" w:sz="0" w:space="0" w:color="auto"/>
        <w:bottom w:val="none" w:sz="0" w:space="0" w:color="auto"/>
        <w:right w:val="none" w:sz="0" w:space="0" w:color="auto"/>
      </w:divBdr>
      <w:divsChild>
        <w:div w:id="9331652">
          <w:marLeft w:val="0"/>
          <w:marRight w:val="0"/>
          <w:marTop w:val="0"/>
          <w:marBottom w:val="0"/>
          <w:divBdr>
            <w:top w:val="none" w:sz="0" w:space="0" w:color="auto"/>
            <w:left w:val="none" w:sz="0" w:space="0" w:color="auto"/>
            <w:bottom w:val="none" w:sz="0" w:space="0" w:color="auto"/>
            <w:right w:val="none" w:sz="0" w:space="0" w:color="auto"/>
          </w:divBdr>
          <w:divsChild>
            <w:div w:id="1298609152">
              <w:marLeft w:val="0"/>
              <w:marRight w:val="0"/>
              <w:marTop w:val="0"/>
              <w:marBottom w:val="0"/>
              <w:divBdr>
                <w:top w:val="none" w:sz="0" w:space="0" w:color="auto"/>
                <w:left w:val="none" w:sz="0" w:space="0" w:color="auto"/>
                <w:bottom w:val="none" w:sz="0" w:space="0" w:color="auto"/>
                <w:right w:val="none" w:sz="0" w:space="0" w:color="auto"/>
              </w:divBdr>
              <w:divsChild>
                <w:div w:id="1200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7610">
      <w:bodyDiv w:val="1"/>
      <w:marLeft w:val="0"/>
      <w:marRight w:val="0"/>
      <w:marTop w:val="0"/>
      <w:marBottom w:val="0"/>
      <w:divBdr>
        <w:top w:val="none" w:sz="0" w:space="0" w:color="auto"/>
        <w:left w:val="none" w:sz="0" w:space="0" w:color="auto"/>
        <w:bottom w:val="none" w:sz="0" w:space="0" w:color="auto"/>
        <w:right w:val="none" w:sz="0" w:space="0" w:color="auto"/>
      </w:divBdr>
    </w:div>
    <w:div w:id="1868711107">
      <w:bodyDiv w:val="1"/>
      <w:marLeft w:val="0"/>
      <w:marRight w:val="0"/>
      <w:marTop w:val="0"/>
      <w:marBottom w:val="0"/>
      <w:divBdr>
        <w:top w:val="none" w:sz="0" w:space="0" w:color="auto"/>
        <w:left w:val="none" w:sz="0" w:space="0" w:color="auto"/>
        <w:bottom w:val="none" w:sz="0" w:space="0" w:color="auto"/>
        <w:right w:val="none" w:sz="0" w:space="0" w:color="auto"/>
      </w:divBdr>
      <w:divsChild>
        <w:div w:id="670252956">
          <w:marLeft w:val="0"/>
          <w:marRight w:val="0"/>
          <w:marTop w:val="0"/>
          <w:marBottom w:val="0"/>
          <w:divBdr>
            <w:top w:val="none" w:sz="0" w:space="0" w:color="auto"/>
            <w:left w:val="none" w:sz="0" w:space="0" w:color="auto"/>
            <w:bottom w:val="none" w:sz="0" w:space="0" w:color="auto"/>
            <w:right w:val="none" w:sz="0" w:space="0" w:color="auto"/>
          </w:divBdr>
          <w:divsChild>
            <w:div w:id="271330755">
              <w:marLeft w:val="0"/>
              <w:marRight w:val="0"/>
              <w:marTop w:val="0"/>
              <w:marBottom w:val="0"/>
              <w:divBdr>
                <w:top w:val="none" w:sz="0" w:space="0" w:color="auto"/>
                <w:left w:val="none" w:sz="0" w:space="0" w:color="auto"/>
                <w:bottom w:val="none" w:sz="0" w:space="0" w:color="auto"/>
                <w:right w:val="none" w:sz="0" w:space="0" w:color="auto"/>
              </w:divBdr>
              <w:divsChild>
                <w:div w:id="1325628455">
                  <w:marLeft w:val="0"/>
                  <w:marRight w:val="0"/>
                  <w:marTop w:val="0"/>
                  <w:marBottom w:val="0"/>
                  <w:divBdr>
                    <w:top w:val="none" w:sz="0" w:space="0" w:color="auto"/>
                    <w:left w:val="none" w:sz="0" w:space="0" w:color="auto"/>
                    <w:bottom w:val="none" w:sz="0" w:space="0" w:color="auto"/>
                    <w:right w:val="none" w:sz="0" w:space="0" w:color="auto"/>
                  </w:divBdr>
                  <w:divsChild>
                    <w:div w:id="1865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5944">
      <w:bodyDiv w:val="1"/>
      <w:marLeft w:val="0"/>
      <w:marRight w:val="0"/>
      <w:marTop w:val="0"/>
      <w:marBottom w:val="0"/>
      <w:divBdr>
        <w:top w:val="none" w:sz="0" w:space="0" w:color="auto"/>
        <w:left w:val="none" w:sz="0" w:space="0" w:color="auto"/>
        <w:bottom w:val="none" w:sz="0" w:space="0" w:color="auto"/>
        <w:right w:val="none" w:sz="0" w:space="0" w:color="auto"/>
      </w:divBdr>
      <w:divsChild>
        <w:div w:id="538050990">
          <w:marLeft w:val="0"/>
          <w:marRight w:val="0"/>
          <w:marTop w:val="0"/>
          <w:marBottom w:val="0"/>
          <w:divBdr>
            <w:top w:val="none" w:sz="0" w:space="0" w:color="auto"/>
            <w:left w:val="none" w:sz="0" w:space="0" w:color="auto"/>
            <w:bottom w:val="none" w:sz="0" w:space="0" w:color="auto"/>
            <w:right w:val="none" w:sz="0" w:space="0" w:color="auto"/>
          </w:divBdr>
          <w:divsChild>
            <w:div w:id="1725525004">
              <w:marLeft w:val="0"/>
              <w:marRight w:val="0"/>
              <w:marTop w:val="0"/>
              <w:marBottom w:val="0"/>
              <w:divBdr>
                <w:top w:val="none" w:sz="0" w:space="0" w:color="auto"/>
                <w:left w:val="none" w:sz="0" w:space="0" w:color="auto"/>
                <w:bottom w:val="none" w:sz="0" w:space="0" w:color="auto"/>
                <w:right w:val="none" w:sz="0" w:space="0" w:color="auto"/>
              </w:divBdr>
              <w:divsChild>
                <w:div w:id="13809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4063">
      <w:bodyDiv w:val="1"/>
      <w:marLeft w:val="0"/>
      <w:marRight w:val="0"/>
      <w:marTop w:val="0"/>
      <w:marBottom w:val="0"/>
      <w:divBdr>
        <w:top w:val="none" w:sz="0" w:space="0" w:color="auto"/>
        <w:left w:val="none" w:sz="0" w:space="0" w:color="auto"/>
        <w:bottom w:val="none" w:sz="0" w:space="0" w:color="auto"/>
        <w:right w:val="none" w:sz="0" w:space="0" w:color="auto"/>
      </w:divBdr>
      <w:divsChild>
        <w:div w:id="1939478729">
          <w:marLeft w:val="0"/>
          <w:marRight w:val="0"/>
          <w:marTop w:val="0"/>
          <w:marBottom w:val="0"/>
          <w:divBdr>
            <w:top w:val="none" w:sz="0" w:space="0" w:color="auto"/>
            <w:left w:val="none" w:sz="0" w:space="0" w:color="auto"/>
            <w:bottom w:val="none" w:sz="0" w:space="0" w:color="auto"/>
            <w:right w:val="none" w:sz="0" w:space="0" w:color="auto"/>
          </w:divBdr>
          <w:divsChild>
            <w:div w:id="386731135">
              <w:marLeft w:val="0"/>
              <w:marRight w:val="0"/>
              <w:marTop w:val="0"/>
              <w:marBottom w:val="0"/>
              <w:divBdr>
                <w:top w:val="none" w:sz="0" w:space="0" w:color="auto"/>
                <w:left w:val="none" w:sz="0" w:space="0" w:color="auto"/>
                <w:bottom w:val="none" w:sz="0" w:space="0" w:color="auto"/>
                <w:right w:val="none" w:sz="0" w:space="0" w:color="auto"/>
              </w:divBdr>
              <w:divsChild>
                <w:div w:id="1699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8569">
      <w:bodyDiv w:val="1"/>
      <w:marLeft w:val="0"/>
      <w:marRight w:val="0"/>
      <w:marTop w:val="0"/>
      <w:marBottom w:val="0"/>
      <w:divBdr>
        <w:top w:val="none" w:sz="0" w:space="0" w:color="auto"/>
        <w:left w:val="none" w:sz="0" w:space="0" w:color="auto"/>
        <w:bottom w:val="none" w:sz="0" w:space="0" w:color="auto"/>
        <w:right w:val="none" w:sz="0" w:space="0" w:color="auto"/>
      </w:divBdr>
      <w:divsChild>
        <w:div w:id="988704659">
          <w:marLeft w:val="0"/>
          <w:marRight w:val="0"/>
          <w:marTop w:val="0"/>
          <w:marBottom w:val="0"/>
          <w:divBdr>
            <w:top w:val="none" w:sz="0" w:space="0" w:color="auto"/>
            <w:left w:val="none" w:sz="0" w:space="0" w:color="auto"/>
            <w:bottom w:val="none" w:sz="0" w:space="0" w:color="auto"/>
            <w:right w:val="none" w:sz="0" w:space="0" w:color="auto"/>
          </w:divBdr>
          <w:divsChild>
            <w:div w:id="173343375">
              <w:marLeft w:val="0"/>
              <w:marRight w:val="0"/>
              <w:marTop w:val="0"/>
              <w:marBottom w:val="0"/>
              <w:divBdr>
                <w:top w:val="none" w:sz="0" w:space="0" w:color="auto"/>
                <w:left w:val="none" w:sz="0" w:space="0" w:color="auto"/>
                <w:bottom w:val="none" w:sz="0" w:space="0" w:color="auto"/>
                <w:right w:val="none" w:sz="0" w:space="0" w:color="auto"/>
              </w:divBdr>
              <w:divsChild>
                <w:div w:id="17610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4967">
      <w:bodyDiv w:val="1"/>
      <w:marLeft w:val="0"/>
      <w:marRight w:val="0"/>
      <w:marTop w:val="0"/>
      <w:marBottom w:val="0"/>
      <w:divBdr>
        <w:top w:val="none" w:sz="0" w:space="0" w:color="auto"/>
        <w:left w:val="none" w:sz="0" w:space="0" w:color="auto"/>
        <w:bottom w:val="none" w:sz="0" w:space="0" w:color="auto"/>
        <w:right w:val="none" w:sz="0" w:space="0" w:color="auto"/>
      </w:divBdr>
      <w:divsChild>
        <w:div w:id="255329894">
          <w:marLeft w:val="0"/>
          <w:marRight w:val="0"/>
          <w:marTop w:val="0"/>
          <w:marBottom w:val="0"/>
          <w:divBdr>
            <w:top w:val="none" w:sz="0" w:space="0" w:color="auto"/>
            <w:left w:val="none" w:sz="0" w:space="0" w:color="auto"/>
            <w:bottom w:val="none" w:sz="0" w:space="0" w:color="auto"/>
            <w:right w:val="none" w:sz="0" w:space="0" w:color="auto"/>
          </w:divBdr>
          <w:divsChild>
            <w:div w:id="1073162039">
              <w:marLeft w:val="0"/>
              <w:marRight w:val="0"/>
              <w:marTop w:val="0"/>
              <w:marBottom w:val="0"/>
              <w:divBdr>
                <w:top w:val="none" w:sz="0" w:space="0" w:color="auto"/>
                <w:left w:val="none" w:sz="0" w:space="0" w:color="auto"/>
                <w:bottom w:val="none" w:sz="0" w:space="0" w:color="auto"/>
                <w:right w:val="none" w:sz="0" w:space="0" w:color="auto"/>
              </w:divBdr>
              <w:divsChild>
                <w:div w:id="1359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3166">
      <w:bodyDiv w:val="1"/>
      <w:marLeft w:val="0"/>
      <w:marRight w:val="0"/>
      <w:marTop w:val="0"/>
      <w:marBottom w:val="0"/>
      <w:divBdr>
        <w:top w:val="none" w:sz="0" w:space="0" w:color="auto"/>
        <w:left w:val="none" w:sz="0" w:space="0" w:color="auto"/>
        <w:bottom w:val="none" w:sz="0" w:space="0" w:color="auto"/>
        <w:right w:val="none" w:sz="0" w:space="0" w:color="auto"/>
      </w:divBdr>
    </w:div>
    <w:div w:id="1983657227">
      <w:bodyDiv w:val="1"/>
      <w:marLeft w:val="0"/>
      <w:marRight w:val="0"/>
      <w:marTop w:val="0"/>
      <w:marBottom w:val="0"/>
      <w:divBdr>
        <w:top w:val="none" w:sz="0" w:space="0" w:color="auto"/>
        <w:left w:val="none" w:sz="0" w:space="0" w:color="auto"/>
        <w:bottom w:val="none" w:sz="0" w:space="0" w:color="auto"/>
        <w:right w:val="none" w:sz="0" w:space="0" w:color="auto"/>
      </w:divBdr>
      <w:divsChild>
        <w:div w:id="545609484">
          <w:marLeft w:val="0"/>
          <w:marRight w:val="0"/>
          <w:marTop w:val="0"/>
          <w:marBottom w:val="0"/>
          <w:divBdr>
            <w:top w:val="none" w:sz="0" w:space="0" w:color="auto"/>
            <w:left w:val="none" w:sz="0" w:space="0" w:color="auto"/>
            <w:bottom w:val="none" w:sz="0" w:space="0" w:color="auto"/>
            <w:right w:val="none" w:sz="0" w:space="0" w:color="auto"/>
          </w:divBdr>
          <w:divsChild>
            <w:div w:id="94329192">
              <w:marLeft w:val="0"/>
              <w:marRight w:val="0"/>
              <w:marTop w:val="0"/>
              <w:marBottom w:val="0"/>
              <w:divBdr>
                <w:top w:val="none" w:sz="0" w:space="0" w:color="auto"/>
                <w:left w:val="none" w:sz="0" w:space="0" w:color="auto"/>
                <w:bottom w:val="none" w:sz="0" w:space="0" w:color="auto"/>
                <w:right w:val="none" w:sz="0" w:space="0" w:color="auto"/>
              </w:divBdr>
              <w:divsChild>
                <w:div w:id="241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307">
      <w:bodyDiv w:val="1"/>
      <w:marLeft w:val="0"/>
      <w:marRight w:val="0"/>
      <w:marTop w:val="0"/>
      <w:marBottom w:val="0"/>
      <w:divBdr>
        <w:top w:val="none" w:sz="0" w:space="0" w:color="auto"/>
        <w:left w:val="none" w:sz="0" w:space="0" w:color="auto"/>
        <w:bottom w:val="none" w:sz="0" w:space="0" w:color="auto"/>
        <w:right w:val="none" w:sz="0" w:space="0" w:color="auto"/>
      </w:divBdr>
      <w:divsChild>
        <w:div w:id="1061831014">
          <w:marLeft w:val="0"/>
          <w:marRight w:val="0"/>
          <w:marTop w:val="0"/>
          <w:marBottom w:val="0"/>
          <w:divBdr>
            <w:top w:val="none" w:sz="0" w:space="0" w:color="auto"/>
            <w:left w:val="none" w:sz="0" w:space="0" w:color="auto"/>
            <w:bottom w:val="none" w:sz="0" w:space="0" w:color="auto"/>
            <w:right w:val="none" w:sz="0" w:space="0" w:color="auto"/>
          </w:divBdr>
          <w:divsChild>
            <w:div w:id="621769661">
              <w:marLeft w:val="0"/>
              <w:marRight w:val="0"/>
              <w:marTop w:val="0"/>
              <w:marBottom w:val="0"/>
              <w:divBdr>
                <w:top w:val="none" w:sz="0" w:space="0" w:color="auto"/>
                <w:left w:val="none" w:sz="0" w:space="0" w:color="auto"/>
                <w:bottom w:val="none" w:sz="0" w:space="0" w:color="auto"/>
                <w:right w:val="none" w:sz="0" w:space="0" w:color="auto"/>
              </w:divBdr>
              <w:divsChild>
                <w:div w:id="498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9663">
      <w:bodyDiv w:val="1"/>
      <w:marLeft w:val="0"/>
      <w:marRight w:val="0"/>
      <w:marTop w:val="0"/>
      <w:marBottom w:val="0"/>
      <w:divBdr>
        <w:top w:val="none" w:sz="0" w:space="0" w:color="auto"/>
        <w:left w:val="none" w:sz="0" w:space="0" w:color="auto"/>
        <w:bottom w:val="none" w:sz="0" w:space="0" w:color="auto"/>
        <w:right w:val="none" w:sz="0" w:space="0" w:color="auto"/>
      </w:divBdr>
      <w:divsChild>
        <w:div w:id="2029141990">
          <w:marLeft w:val="0"/>
          <w:marRight w:val="0"/>
          <w:marTop w:val="0"/>
          <w:marBottom w:val="0"/>
          <w:divBdr>
            <w:top w:val="none" w:sz="0" w:space="0" w:color="auto"/>
            <w:left w:val="none" w:sz="0" w:space="0" w:color="auto"/>
            <w:bottom w:val="none" w:sz="0" w:space="0" w:color="auto"/>
            <w:right w:val="none" w:sz="0" w:space="0" w:color="auto"/>
          </w:divBdr>
          <w:divsChild>
            <w:div w:id="670180828">
              <w:marLeft w:val="0"/>
              <w:marRight w:val="0"/>
              <w:marTop w:val="0"/>
              <w:marBottom w:val="0"/>
              <w:divBdr>
                <w:top w:val="none" w:sz="0" w:space="0" w:color="auto"/>
                <w:left w:val="none" w:sz="0" w:space="0" w:color="auto"/>
                <w:bottom w:val="none" w:sz="0" w:space="0" w:color="auto"/>
                <w:right w:val="none" w:sz="0" w:space="0" w:color="auto"/>
              </w:divBdr>
              <w:divsChild>
                <w:div w:id="1938907477">
                  <w:marLeft w:val="0"/>
                  <w:marRight w:val="0"/>
                  <w:marTop w:val="0"/>
                  <w:marBottom w:val="0"/>
                  <w:divBdr>
                    <w:top w:val="none" w:sz="0" w:space="0" w:color="auto"/>
                    <w:left w:val="none" w:sz="0" w:space="0" w:color="auto"/>
                    <w:bottom w:val="none" w:sz="0" w:space="0" w:color="auto"/>
                    <w:right w:val="none" w:sz="0" w:space="0" w:color="auto"/>
                  </w:divBdr>
                  <w:divsChild>
                    <w:div w:id="4101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6449">
      <w:bodyDiv w:val="1"/>
      <w:marLeft w:val="0"/>
      <w:marRight w:val="0"/>
      <w:marTop w:val="0"/>
      <w:marBottom w:val="0"/>
      <w:divBdr>
        <w:top w:val="none" w:sz="0" w:space="0" w:color="auto"/>
        <w:left w:val="none" w:sz="0" w:space="0" w:color="auto"/>
        <w:bottom w:val="none" w:sz="0" w:space="0" w:color="auto"/>
        <w:right w:val="none" w:sz="0" w:space="0" w:color="auto"/>
      </w:divBdr>
      <w:divsChild>
        <w:div w:id="1035351510">
          <w:marLeft w:val="0"/>
          <w:marRight w:val="0"/>
          <w:marTop w:val="0"/>
          <w:marBottom w:val="0"/>
          <w:divBdr>
            <w:top w:val="none" w:sz="0" w:space="0" w:color="auto"/>
            <w:left w:val="none" w:sz="0" w:space="0" w:color="auto"/>
            <w:bottom w:val="none" w:sz="0" w:space="0" w:color="auto"/>
            <w:right w:val="none" w:sz="0" w:space="0" w:color="auto"/>
          </w:divBdr>
          <w:divsChild>
            <w:div w:id="372000518">
              <w:marLeft w:val="0"/>
              <w:marRight w:val="0"/>
              <w:marTop w:val="0"/>
              <w:marBottom w:val="0"/>
              <w:divBdr>
                <w:top w:val="none" w:sz="0" w:space="0" w:color="auto"/>
                <w:left w:val="none" w:sz="0" w:space="0" w:color="auto"/>
                <w:bottom w:val="none" w:sz="0" w:space="0" w:color="auto"/>
                <w:right w:val="none" w:sz="0" w:space="0" w:color="auto"/>
              </w:divBdr>
              <w:divsChild>
                <w:div w:id="4345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20338">
      <w:bodyDiv w:val="1"/>
      <w:marLeft w:val="0"/>
      <w:marRight w:val="0"/>
      <w:marTop w:val="0"/>
      <w:marBottom w:val="0"/>
      <w:divBdr>
        <w:top w:val="none" w:sz="0" w:space="0" w:color="auto"/>
        <w:left w:val="none" w:sz="0" w:space="0" w:color="auto"/>
        <w:bottom w:val="none" w:sz="0" w:space="0" w:color="auto"/>
        <w:right w:val="none" w:sz="0" w:space="0" w:color="auto"/>
      </w:divBdr>
    </w:div>
    <w:div w:id="2050301868">
      <w:bodyDiv w:val="1"/>
      <w:marLeft w:val="0"/>
      <w:marRight w:val="0"/>
      <w:marTop w:val="0"/>
      <w:marBottom w:val="0"/>
      <w:divBdr>
        <w:top w:val="none" w:sz="0" w:space="0" w:color="auto"/>
        <w:left w:val="none" w:sz="0" w:space="0" w:color="auto"/>
        <w:bottom w:val="none" w:sz="0" w:space="0" w:color="auto"/>
        <w:right w:val="none" w:sz="0" w:space="0" w:color="auto"/>
      </w:divBdr>
    </w:div>
    <w:div w:id="2054499156">
      <w:bodyDiv w:val="1"/>
      <w:marLeft w:val="0"/>
      <w:marRight w:val="0"/>
      <w:marTop w:val="0"/>
      <w:marBottom w:val="0"/>
      <w:divBdr>
        <w:top w:val="none" w:sz="0" w:space="0" w:color="auto"/>
        <w:left w:val="none" w:sz="0" w:space="0" w:color="auto"/>
        <w:bottom w:val="none" w:sz="0" w:space="0" w:color="auto"/>
        <w:right w:val="none" w:sz="0" w:space="0" w:color="auto"/>
      </w:divBdr>
    </w:div>
    <w:div w:id="2056737449">
      <w:bodyDiv w:val="1"/>
      <w:marLeft w:val="0"/>
      <w:marRight w:val="0"/>
      <w:marTop w:val="0"/>
      <w:marBottom w:val="0"/>
      <w:divBdr>
        <w:top w:val="none" w:sz="0" w:space="0" w:color="auto"/>
        <w:left w:val="none" w:sz="0" w:space="0" w:color="auto"/>
        <w:bottom w:val="none" w:sz="0" w:space="0" w:color="auto"/>
        <w:right w:val="none" w:sz="0" w:space="0" w:color="auto"/>
      </w:divBdr>
      <w:divsChild>
        <w:div w:id="508368060">
          <w:marLeft w:val="0"/>
          <w:marRight w:val="0"/>
          <w:marTop w:val="0"/>
          <w:marBottom w:val="0"/>
          <w:divBdr>
            <w:top w:val="none" w:sz="0" w:space="0" w:color="auto"/>
            <w:left w:val="none" w:sz="0" w:space="0" w:color="auto"/>
            <w:bottom w:val="none" w:sz="0" w:space="0" w:color="auto"/>
            <w:right w:val="none" w:sz="0" w:space="0" w:color="auto"/>
          </w:divBdr>
          <w:divsChild>
            <w:div w:id="1162233878">
              <w:marLeft w:val="0"/>
              <w:marRight w:val="0"/>
              <w:marTop w:val="0"/>
              <w:marBottom w:val="0"/>
              <w:divBdr>
                <w:top w:val="none" w:sz="0" w:space="0" w:color="auto"/>
                <w:left w:val="none" w:sz="0" w:space="0" w:color="auto"/>
                <w:bottom w:val="none" w:sz="0" w:space="0" w:color="auto"/>
                <w:right w:val="none" w:sz="0" w:space="0" w:color="auto"/>
              </w:divBdr>
              <w:divsChild>
                <w:div w:id="17393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2877">
      <w:bodyDiv w:val="1"/>
      <w:marLeft w:val="0"/>
      <w:marRight w:val="0"/>
      <w:marTop w:val="0"/>
      <w:marBottom w:val="0"/>
      <w:divBdr>
        <w:top w:val="none" w:sz="0" w:space="0" w:color="auto"/>
        <w:left w:val="none" w:sz="0" w:space="0" w:color="auto"/>
        <w:bottom w:val="none" w:sz="0" w:space="0" w:color="auto"/>
        <w:right w:val="none" w:sz="0" w:space="0" w:color="auto"/>
      </w:divBdr>
      <w:divsChild>
        <w:div w:id="1400513915">
          <w:marLeft w:val="0"/>
          <w:marRight w:val="0"/>
          <w:marTop w:val="0"/>
          <w:marBottom w:val="0"/>
          <w:divBdr>
            <w:top w:val="none" w:sz="0" w:space="0" w:color="auto"/>
            <w:left w:val="none" w:sz="0" w:space="0" w:color="auto"/>
            <w:bottom w:val="none" w:sz="0" w:space="0" w:color="auto"/>
            <w:right w:val="none" w:sz="0" w:space="0" w:color="auto"/>
          </w:divBdr>
          <w:divsChild>
            <w:div w:id="1539200835">
              <w:marLeft w:val="0"/>
              <w:marRight w:val="0"/>
              <w:marTop w:val="0"/>
              <w:marBottom w:val="0"/>
              <w:divBdr>
                <w:top w:val="none" w:sz="0" w:space="0" w:color="auto"/>
                <w:left w:val="none" w:sz="0" w:space="0" w:color="auto"/>
                <w:bottom w:val="none" w:sz="0" w:space="0" w:color="auto"/>
                <w:right w:val="none" w:sz="0" w:space="0" w:color="auto"/>
              </w:divBdr>
              <w:divsChild>
                <w:div w:id="2934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1519">
      <w:bodyDiv w:val="1"/>
      <w:marLeft w:val="0"/>
      <w:marRight w:val="0"/>
      <w:marTop w:val="0"/>
      <w:marBottom w:val="0"/>
      <w:divBdr>
        <w:top w:val="none" w:sz="0" w:space="0" w:color="auto"/>
        <w:left w:val="none" w:sz="0" w:space="0" w:color="auto"/>
        <w:bottom w:val="none" w:sz="0" w:space="0" w:color="auto"/>
        <w:right w:val="none" w:sz="0" w:space="0" w:color="auto"/>
      </w:divBdr>
      <w:divsChild>
        <w:div w:id="732000287">
          <w:marLeft w:val="0"/>
          <w:marRight w:val="0"/>
          <w:marTop w:val="0"/>
          <w:marBottom w:val="0"/>
          <w:divBdr>
            <w:top w:val="none" w:sz="0" w:space="0" w:color="auto"/>
            <w:left w:val="none" w:sz="0" w:space="0" w:color="auto"/>
            <w:bottom w:val="none" w:sz="0" w:space="0" w:color="auto"/>
            <w:right w:val="none" w:sz="0" w:space="0" w:color="auto"/>
          </w:divBdr>
          <w:divsChild>
            <w:div w:id="803080287">
              <w:marLeft w:val="0"/>
              <w:marRight w:val="0"/>
              <w:marTop w:val="0"/>
              <w:marBottom w:val="0"/>
              <w:divBdr>
                <w:top w:val="none" w:sz="0" w:space="0" w:color="auto"/>
                <w:left w:val="none" w:sz="0" w:space="0" w:color="auto"/>
                <w:bottom w:val="none" w:sz="0" w:space="0" w:color="auto"/>
                <w:right w:val="none" w:sz="0" w:space="0" w:color="auto"/>
              </w:divBdr>
              <w:divsChild>
                <w:div w:id="15274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28494">
      <w:bodyDiv w:val="1"/>
      <w:marLeft w:val="0"/>
      <w:marRight w:val="0"/>
      <w:marTop w:val="0"/>
      <w:marBottom w:val="0"/>
      <w:divBdr>
        <w:top w:val="none" w:sz="0" w:space="0" w:color="auto"/>
        <w:left w:val="none" w:sz="0" w:space="0" w:color="auto"/>
        <w:bottom w:val="none" w:sz="0" w:space="0" w:color="auto"/>
        <w:right w:val="none" w:sz="0" w:space="0" w:color="auto"/>
      </w:divBdr>
      <w:divsChild>
        <w:div w:id="873881366">
          <w:marLeft w:val="0"/>
          <w:marRight w:val="0"/>
          <w:marTop w:val="0"/>
          <w:marBottom w:val="0"/>
          <w:divBdr>
            <w:top w:val="none" w:sz="0" w:space="0" w:color="auto"/>
            <w:left w:val="none" w:sz="0" w:space="0" w:color="auto"/>
            <w:bottom w:val="none" w:sz="0" w:space="0" w:color="auto"/>
            <w:right w:val="none" w:sz="0" w:space="0" w:color="auto"/>
          </w:divBdr>
        </w:div>
        <w:div w:id="1819957936">
          <w:marLeft w:val="0"/>
          <w:marRight w:val="0"/>
          <w:marTop w:val="0"/>
          <w:marBottom w:val="0"/>
          <w:divBdr>
            <w:top w:val="none" w:sz="0" w:space="0" w:color="auto"/>
            <w:left w:val="none" w:sz="0" w:space="0" w:color="auto"/>
            <w:bottom w:val="none" w:sz="0" w:space="0" w:color="auto"/>
            <w:right w:val="none" w:sz="0" w:space="0" w:color="auto"/>
          </w:divBdr>
        </w:div>
        <w:div w:id="68983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diario/2005/09/30/espana/1128031201_850215.html" TargetMode="External"/><Relationship Id="rId13" Type="http://schemas.openxmlformats.org/officeDocument/2006/relationships/hyperlink" Target="https://elpais.com/diario/1981/10/14/internacional/371862008_850215.html" TargetMode="External"/><Relationship Id="rId18" Type="http://schemas.openxmlformats.org/officeDocument/2006/relationships/hyperlink" Target="https://migration.ucdavis.edu/mn/more_entireissue.php?idate=1995_1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llcontarinosparta@hotmail.com" TargetMode="External"/><Relationship Id="rId12" Type="http://schemas.openxmlformats.org/officeDocument/2006/relationships/hyperlink" Target="https://elpais.com/diario/1999/04/06/portada/923349602_850215.html" TargetMode="External"/><Relationship Id="rId17" Type="http://schemas.openxmlformats.org/officeDocument/2006/relationships/hyperlink" Target="https://elpais.com/diario/1995/09/27/internacional/812156411_850215.html" TargetMode="External"/><Relationship Id="rId2" Type="http://schemas.openxmlformats.org/officeDocument/2006/relationships/styles" Target="styles.xml"/><Relationship Id="rId16" Type="http://schemas.openxmlformats.org/officeDocument/2006/relationships/hyperlink" Target="https://st.ilsole24ore.com/art/notizie/2013-10-15/l-operazione-mare-nostrum-costera-10-milioni-mese-114452.shtml?uuid=ABB1VgW" TargetMode="External"/><Relationship Id="rId20" Type="http://schemas.openxmlformats.org/officeDocument/2006/relationships/hyperlink" Target="https://elpais.com/diario/1985/09/27/internacional/496620010_85021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mundo.es/elmundo/2005/09/29/sociedad/1127968660.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ontex.europa.eu/media-centre/news/news-release/irregular-immigration-hits-new-low-in-first-quarter-2010-facilitator-detections-up-13--ESunbS" TargetMode="External"/><Relationship Id="rId23" Type="http://schemas.openxmlformats.org/officeDocument/2006/relationships/fontTable" Target="fontTable.xml"/><Relationship Id="rId10" Type="http://schemas.openxmlformats.org/officeDocument/2006/relationships/hyperlink" Target="http://hdl.handle.net/10481/7282" TargetMode="External"/><Relationship Id="rId19" Type="http://schemas.openxmlformats.org/officeDocument/2006/relationships/hyperlink" Target="https://hdl.handle.net/10520/AJA02562804_20" TargetMode="External"/><Relationship Id="rId4" Type="http://schemas.openxmlformats.org/officeDocument/2006/relationships/webSettings" Target="webSettings.xml"/><Relationship Id="rId9" Type="http://schemas.openxmlformats.org/officeDocument/2006/relationships/hyperlink" Target="https://dialnet.unirioja.es/ejemplar/226520" TargetMode="External"/><Relationship Id="rId14" Type="http://schemas.openxmlformats.org/officeDocument/2006/relationships/hyperlink" Target="https://www.repubblica.it/online/fatti/italib/dini/dini.html?ref=search"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asgi.it/notizie/memorandum-italia-libia-abolizione-2-novembre/" TargetMode="External"/><Relationship Id="rId2" Type="http://schemas.openxmlformats.org/officeDocument/2006/relationships/hyperlink" Target="https://www.amnesty.it/appelli/italia-libia-cancellare-il-memorandum-dintesa" TargetMode="External"/><Relationship Id="rId1" Type="http://schemas.openxmlformats.org/officeDocument/2006/relationships/hyperlink" Target="https://www.boe.es/eli/es/ai/1997/10/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9025</Words>
  <Characters>49643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L. Contarino Sparta</dc:creator>
  <cp:keywords/>
  <dc:description/>
  <cp:lastModifiedBy>Sebastián Ghirimoldi</cp:lastModifiedBy>
  <cp:revision>8</cp:revision>
  <cp:lastPrinted>2022-09-21T01:09:00Z</cp:lastPrinted>
  <dcterms:created xsi:type="dcterms:W3CDTF">2022-12-16T22:47:00Z</dcterms:created>
  <dcterms:modified xsi:type="dcterms:W3CDTF">2023-01-19T00:33:00Z</dcterms:modified>
</cp:coreProperties>
</file>