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fee79039eb2cd00b0a55b23f96f9f2c6be049a7"/>
    <w:p>
      <w:pPr>
        <w:pStyle w:val="Heading1"/>
      </w:pPr>
      <w:r>
        <w:t xml:space="preserve">TaskRabbit – Complete Product &amp; Business Specification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TaskRabbit is a two-sided, on-demand services marketplace that connects consumers who need everyday tasks completed with vetted local freelancers (</w:t>
      </w:r>
      <w:r>
        <w:t xml:space="preserve">“Taskers”</w:t>
      </w:r>
      <w:r>
        <w:t xml:space="preserve">). The platform focuses on speed, trust, flexibility, and local density, enabling efficient outsourcing of short-term physical and digital tasks while providing flexible income opportunities for independent workers.</w:t>
      </w:r>
    </w:p>
    <w:p>
      <w:pPr>
        <w:pStyle w:val="BodyText"/>
      </w:pPr>
      <w:r>
        <w:t xml:space="preserve">This document consolidates the</w:t>
      </w:r>
      <w:r>
        <w:t xml:space="preserve"> </w:t>
      </w:r>
      <w:r>
        <w:rPr>
          <w:b/>
          <w:bCs/>
        </w:rPr>
        <w:t xml:space="preserve">full product specification</w:t>
      </w:r>
      <w:r>
        <w:t xml:space="preserve">,</w:t>
      </w:r>
      <w:r>
        <w:t xml:space="preserve"> </w:t>
      </w:r>
      <w:r>
        <w:rPr>
          <w:b/>
          <w:bCs/>
        </w:rPr>
        <w:t xml:space="preserve">system design</w:t>
      </w:r>
      <w:r>
        <w:t xml:space="preserve">, and</w:t>
      </w:r>
      <w:r>
        <w:t xml:space="preserve"> </w:t>
      </w:r>
      <w:r>
        <w:rPr>
          <w:b/>
          <w:bCs/>
        </w:rPr>
        <w:t xml:space="preserve">complete business model</w:t>
      </w:r>
      <w:r>
        <w:t xml:space="preserve"> </w:t>
      </w:r>
      <w:r>
        <w:t xml:space="preserve">into a single, cohesive reference suitable for executives, product leaders, engineers, investors, and operators.</w:t>
      </w:r>
    </w:p>
    <w:p>
      <w:r>
        <w:pict>
          <v:rect style="width:0;height:1.5pt" o:hralign="center" o:hrstd="t" o:hr="t"/>
        </w:pict>
      </w:r>
    </w:p>
    <w:bookmarkEnd w:id="20"/>
    <w:bookmarkStart w:id="23" w:name="product-vision-strategy"/>
    <w:p>
      <w:pPr>
        <w:pStyle w:val="Heading2"/>
      </w:pPr>
      <w:r>
        <w:t xml:space="preserve">2. Product Vision &amp; Strategy</w:t>
      </w:r>
    </w:p>
    <w:bookmarkStart w:id="21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To become the default operating system for local, on-demand human labor.</w:t>
      </w:r>
    </w:p>
    <w:bookmarkEnd w:id="21"/>
    <w:bookmarkStart w:id="22" w:name="strategic-pillars"/>
    <w:p>
      <w:pPr>
        <w:pStyle w:val="Heading3"/>
      </w:pPr>
      <w:r>
        <w:t xml:space="preserve">Strategic Pillars</w:t>
      </w:r>
    </w:p>
    <w:p>
      <w:pPr>
        <w:pStyle w:val="Compact"/>
        <w:numPr>
          <w:ilvl w:val="0"/>
          <w:numId w:val="1001"/>
        </w:numPr>
      </w:pPr>
      <w:r>
        <w:t xml:space="preserve">Liquidity first – tasks get filled quickly</w:t>
      </w:r>
    </w:p>
    <w:p>
      <w:pPr>
        <w:pStyle w:val="Compact"/>
        <w:numPr>
          <w:ilvl w:val="0"/>
          <w:numId w:val="1001"/>
        </w:numPr>
      </w:pPr>
      <w:r>
        <w:t xml:space="preserve">Trust by design – safety, insurance, transparency</w:t>
      </w:r>
    </w:p>
    <w:p>
      <w:pPr>
        <w:pStyle w:val="Compact"/>
        <w:numPr>
          <w:ilvl w:val="0"/>
          <w:numId w:val="1001"/>
        </w:numPr>
      </w:pPr>
      <w:r>
        <w:t xml:space="preserve">Local density – hyper-local marketplace optimization</w:t>
      </w:r>
    </w:p>
    <w:p>
      <w:pPr>
        <w:pStyle w:val="Compact"/>
        <w:numPr>
          <w:ilvl w:val="0"/>
          <w:numId w:val="1001"/>
        </w:numPr>
      </w:pPr>
      <w:r>
        <w:t xml:space="preserve">Flexibility – task-level customization instead of rigid SKUs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user-segmentation"/>
    <w:p>
      <w:pPr>
        <w:pStyle w:val="Heading2"/>
      </w:pPr>
      <w:r>
        <w:t xml:space="preserve">3. User Segmentation</w:t>
      </w:r>
    </w:p>
    <w:bookmarkStart w:id="24" w:name="clients-demand-side"/>
    <w:p>
      <w:pPr>
        <w:pStyle w:val="Heading3"/>
      </w:pPr>
      <w:r>
        <w:t xml:space="preserve">3.1 Clients (Demand Side)</w:t>
      </w:r>
    </w:p>
    <w:p>
      <w:pPr>
        <w:pStyle w:val="FirstParagraph"/>
      </w:pPr>
      <w:r>
        <w:rPr>
          <w:b/>
          <w:bCs/>
        </w:rPr>
        <w:t xml:space="preserve">Segments</w:t>
      </w:r>
      <w:r>
        <w:t xml:space="preserve"> </w:t>
      </w:r>
      <w:r>
        <w:t xml:space="preserve">- One-time users (e.g., furniture assembly, moving help)</w:t>
      </w:r>
      <w:r>
        <w:t xml:space="preserve"> </w:t>
      </w:r>
      <w:r>
        <w:t xml:space="preserve">- Repeat households (cleaning, mounting)</w:t>
      </w:r>
      <w:r>
        <w:t xml:space="preserve"> </w:t>
      </w:r>
      <w:r>
        <w:t xml:space="preserve">- Small offices and property managers</w:t>
      </w:r>
      <w:r>
        <w:t xml:space="preserve"> </w:t>
      </w:r>
      <w:r>
        <w:t xml:space="preserve">- Enterprise partners (retailers, real estate)</w:t>
      </w:r>
    </w:p>
    <w:p>
      <w:pPr>
        <w:pStyle w:val="BodyText"/>
      </w:pPr>
      <w:r>
        <w:rPr>
          <w:b/>
          <w:bCs/>
        </w:rPr>
        <w:t xml:space="preserve">Core Needs</w:t>
      </w:r>
      <w:r>
        <w:t xml:space="preserve"> </w:t>
      </w:r>
      <w:r>
        <w:t xml:space="preserve">- Fast availability</w:t>
      </w:r>
      <w:r>
        <w:t xml:space="preserve"> </w:t>
      </w:r>
      <w:r>
        <w:t xml:space="preserve">- Predictable pricing</w:t>
      </w:r>
      <w:r>
        <w:t xml:space="preserve"> </w:t>
      </w:r>
      <w:r>
        <w:t xml:space="preserve">- Trust and safety</w:t>
      </w:r>
      <w:r>
        <w:t xml:space="preserve"> </w:t>
      </w:r>
      <w:r>
        <w:t xml:space="preserve">- Simple booking and payment</w:t>
      </w:r>
    </w:p>
    <w:p>
      <w:r>
        <w:pict>
          <v:rect style="width:0;height:1.5pt" o:hralign="center" o:hrstd="t" o:hr="t"/>
        </w:pict>
      </w:r>
    </w:p>
    <w:bookmarkEnd w:id="24"/>
    <w:bookmarkStart w:id="25" w:name="taskers-supply-side"/>
    <w:p>
      <w:pPr>
        <w:pStyle w:val="Heading3"/>
      </w:pPr>
      <w:r>
        <w:t xml:space="preserve">3.2 Taskers (Supply Side)</w:t>
      </w:r>
    </w:p>
    <w:p>
      <w:pPr>
        <w:pStyle w:val="FirstParagraph"/>
      </w:pPr>
      <w:r>
        <w:rPr>
          <w:b/>
          <w:bCs/>
        </w:rPr>
        <w:t xml:space="preserve">Segments</w:t>
      </w:r>
      <w:r>
        <w:t xml:space="preserve"> </w:t>
      </w:r>
      <w:r>
        <w:t xml:space="preserve">- Casual Taskers (few hours/week)</w:t>
      </w:r>
      <w:r>
        <w:t xml:space="preserve"> </w:t>
      </w:r>
      <w:r>
        <w:t xml:space="preserve">- Full-time Taskers</w:t>
      </w:r>
      <w:r>
        <w:t xml:space="preserve"> </w:t>
      </w:r>
      <w:r>
        <w:t xml:space="preserve">- Specialists (high-skill, high-rate)</w:t>
      </w:r>
      <w:r>
        <w:t xml:space="preserve"> </w:t>
      </w:r>
      <w:r>
        <w:t xml:space="preserve">- New Taskers (cold start)</w:t>
      </w:r>
    </w:p>
    <w:p>
      <w:pPr>
        <w:pStyle w:val="BodyText"/>
      </w:pPr>
      <w:r>
        <w:rPr>
          <w:b/>
          <w:bCs/>
        </w:rPr>
        <w:t xml:space="preserve">Core Needs</w:t>
      </w:r>
      <w:r>
        <w:t xml:space="preserve"> </w:t>
      </w:r>
      <w:r>
        <w:t xml:space="preserve">- Flexible schedules</w:t>
      </w:r>
      <w:r>
        <w:t xml:space="preserve"> </w:t>
      </w:r>
      <w:r>
        <w:t xml:space="preserve">- Control over pricing</w:t>
      </w:r>
      <w:r>
        <w:t xml:space="preserve"> </w:t>
      </w:r>
      <w:r>
        <w:t xml:space="preserve">- Fair access to work</w:t>
      </w:r>
      <w:r>
        <w:t xml:space="preserve"> </w:t>
      </w:r>
      <w:r>
        <w:t xml:space="preserve">- Reliable payouts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ask-taxonomy-structure"/>
    <w:p>
      <w:pPr>
        <w:pStyle w:val="Heading2"/>
      </w:pPr>
      <w:r>
        <w:t xml:space="preserve">4. Task Taxonomy &amp; Structure</w:t>
      </w:r>
    </w:p>
    <w:p>
      <w:pPr>
        <w:pStyle w:val="FirstParagraph"/>
      </w:pPr>
      <w:r>
        <w:t xml:space="preserve">Each task is defined by:</w:t>
      </w:r>
      <w:r>
        <w:t xml:space="preserve"> </w:t>
      </w:r>
      <w:r>
        <w:t xml:space="preserve">- Category and sub-category</w:t>
      </w:r>
      <w:r>
        <w:t xml:space="preserve"> </w:t>
      </w:r>
      <w:r>
        <w:t xml:space="preserve">- Required skills</w:t>
      </w:r>
      <w:r>
        <w:t xml:space="preserve"> </w:t>
      </w:r>
      <w:r>
        <w:t xml:space="preserve">- Tool and equipment requirements</w:t>
      </w:r>
      <w:r>
        <w:t xml:space="preserve"> </w:t>
      </w:r>
      <w:r>
        <w:t xml:space="preserve">- Estimated duration</w:t>
      </w:r>
      <w:r>
        <w:t xml:space="preserve"> </w:t>
      </w:r>
      <w:r>
        <w:t xml:space="preserve">- Pricing model (hourly or fixed)</w:t>
      </w:r>
      <w:r>
        <w:t xml:space="preserve"> </w:t>
      </w:r>
      <w:r>
        <w:t xml:space="preserve">- Risk class</w:t>
      </w:r>
    </w:p>
    <w:bookmarkStart w:id="27" w:name="structured-task-inputs"/>
    <w:p>
      <w:pPr>
        <w:pStyle w:val="Heading3"/>
      </w:pPr>
      <w:r>
        <w:t xml:space="preserve">Structured Task Inputs</w:t>
      </w:r>
    </w:p>
    <w:p>
      <w:pPr>
        <w:pStyle w:val="Compact"/>
        <w:numPr>
          <w:ilvl w:val="0"/>
          <w:numId w:val="1002"/>
        </w:numPr>
      </w:pPr>
      <w:r>
        <w:t xml:space="preserve">Number of items</w:t>
      </w:r>
    </w:p>
    <w:p>
      <w:pPr>
        <w:pStyle w:val="Compact"/>
        <w:numPr>
          <w:ilvl w:val="0"/>
          <w:numId w:val="1002"/>
        </w:numPr>
      </w:pPr>
      <w:r>
        <w:t xml:space="preserve">Floor level and elevator access</w:t>
      </w:r>
    </w:p>
    <w:p>
      <w:pPr>
        <w:pStyle w:val="Compact"/>
        <w:numPr>
          <w:ilvl w:val="0"/>
          <w:numId w:val="1002"/>
        </w:numPr>
      </w:pPr>
      <w:r>
        <w:t xml:space="preserve">Parking constraints</w:t>
      </w:r>
    </w:p>
    <w:p>
      <w:pPr>
        <w:pStyle w:val="Compact"/>
        <w:numPr>
          <w:ilvl w:val="0"/>
          <w:numId w:val="1002"/>
        </w:numPr>
      </w:pPr>
      <w:r>
        <w:t xml:space="preserve">Heavy lifting flag</w:t>
      </w:r>
    </w:p>
    <w:p>
      <w:pPr>
        <w:pStyle w:val="Compact"/>
        <w:numPr>
          <w:ilvl w:val="0"/>
          <w:numId w:val="1002"/>
        </w:numPr>
      </w:pPr>
      <w:r>
        <w:t xml:space="preserve">Pets on site</w:t>
      </w:r>
    </w:p>
    <w:p>
      <w:pPr>
        <w:pStyle w:val="FirstParagraph"/>
      </w:pPr>
      <w:r>
        <w:t xml:space="preserve">These inputs inform pricing guidance, ranking, insurance eligibility, and dispute handling.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nd-to-end-task-lifecycle"/>
    <w:p>
      <w:pPr>
        <w:pStyle w:val="Heading2"/>
      </w:pPr>
      <w:r>
        <w:t xml:space="preserve">5. End-to-End Task Lifecycle</w:t>
      </w:r>
    </w:p>
    <w:bookmarkStart w:id="29" w:name="state-machine"/>
    <w:p>
      <w:pPr>
        <w:pStyle w:val="Heading3"/>
      </w:pPr>
      <w:r>
        <w:t xml:space="preserve">State Machine</w:t>
      </w:r>
    </w:p>
    <w:p>
      <w:pPr>
        <w:pStyle w:val="Compact"/>
        <w:numPr>
          <w:ilvl w:val="0"/>
          <w:numId w:val="1003"/>
        </w:numPr>
      </w:pPr>
      <w:r>
        <w:t xml:space="preserve">Draft</w:t>
      </w:r>
    </w:p>
    <w:p>
      <w:pPr>
        <w:pStyle w:val="Compact"/>
        <w:numPr>
          <w:ilvl w:val="0"/>
          <w:numId w:val="1003"/>
        </w:numPr>
      </w:pPr>
      <w:r>
        <w:t xml:space="preserve">Posted</w:t>
      </w:r>
    </w:p>
    <w:p>
      <w:pPr>
        <w:pStyle w:val="Compact"/>
        <w:numPr>
          <w:ilvl w:val="0"/>
          <w:numId w:val="1003"/>
        </w:numPr>
      </w:pPr>
      <w:r>
        <w:t xml:space="preserve">Matching</w:t>
      </w:r>
    </w:p>
    <w:p>
      <w:pPr>
        <w:pStyle w:val="Compact"/>
        <w:numPr>
          <w:ilvl w:val="0"/>
          <w:numId w:val="1003"/>
        </w:numPr>
      </w:pPr>
      <w:r>
        <w:t xml:space="preserve">Offered</w:t>
      </w:r>
    </w:p>
    <w:p>
      <w:pPr>
        <w:pStyle w:val="Compact"/>
        <w:numPr>
          <w:ilvl w:val="0"/>
          <w:numId w:val="1003"/>
        </w:numPr>
      </w:pPr>
      <w:r>
        <w:t xml:space="preserve">Accepted</w:t>
      </w:r>
    </w:p>
    <w:p>
      <w:pPr>
        <w:pStyle w:val="Compact"/>
        <w:numPr>
          <w:ilvl w:val="0"/>
          <w:numId w:val="1003"/>
        </w:numPr>
      </w:pPr>
      <w:r>
        <w:t xml:space="preserve">Confirmed</w:t>
      </w:r>
    </w:p>
    <w:p>
      <w:pPr>
        <w:pStyle w:val="Compact"/>
        <w:numPr>
          <w:ilvl w:val="0"/>
          <w:numId w:val="1003"/>
        </w:numPr>
      </w:pPr>
      <w:r>
        <w:t xml:space="preserve">In progress</w:t>
      </w:r>
    </w:p>
    <w:p>
      <w:pPr>
        <w:pStyle w:val="Compact"/>
        <w:numPr>
          <w:ilvl w:val="0"/>
          <w:numId w:val="1003"/>
        </w:numPr>
      </w:pPr>
      <w:r>
        <w:t xml:space="preserve">Completed</w:t>
      </w:r>
    </w:p>
    <w:p>
      <w:pPr>
        <w:pStyle w:val="Compact"/>
        <w:numPr>
          <w:ilvl w:val="0"/>
          <w:numId w:val="1003"/>
        </w:numPr>
      </w:pPr>
      <w:r>
        <w:t xml:space="preserve">Reviewed</w:t>
      </w:r>
    </w:p>
    <w:bookmarkEnd w:id="29"/>
    <w:bookmarkStart w:id="30" w:name="failure-exception-states"/>
    <w:p>
      <w:pPr>
        <w:pStyle w:val="Heading3"/>
      </w:pPr>
      <w:r>
        <w:t xml:space="preserve">Failure &amp; Exception States</w:t>
      </w:r>
    </w:p>
    <w:p>
      <w:pPr>
        <w:pStyle w:val="Compact"/>
        <w:numPr>
          <w:ilvl w:val="0"/>
          <w:numId w:val="1004"/>
        </w:numPr>
      </w:pPr>
      <w:r>
        <w:t xml:space="preserve">Expired</w:t>
      </w:r>
    </w:p>
    <w:p>
      <w:pPr>
        <w:pStyle w:val="Compact"/>
        <w:numPr>
          <w:ilvl w:val="0"/>
          <w:numId w:val="1004"/>
        </w:numPr>
      </w:pPr>
      <w:r>
        <w:t xml:space="preserve">Client cancellation</w:t>
      </w:r>
    </w:p>
    <w:p>
      <w:pPr>
        <w:pStyle w:val="Compact"/>
        <w:numPr>
          <w:ilvl w:val="0"/>
          <w:numId w:val="1004"/>
        </w:numPr>
      </w:pPr>
      <w:r>
        <w:t xml:space="preserve">Tasker cancellation</w:t>
      </w:r>
    </w:p>
    <w:p>
      <w:pPr>
        <w:pStyle w:val="Compact"/>
        <w:numPr>
          <w:ilvl w:val="0"/>
          <w:numId w:val="1004"/>
        </w:numPr>
      </w:pPr>
      <w:r>
        <w:t xml:space="preserve">Disputed</w:t>
      </w:r>
    </w:p>
    <w:p>
      <w:pPr>
        <w:pStyle w:val="Compact"/>
        <w:numPr>
          <w:ilvl w:val="0"/>
          <w:numId w:val="1004"/>
        </w:numPr>
      </w:pPr>
      <w:r>
        <w:t xml:space="preserve">Refunded (partial or full)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atching-ranking-machine-learning"/>
    <w:p>
      <w:pPr>
        <w:pStyle w:val="Heading2"/>
      </w:pPr>
      <w:r>
        <w:t xml:space="preserve">6. Matching, Ranking &amp; Machine Learning</w:t>
      </w:r>
    </w:p>
    <w:bookmarkStart w:id="32" w:name="matching-pipeline"/>
    <w:p>
      <w:pPr>
        <w:pStyle w:val="Heading3"/>
      </w:pPr>
      <w:r>
        <w:t xml:space="preserve">Matching Pipeline</w:t>
      </w:r>
    </w:p>
    <w:p>
      <w:pPr>
        <w:pStyle w:val="FirstParagraph"/>
      </w:pPr>
      <w:r>
        <w:rPr>
          <w:b/>
          <w:bCs/>
        </w:rPr>
        <w:t xml:space="preserve">Step 1 – Hard Filters</w:t>
      </w:r>
      <w:r>
        <w:t xml:space="preserve"> </w:t>
      </w:r>
      <w:r>
        <w:t xml:space="preserve">- Location radius</w:t>
      </w:r>
      <w:r>
        <w:t xml:space="preserve"> </w:t>
      </w:r>
      <w:r>
        <w:t xml:space="preserve">- Availability</w:t>
      </w:r>
      <w:r>
        <w:t xml:space="preserve"> </w:t>
      </w:r>
      <w:r>
        <w:t xml:space="preserve">- Skill match</w:t>
      </w:r>
      <w:r>
        <w:t xml:space="preserve"> </w:t>
      </w:r>
      <w:r>
        <w:t xml:space="preserve">- Verification and background check status</w:t>
      </w:r>
    </w:p>
    <w:p>
      <w:pPr>
        <w:pStyle w:val="BodyText"/>
      </w:pPr>
      <w:r>
        <w:rPr>
          <w:b/>
          <w:bCs/>
        </w:rPr>
        <w:t xml:space="preserve">Step 2 – Ranking Model</w:t>
      </w:r>
      <w:r>
        <w:t xml:space="preserve"> </w:t>
      </w:r>
      <w:r>
        <w:t xml:space="preserve">- Distance decay</w:t>
      </w:r>
      <w:r>
        <w:t xml:space="preserve"> </w:t>
      </w:r>
      <w:r>
        <w:t xml:space="preserve">- Acceptance probability</w:t>
      </w:r>
      <w:r>
        <w:t xml:space="preserve"> </w:t>
      </w:r>
      <w:r>
        <w:t xml:space="preserve">- Completion probability</w:t>
      </w:r>
      <w:r>
        <w:t xml:space="preserve"> </w:t>
      </w:r>
      <w:r>
        <w:t xml:space="preserve">- Ratings (Bayesian adjusted)</w:t>
      </w:r>
      <w:r>
        <w:t xml:space="preserve"> </w:t>
      </w:r>
      <w:r>
        <w:t xml:space="preserve">- Price competitiveness</w:t>
      </w:r>
      <w:r>
        <w:t xml:space="preserve"> </w:t>
      </w:r>
      <w:r>
        <w:t xml:space="preserve">- Recent activity boost</w:t>
      </w:r>
    </w:p>
    <w:p>
      <w:pPr>
        <w:pStyle w:val="BodyText"/>
      </w:pPr>
      <w:r>
        <w:rPr>
          <w:b/>
          <w:bCs/>
        </w:rPr>
        <w:t xml:space="preserve">Step 3 – Marketplace Controls</w:t>
      </w:r>
      <w:r>
        <w:t xml:space="preserve"> </w:t>
      </w:r>
      <w:r>
        <w:t xml:space="preserve">- Exposure caps</w:t>
      </w:r>
      <w:r>
        <w:t xml:space="preserve"> </w:t>
      </w:r>
      <w:r>
        <w:t xml:space="preserve">- New Tasker boosts</w:t>
      </w:r>
      <w:r>
        <w:t xml:space="preserve"> </w:t>
      </w:r>
      <w:r>
        <w:t xml:space="preserve">- Diversity constraints</w:t>
      </w:r>
      <w:r>
        <w:t xml:space="preserve"> </w:t>
      </w:r>
      <w:r>
        <w:t xml:space="preserve">- Anti-gaming heuristics</w:t>
      </w:r>
    </w:p>
    <w:bookmarkEnd w:id="32"/>
    <w:bookmarkStart w:id="33" w:name="cold-start-mitigation"/>
    <w:p>
      <w:pPr>
        <w:pStyle w:val="Heading3"/>
      </w:pPr>
      <w:r>
        <w:t xml:space="preserve">Cold Start Mitigation</w:t>
      </w:r>
    </w:p>
    <w:p>
      <w:pPr>
        <w:pStyle w:val="Compact"/>
        <w:numPr>
          <w:ilvl w:val="0"/>
          <w:numId w:val="1005"/>
        </w:numPr>
      </w:pPr>
      <w:r>
        <w:t xml:space="preserve">Initial pricing caps</w:t>
      </w:r>
    </w:p>
    <w:p>
      <w:pPr>
        <w:pStyle w:val="Compact"/>
        <w:numPr>
          <w:ilvl w:val="0"/>
          <w:numId w:val="1005"/>
        </w:numPr>
      </w:pPr>
      <w:r>
        <w:t xml:space="preserve">Manual review</w:t>
      </w:r>
    </w:p>
    <w:p>
      <w:pPr>
        <w:pStyle w:val="Compact"/>
        <w:numPr>
          <w:ilvl w:val="0"/>
          <w:numId w:val="1005"/>
        </w:numPr>
      </w:pPr>
      <w:r>
        <w:t xml:space="preserve">Limited instant booking</w:t>
      </w:r>
    </w:p>
    <w:p>
      <w:pPr>
        <w:pStyle w:val="Compact"/>
        <w:numPr>
          <w:ilvl w:val="0"/>
          <w:numId w:val="1005"/>
        </w:numPr>
      </w:pPr>
      <w:r>
        <w:t xml:space="preserve">Early task incentives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icing-system"/>
    <w:p>
      <w:pPr>
        <w:pStyle w:val="Heading2"/>
      </w:pPr>
      <w:r>
        <w:t xml:space="preserve">7. Pricing System</w:t>
      </w:r>
    </w:p>
    <w:bookmarkStart w:id="35" w:name="pricing-inputs"/>
    <w:p>
      <w:pPr>
        <w:pStyle w:val="Heading3"/>
      </w:pPr>
      <w:r>
        <w:t xml:space="preserve">Pricing Inputs</w:t>
      </w:r>
    </w:p>
    <w:p>
      <w:pPr>
        <w:pStyle w:val="Compact"/>
        <w:numPr>
          <w:ilvl w:val="0"/>
          <w:numId w:val="1006"/>
        </w:numPr>
      </w:pPr>
      <w:r>
        <w:t xml:space="preserve">Historical task duration</w:t>
      </w:r>
    </w:p>
    <w:p>
      <w:pPr>
        <w:pStyle w:val="Compact"/>
        <w:numPr>
          <w:ilvl w:val="0"/>
          <w:numId w:val="1006"/>
        </w:numPr>
      </w:pPr>
      <w:r>
        <w:t xml:space="preserve">Task complexity</w:t>
      </w:r>
    </w:p>
    <w:p>
      <w:pPr>
        <w:pStyle w:val="Compact"/>
        <w:numPr>
          <w:ilvl w:val="0"/>
          <w:numId w:val="1006"/>
        </w:numPr>
      </w:pPr>
      <w:r>
        <w:t xml:space="preserve">Regional supply/demand</w:t>
      </w:r>
    </w:p>
    <w:p>
      <w:pPr>
        <w:pStyle w:val="Compact"/>
        <w:numPr>
          <w:ilvl w:val="0"/>
          <w:numId w:val="1006"/>
        </w:numPr>
      </w:pPr>
      <w:r>
        <w:t xml:space="preserve">Time-of-day and seasonality</w:t>
      </w:r>
    </w:p>
    <w:bookmarkEnd w:id="35"/>
    <w:bookmarkStart w:id="36" w:name="client-pricing"/>
    <w:p>
      <w:pPr>
        <w:pStyle w:val="Heading3"/>
      </w:pPr>
      <w:r>
        <w:t xml:space="preserve">Client Pricing</w:t>
      </w:r>
    </w:p>
    <w:p>
      <w:pPr>
        <w:pStyle w:val="Compact"/>
        <w:numPr>
          <w:ilvl w:val="0"/>
          <w:numId w:val="1007"/>
        </w:numPr>
      </w:pPr>
      <w:r>
        <w:t xml:space="preserve">Tasker base rate</w:t>
      </w:r>
    </w:p>
    <w:p>
      <w:pPr>
        <w:pStyle w:val="Compact"/>
        <w:numPr>
          <w:ilvl w:val="0"/>
          <w:numId w:val="1007"/>
        </w:numPr>
      </w:pPr>
      <w:r>
        <w:t xml:space="preserve">Platform service fee (dynamic)</w:t>
      </w:r>
    </w:p>
    <w:p>
      <w:pPr>
        <w:pStyle w:val="Compact"/>
        <w:numPr>
          <w:ilvl w:val="0"/>
          <w:numId w:val="1007"/>
        </w:numPr>
      </w:pPr>
      <w:r>
        <w:t xml:space="preserve">Optional tips</w:t>
      </w:r>
    </w:p>
    <w:bookmarkEnd w:id="36"/>
    <w:bookmarkStart w:id="37" w:name="tasker-controls"/>
    <w:p>
      <w:pPr>
        <w:pStyle w:val="Heading3"/>
      </w:pPr>
      <w:r>
        <w:t xml:space="preserve">Tasker Controls</w:t>
      </w:r>
    </w:p>
    <w:p>
      <w:pPr>
        <w:pStyle w:val="Compact"/>
        <w:numPr>
          <w:ilvl w:val="0"/>
          <w:numId w:val="1008"/>
        </w:numPr>
      </w:pPr>
      <w:r>
        <w:t xml:space="preserve">Per-category rates</w:t>
      </w:r>
    </w:p>
    <w:p>
      <w:pPr>
        <w:pStyle w:val="Compact"/>
        <w:numPr>
          <w:ilvl w:val="0"/>
          <w:numId w:val="1008"/>
        </w:numPr>
      </w:pPr>
      <w:r>
        <w:t xml:space="preserve">Minimum hours</w:t>
      </w:r>
    </w:p>
    <w:p>
      <w:pPr>
        <w:pStyle w:val="Compact"/>
        <w:numPr>
          <w:ilvl w:val="0"/>
          <w:numId w:val="1008"/>
        </w:numPr>
      </w:pPr>
      <w:r>
        <w:t xml:space="preserve">Travel fees (region dependent)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ayments-billing-financial-flows"/>
    <w:p>
      <w:pPr>
        <w:pStyle w:val="Heading2"/>
      </w:pPr>
      <w:r>
        <w:t xml:space="preserve">8. Payments, Billing &amp; Financial Flows</w:t>
      </w:r>
    </w:p>
    <w:bookmarkStart w:id="39" w:name="payment-flow"/>
    <w:p>
      <w:pPr>
        <w:pStyle w:val="Heading3"/>
      </w:pPr>
      <w:r>
        <w:t xml:space="preserve">Payment Flow</w:t>
      </w:r>
    </w:p>
    <w:p>
      <w:pPr>
        <w:pStyle w:val="Compact"/>
        <w:numPr>
          <w:ilvl w:val="0"/>
          <w:numId w:val="1009"/>
        </w:numPr>
      </w:pPr>
      <w:r>
        <w:t xml:space="preserve">Client payment method pre-authorized</w:t>
      </w:r>
    </w:p>
    <w:p>
      <w:pPr>
        <w:pStyle w:val="Compact"/>
        <w:numPr>
          <w:ilvl w:val="0"/>
          <w:numId w:val="1009"/>
        </w:numPr>
      </w:pPr>
      <w:r>
        <w:t xml:space="preserve">Task completed</w:t>
      </w:r>
    </w:p>
    <w:p>
      <w:pPr>
        <w:pStyle w:val="Compact"/>
        <w:numPr>
          <w:ilvl w:val="0"/>
          <w:numId w:val="1009"/>
        </w:numPr>
      </w:pPr>
      <w:r>
        <w:t xml:space="preserve">Tasker submits hours</w:t>
      </w:r>
    </w:p>
    <w:p>
      <w:pPr>
        <w:pStyle w:val="Compact"/>
        <w:numPr>
          <w:ilvl w:val="0"/>
          <w:numId w:val="1009"/>
        </w:numPr>
      </w:pPr>
      <w:r>
        <w:t xml:space="preserve">Client review window</w:t>
      </w:r>
    </w:p>
    <w:p>
      <w:pPr>
        <w:pStyle w:val="Compact"/>
        <w:numPr>
          <w:ilvl w:val="0"/>
          <w:numId w:val="1009"/>
        </w:numPr>
      </w:pPr>
      <w:r>
        <w:t xml:space="preserve">Payment captured</w:t>
      </w:r>
    </w:p>
    <w:p>
      <w:pPr>
        <w:pStyle w:val="Compact"/>
        <w:numPr>
          <w:ilvl w:val="0"/>
          <w:numId w:val="1009"/>
        </w:numPr>
      </w:pPr>
      <w:r>
        <w:t xml:space="preserve">Tasker payout (T+X days)</w:t>
      </w:r>
    </w:p>
    <w:bookmarkEnd w:id="39"/>
    <w:bookmarkStart w:id="40" w:name="edge-cases"/>
    <w:p>
      <w:pPr>
        <w:pStyle w:val="Heading3"/>
      </w:pPr>
      <w:r>
        <w:t xml:space="preserve">Edge Cases</w:t>
      </w:r>
    </w:p>
    <w:p>
      <w:pPr>
        <w:pStyle w:val="Compact"/>
        <w:numPr>
          <w:ilvl w:val="0"/>
          <w:numId w:val="1010"/>
        </w:numPr>
      </w:pPr>
      <w:r>
        <w:t xml:space="preserve">Disputed hours</w:t>
      </w:r>
    </w:p>
    <w:p>
      <w:pPr>
        <w:pStyle w:val="Compact"/>
        <w:numPr>
          <w:ilvl w:val="0"/>
          <w:numId w:val="1010"/>
        </w:numPr>
      </w:pPr>
      <w:r>
        <w:t xml:space="preserve">No-shows</w:t>
      </w:r>
    </w:p>
    <w:p>
      <w:pPr>
        <w:pStyle w:val="Compact"/>
        <w:numPr>
          <w:ilvl w:val="0"/>
          <w:numId w:val="1010"/>
        </w:numPr>
      </w:pPr>
      <w:r>
        <w:t xml:space="preserve">Partial completion</w:t>
      </w:r>
    </w:p>
    <w:p>
      <w:pPr>
        <w:pStyle w:val="Compact"/>
        <w:numPr>
          <w:ilvl w:val="0"/>
          <w:numId w:val="1010"/>
        </w:numPr>
      </w:pPr>
      <w:r>
        <w:t xml:space="preserve">Damage claims</w:t>
      </w:r>
    </w:p>
    <w:bookmarkEnd w:id="40"/>
    <w:bookmarkStart w:id="41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1"/>
        </w:numPr>
      </w:pPr>
      <w:r>
        <w:t xml:space="preserve">PCI DSS</w:t>
      </w:r>
    </w:p>
    <w:p>
      <w:pPr>
        <w:pStyle w:val="Compact"/>
        <w:numPr>
          <w:ilvl w:val="0"/>
          <w:numId w:val="1011"/>
        </w:numPr>
      </w:pPr>
      <w:r>
        <w:t xml:space="preserve">Tax reporting (1099 equivalents)</w:t>
      </w:r>
    </w:p>
    <w:p>
      <w:pPr>
        <w:pStyle w:val="Compact"/>
        <w:numPr>
          <w:ilvl w:val="0"/>
          <w:numId w:val="1011"/>
        </w:numPr>
      </w:pPr>
      <w:r>
        <w:t xml:space="preserve">Regional withholding rules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rust-safety-risk-management"/>
    <w:p>
      <w:pPr>
        <w:pStyle w:val="Heading2"/>
      </w:pPr>
      <w:r>
        <w:t xml:space="preserve">9. Trust, Safety &amp; Risk Management</w:t>
      </w:r>
    </w:p>
    <w:bookmarkStart w:id="43" w:name="safety-systems"/>
    <w:p>
      <w:pPr>
        <w:pStyle w:val="Heading3"/>
      </w:pPr>
      <w:r>
        <w:t xml:space="preserve">Safety Systems</w:t>
      </w:r>
    </w:p>
    <w:p>
      <w:pPr>
        <w:pStyle w:val="Compact"/>
        <w:numPr>
          <w:ilvl w:val="0"/>
          <w:numId w:val="1012"/>
        </w:numPr>
      </w:pPr>
      <w:r>
        <w:t xml:space="preserve">Identity verification</w:t>
      </w:r>
    </w:p>
    <w:p>
      <w:pPr>
        <w:pStyle w:val="Compact"/>
        <w:numPr>
          <w:ilvl w:val="0"/>
          <w:numId w:val="1012"/>
        </w:numPr>
      </w:pPr>
      <w:r>
        <w:t xml:space="preserve">Criminal background checks</w:t>
      </w:r>
    </w:p>
    <w:p>
      <w:pPr>
        <w:pStyle w:val="Compact"/>
        <w:numPr>
          <w:ilvl w:val="0"/>
          <w:numId w:val="1012"/>
        </w:numPr>
      </w:pPr>
      <w:r>
        <w:t xml:space="preserve">Periodic re-checks</w:t>
      </w:r>
    </w:p>
    <w:bookmarkEnd w:id="43"/>
    <w:bookmarkStart w:id="44" w:name="insurance"/>
    <w:p>
      <w:pPr>
        <w:pStyle w:val="Heading3"/>
      </w:pPr>
      <w:r>
        <w:t xml:space="preserve">Insurance</w:t>
      </w:r>
    </w:p>
    <w:p>
      <w:pPr>
        <w:pStyle w:val="Compact"/>
        <w:numPr>
          <w:ilvl w:val="0"/>
          <w:numId w:val="1013"/>
        </w:numPr>
      </w:pPr>
      <w:r>
        <w:t xml:space="preserve">Tasker liability insurance</w:t>
      </w:r>
    </w:p>
    <w:p>
      <w:pPr>
        <w:pStyle w:val="Compact"/>
        <w:numPr>
          <w:ilvl w:val="0"/>
          <w:numId w:val="1013"/>
        </w:numPr>
      </w:pPr>
      <w:r>
        <w:t xml:space="preserve">Property damage coverage</w:t>
      </w:r>
    </w:p>
    <w:p>
      <w:pPr>
        <w:pStyle w:val="Compact"/>
        <w:numPr>
          <w:ilvl w:val="0"/>
          <w:numId w:val="1013"/>
        </w:numPr>
      </w:pPr>
      <w:r>
        <w:t xml:space="preserve">Clearly defined exclusions</w:t>
      </w:r>
    </w:p>
    <w:bookmarkEnd w:id="44"/>
    <w:bookmarkStart w:id="45" w:name="fraud-detection"/>
    <w:p>
      <w:pPr>
        <w:pStyle w:val="Heading3"/>
      </w:pPr>
      <w:r>
        <w:t xml:space="preserve">Fraud Detection</w:t>
      </w:r>
    </w:p>
    <w:p>
      <w:pPr>
        <w:pStyle w:val="Compact"/>
        <w:numPr>
          <w:ilvl w:val="0"/>
          <w:numId w:val="1014"/>
        </w:numPr>
      </w:pPr>
      <w:r>
        <w:t xml:space="preserve">Off-platform payment detection</w:t>
      </w:r>
    </w:p>
    <w:p>
      <w:pPr>
        <w:pStyle w:val="Compact"/>
        <w:numPr>
          <w:ilvl w:val="0"/>
          <w:numId w:val="1014"/>
        </w:numPr>
      </w:pPr>
      <w:r>
        <w:t xml:space="preserve">Review manipulation</w:t>
      </w:r>
    </w:p>
    <w:p>
      <w:pPr>
        <w:pStyle w:val="Compact"/>
        <w:numPr>
          <w:ilvl w:val="0"/>
          <w:numId w:val="1014"/>
        </w:numPr>
      </w:pPr>
      <w:r>
        <w:t xml:space="preserve">Multi-account abuse</w:t>
      </w:r>
    </w:p>
    <w:p>
      <w:pPr>
        <w:pStyle w:val="Compact"/>
        <w:numPr>
          <w:ilvl w:val="0"/>
          <w:numId w:val="1014"/>
        </w:numPr>
      </w:pPr>
      <w:r>
        <w:t xml:space="preserve">GPS and location mismatch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eputation-review-system"/>
    <w:p>
      <w:pPr>
        <w:pStyle w:val="Heading2"/>
      </w:pPr>
      <w:r>
        <w:t xml:space="preserve">10. Reputation &amp; Review System</w:t>
      </w:r>
    </w:p>
    <w:bookmarkStart w:id="47" w:name="review-model"/>
    <w:p>
      <w:pPr>
        <w:pStyle w:val="Heading3"/>
      </w:pPr>
      <w:r>
        <w:t xml:space="preserve">Review Model</w:t>
      </w:r>
    </w:p>
    <w:p>
      <w:pPr>
        <w:pStyle w:val="Compact"/>
        <w:numPr>
          <w:ilvl w:val="0"/>
          <w:numId w:val="1015"/>
        </w:numPr>
      </w:pPr>
      <w:r>
        <w:t xml:space="preserve">5-star rating</w:t>
      </w:r>
    </w:p>
    <w:p>
      <w:pPr>
        <w:pStyle w:val="Compact"/>
        <w:numPr>
          <w:ilvl w:val="0"/>
          <w:numId w:val="1015"/>
        </w:numPr>
      </w:pPr>
      <w:r>
        <w:t xml:space="preserve">Task-specific tags</w:t>
      </w:r>
    </w:p>
    <w:p>
      <w:pPr>
        <w:pStyle w:val="Compact"/>
        <w:numPr>
          <w:ilvl w:val="0"/>
          <w:numId w:val="1015"/>
        </w:numPr>
      </w:pPr>
      <w:r>
        <w:t xml:space="preserve">Free-text feedback</w:t>
      </w:r>
    </w:p>
    <w:p>
      <w:pPr>
        <w:pStyle w:val="Compact"/>
        <w:numPr>
          <w:ilvl w:val="0"/>
          <w:numId w:val="1015"/>
        </w:numPr>
      </w:pPr>
      <w:r>
        <w:t xml:space="preserve">Private feedback channel</w:t>
      </w:r>
    </w:p>
    <w:bookmarkEnd w:id="47"/>
    <w:bookmarkStart w:id="48" w:name="reputation-weighting"/>
    <w:p>
      <w:pPr>
        <w:pStyle w:val="Heading3"/>
      </w:pPr>
      <w:r>
        <w:t xml:space="preserve">Reputation Weighting</w:t>
      </w:r>
    </w:p>
    <w:p>
      <w:pPr>
        <w:pStyle w:val="Compact"/>
        <w:numPr>
          <w:ilvl w:val="0"/>
          <w:numId w:val="1016"/>
        </w:numPr>
      </w:pPr>
      <w:r>
        <w:t xml:space="preserve">Recent tasks weighted higher</w:t>
      </w:r>
    </w:p>
    <w:p>
      <w:pPr>
        <w:pStyle w:val="Compact"/>
        <w:numPr>
          <w:ilvl w:val="0"/>
          <w:numId w:val="1016"/>
        </w:numPr>
      </w:pPr>
      <w:r>
        <w:t xml:space="preserve">Task complexity adjusted</w:t>
      </w:r>
    </w:p>
    <w:p>
      <w:pPr>
        <w:pStyle w:val="Compact"/>
        <w:numPr>
          <w:ilvl w:val="0"/>
          <w:numId w:val="1016"/>
        </w:numPr>
      </w:pPr>
      <w:r>
        <w:t xml:space="preserve">Outlier suppression</w:t>
      </w:r>
    </w:p>
    <w:bookmarkEnd w:id="48"/>
    <w:bookmarkStart w:id="49" w:name="enforcement-actions"/>
    <w:p>
      <w:pPr>
        <w:pStyle w:val="Heading3"/>
      </w:pPr>
      <w:r>
        <w:t xml:space="preserve">Enforcement Actions</w:t>
      </w:r>
    </w:p>
    <w:p>
      <w:pPr>
        <w:pStyle w:val="Compact"/>
        <w:numPr>
          <w:ilvl w:val="0"/>
          <w:numId w:val="1017"/>
        </w:numPr>
      </w:pPr>
      <w:r>
        <w:t xml:space="preserve">De-ranking</w:t>
      </w:r>
    </w:p>
    <w:p>
      <w:pPr>
        <w:pStyle w:val="Compact"/>
        <w:numPr>
          <w:ilvl w:val="0"/>
          <w:numId w:val="1017"/>
        </w:numPr>
      </w:pPr>
      <w:r>
        <w:t xml:space="preserve">Category suspension</w:t>
      </w:r>
    </w:p>
    <w:p>
      <w:pPr>
        <w:pStyle w:val="Compact"/>
        <w:numPr>
          <w:ilvl w:val="0"/>
          <w:numId w:val="1017"/>
        </w:numPr>
      </w:pPr>
      <w:r>
        <w:t xml:space="preserve">Account termination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latform-architecture"/>
    <w:p>
      <w:pPr>
        <w:pStyle w:val="Heading2"/>
      </w:pPr>
      <w:r>
        <w:t xml:space="preserve">11. Platform Architecture</w:t>
      </w:r>
    </w:p>
    <w:bookmarkStart w:id="51" w:name="client-platforms"/>
    <w:p>
      <w:pPr>
        <w:pStyle w:val="Heading3"/>
      </w:pPr>
      <w:r>
        <w:t xml:space="preserve">Client Platforms</w:t>
      </w:r>
    </w:p>
    <w:p>
      <w:pPr>
        <w:pStyle w:val="Compact"/>
        <w:numPr>
          <w:ilvl w:val="0"/>
          <w:numId w:val="1018"/>
        </w:numPr>
      </w:pPr>
      <w:r>
        <w:t xml:space="preserve">iOS</w:t>
      </w:r>
    </w:p>
    <w:p>
      <w:pPr>
        <w:pStyle w:val="Compact"/>
        <w:numPr>
          <w:ilvl w:val="0"/>
          <w:numId w:val="1018"/>
        </w:numPr>
      </w:pPr>
      <w:r>
        <w:t xml:space="preserve">Android</w:t>
      </w:r>
    </w:p>
    <w:p>
      <w:pPr>
        <w:pStyle w:val="Compact"/>
        <w:numPr>
          <w:ilvl w:val="0"/>
          <w:numId w:val="1018"/>
        </w:numPr>
      </w:pPr>
      <w:r>
        <w:t xml:space="preserve">Web</w:t>
      </w:r>
    </w:p>
    <w:bookmarkEnd w:id="51"/>
    <w:bookmarkStart w:id="52" w:name="core-backend-services"/>
    <w:p>
      <w:pPr>
        <w:pStyle w:val="Heading3"/>
      </w:pPr>
      <w:r>
        <w:t xml:space="preserve">Core Backend Services</w:t>
      </w:r>
    </w:p>
    <w:p>
      <w:pPr>
        <w:pStyle w:val="Compact"/>
        <w:numPr>
          <w:ilvl w:val="0"/>
          <w:numId w:val="1019"/>
        </w:numPr>
      </w:pPr>
      <w:r>
        <w:t xml:space="preserve">Authentication &amp; Identity</w:t>
      </w:r>
    </w:p>
    <w:p>
      <w:pPr>
        <w:pStyle w:val="Compact"/>
        <w:numPr>
          <w:ilvl w:val="0"/>
          <w:numId w:val="1019"/>
        </w:numPr>
      </w:pPr>
      <w:r>
        <w:t xml:space="preserve">Task Orchestration</w:t>
      </w:r>
    </w:p>
    <w:p>
      <w:pPr>
        <w:pStyle w:val="Compact"/>
        <w:numPr>
          <w:ilvl w:val="0"/>
          <w:numId w:val="1019"/>
        </w:numPr>
      </w:pPr>
      <w:r>
        <w:t xml:space="preserve">Matching Engine</w:t>
      </w:r>
    </w:p>
    <w:p>
      <w:pPr>
        <w:pStyle w:val="Compact"/>
        <w:numPr>
          <w:ilvl w:val="0"/>
          <w:numId w:val="1019"/>
        </w:numPr>
      </w:pPr>
      <w:r>
        <w:t xml:space="preserve">Pricing Engine</w:t>
      </w:r>
    </w:p>
    <w:p>
      <w:pPr>
        <w:pStyle w:val="Compact"/>
        <w:numPr>
          <w:ilvl w:val="0"/>
          <w:numId w:val="1019"/>
        </w:numPr>
      </w:pPr>
      <w:r>
        <w:t xml:space="preserve">Messaging Service</w:t>
      </w:r>
    </w:p>
    <w:p>
      <w:pPr>
        <w:pStyle w:val="Compact"/>
        <w:numPr>
          <w:ilvl w:val="0"/>
          <w:numId w:val="1019"/>
        </w:numPr>
      </w:pPr>
      <w:r>
        <w:t xml:space="preserve">Payment Ledger</w:t>
      </w:r>
    </w:p>
    <w:p>
      <w:pPr>
        <w:pStyle w:val="Compact"/>
        <w:numPr>
          <w:ilvl w:val="0"/>
          <w:numId w:val="1019"/>
        </w:numPr>
      </w:pPr>
      <w:r>
        <w:t xml:space="preserve">Reviews &amp; Reputation</w:t>
      </w:r>
    </w:p>
    <w:p>
      <w:pPr>
        <w:pStyle w:val="Compact"/>
        <w:numPr>
          <w:ilvl w:val="0"/>
          <w:numId w:val="1019"/>
        </w:numPr>
      </w:pPr>
      <w:r>
        <w:t xml:space="preserve">Trust &amp; Safety</w:t>
      </w:r>
    </w:p>
    <w:p>
      <w:pPr>
        <w:pStyle w:val="Compact"/>
        <w:numPr>
          <w:ilvl w:val="0"/>
          <w:numId w:val="1019"/>
        </w:numPr>
      </w:pPr>
      <w:r>
        <w:t xml:space="preserve">Analytics</w:t>
      </w:r>
    </w:p>
    <w:bookmarkEnd w:id="52"/>
    <w:bookmarkStart w:id="53" w:name="data-infrastructure"/>
    <w:p>
      <w:pPr>
        <w:pStyle w:val="Heading3"/>
      </w:pPr>
      <w:r>
        <w:t xml:space="preserve">Data Infrastructure</w:t>
      </w:r>
    </w:p>
    <w:p>
      <w:pPr>
        <w:pStyle w:val="Compact"/>
        <w:numPr>
          <w:ilvl w:val="0"/>
          <w:numId w:val="1020"/>
        </w:numPr>
      </w:pPr>
      <w:r>
        <w:t xml:space="preserve">OLTP databases for core entities</w:t>
      </w:r>
    </w:p>
    <w:p>
      <w:pPr>
        <w:pStyle w:val="Compact"/>
        <w:numPr>
          <w:ilvl w:val="0"/>
          <w:numId w:val="1020"/>
        </w:numPr>
      </w:pPr>
      <w:r>
        <w:t xml:space="preserve">OLAP systems for reporting</w:t>
      </w:r>
    </w:p>
    <w:p>
      <w:pPr>
        <w:pStyle w:val="Compact"/>
        <w:numPr>
          <w:ilvl w:val="0"/>
          <w:numId w:val="1020"/>
        </w:numPr>
      </w:pPr>
      <w:r>
        <w:t xml:space="preserve">Event streaming for lifecycle tracking</w:t>
      </w:r>
    </w:p>
    <w:p>
      <w:pPr>
        <w:pStyle w:val="Compact"/>
        <w:numPr>
          <w:ilvl w:val="0"/>
          <w:numId w:val="1020"/>
        </w:numPr>
      </w:pPr>
      <w:r>
        <w:t xml:space="preserve">Feature stores for ML models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pi-surface-illustrative"/>
    <w:p>
      <w:pPr>
        <w:pStyle w:val="Heading2"/>
      </w:pPr>
      <w:r>
        <w:t xml:space="preserve">12. API Surface (Illustrative)</w:t>
      </w:r>
    </w:p>
    <w:bookmarkStart w:id="55" w:name="partner-apis"/>
    <w:p>
      <w:pPr>
        <w:pStyle w:val="Heading3"/>
      </w:pPr>
      <w:r>
        <w:t xml:space="preserve">Partner APIs</w:t>
      </w:r>
    </w:p>
    <w:p>
      <w:pPr>
        <w:pStyle w:val="Compact"/>
        <w:numPr>
          <w:ilvl w:val="0"/>
          <w:numId w:val="1021"/>
        </w:numPr>
      </w:pPr>
      <w:r>
        <w:t xml:space="preserve">Create task (single or bulk)</w:t>
      </w:r>
    </w:p>
    <w:p>
      <w:pPr>
        <w:pStyle w:val="Compact"/>
        <w:numPr>
          <w:ilvl w:val="0"/>
          <w:numId w:val="1021"/>
        </w:numPr>
      </w:pPr>
      <w:r>
        <w:t xml:space="preserve">Pricing estimates</w:t>
      </w:r>
    </w:p>
    <w:p>
      <w:pPr>
        <w:pStyle w:val="Compact"/>
        <w:numPr>
          <w:ilvl w:val="0"/>
          <w:numId w:val="1021"/>
        </w:numPr>
      </w:pPr>
      <w:r>
        <w:t xml:space="preserve">Availability lookup</w:t>
      </w:r>
    </w:p>
    <w:p>
      <w:pPr>
        <w:pStyle w:val="Compact"/>
        <w:numPr>
          <w:ilvl w:val="0"/>
          <w:numId w:val="1021"/>
        </w:numPr>
      </w:pPr>
      <w:r>
        <w:t xml:space="preserve">Task status webhooks</w:t>
      </w:r>
    </w:p>
    <w:bookmarkEnd w:id="55"/>
    <w:bookmarkStart w:id="56" w:name="internal-apis"/>
    <w:p>
      <w:pPr>
        <w:pStyle w:val="Heading3"/>
      </w:pPr>
      <w:r>
        <w:t xml:space="preserve">Internal APIs</w:t>
      </w:r>
    </w:p>
    <w:p>
      <w:pPr>
        <w:pStyle w:val="Compact"/>
        <w:numPr>
          <w:ilvl w:val="0"/>
          <w:numId w:val="1022"/>
        </w:numPr>
      </w:pPr>
      <w:r>
        <w:t xml:space="preserve">MatchCandidates</w:t>
      </w:r>
    </w:p>
    <w:p>
      <w:pPr>
        <w:pStyle w:val="Compact"/>
        <w:numPr>
          <w:ilvl w:val="0"/>
          <w:numId w:val="1022"/>
        </w:numPr>
      </w:pPr>
      <w:r>
        <w:t xml:space="preserve">ScoreTasker</w:t>
      </w:r>
    </w:p>
    <w:p>
      <w:pPr>
        <w:pStyle w:val="Compact"/>
        <w:numPr>
          <w:ilvl w:val="0"/>
          <w:numId w:val="1022"/>
        </w:numPr>
      </w:pPr>
      <w:r>
        <w:t xml:space="preserve">ReleasePayment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observability-operations"/>
    <w:p>
      <w:pPr>
        <w:pStyle w:val="Heading2"/>
      </w:pPr>
      <w:r>
        <w:t xml:space="preserve">13. Observability &amp; Operations</w:t>
      </w:r>
    </w:p>
    <w:bookmarkStart w:id="58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23"/>
        </w:numPr>
      </w:pPr>
      <w:r>
        <w:t xml:space="preserve">Task fill rate</w:t>
      </w:r>
    </w:p>
    <w:p>
      <w:pPr>
        <w:pStyle w:val="Compact"/>
        <w:numPr>
          <w:ilvl w:val="0"/>
          <w:numId w:val="1023"/>
        </w:numPr>
      </w:pPr>
      <w:r>
        <w:t xml:space="preserve">Time-to-accept</w:t>
      </w:r>
    </w:p>
    <w:p>
      <w:pPr>
        <w:pStyle w:val="Compact"/>
        <w:numPr>
          <w:ilvl w:val="0"/>
          <w:numId w:val="1023"/>
        </w:numPr>
      </w:pPr>
      <w:r>
        <w:t xml:space="preserve">Payment success rate</w:t>
      </w:r>
    </w:p>
    <w:p>
      <w:pPr>
        <w:pStyle w:val="Compact"/>
        <w:numPr>
          <w:ilvl w:val="0"/>
          <w:numId w:val="1023"/>
        </w:numPr>
      </w:pPr>
      <w:r>
        <w:t xml:space="preserve">Messaging latency</w:t>
      </w:r>
    </w:p>
    <w:bookmarkEnd w:id="58"/>
    <w:bookmarkStart w:id="59" w:name="incident-playbooks"/>
    <w:p>
      <w:pPr>
        <w:pStyle w:val="Heading3"/>
      </w:pPr>
      <w:r>
        <w:t xml:space="preserve">Incident Playbooks</w:t>
      </w:r>
    </w:p>
    <w:p>
      <w:pPr>
        <w:pStyle w:val="Compact"/>
        <w:numPr>
          <w:ilvl w:val="0"/>
          <w:numId w:val="1024"/>
        </w:numPr>
      </w:pPr>
      <w:r>
        <w:t xml:space="preserve">Payment outages</w:t>
      </w:r>
    </w:p>
    <w:p>
      <w:pPr>
        <w:pStyle w:val="Compact"/>
        <w:numPr>
          <w:ilvl w:val="0"/>
          <w:numId w:val="1024"/>
        </w:numPr>
      </w:pPr>
      <w:r>
        <w:t xml:space="preserve">Matching degradation</w:t>
      </w:r>
    </w:p>
    <w:p>
      <w:pPr>
        <w:pStyle w:val="Compact"/>
        <w:numPr>
          <w:ilvl w:val="0"/>
          <w:numId w:val="1024"/>
        </w:numPr>
      </w:pPr>
      <w:r>
        <w:t xml:space="preserve">Safety escalations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business-model-overview"/>
    <w:p>
      <w:pPr>
        <w:pStyle w:val="Heading2"/>
      </w:pPr>
      <w:r>
        <w:t xml:space="preserve">14. Business Model Overview</w:t>
      </w:r>
    </w:p>
    <w:bookmarkStart w:id="61" w:name="business-type"/>
    <w:p>
      <w:pPr>
        <w:pStyle w:val="Heading3"/>
      </w:pPr>
      <w:r>
        <w:t xml:space="preserve">Business Type</w:t>
      </w:r>
    </w:p>
    <w:p>
      <w:pPr>
        <w:pStyle w:val="FirstParagraph"/>
      </w:pPr>
      <w:r>
        <w:t xml:space="preserve">Two-sided on-demand services marketplace</w:t>
      </w:r>
    </w:p>
    <w:bookmarkEnd w:id="61"/>
    <w:bookmarkStart w:id="62" w:name="value-exchange"/>
    <w:p>
      <w:pPr>
        <w:pStyle w:val="Heading3"/>
      </w:pPr>
      <w:r>
        <w:t xml:space="preserve">Value Exchange</w:t>
      </w:r>
    </w:p>
    <w:p>
      <w:pPr>
        <w:pStyle w:val="Compact"/>
        <w:numPr>
          <w:ilvl w:val="0"/>
          <w:numId w:val="1025"/>
        </w:numPr>
      </w:pPr>
      <w:r>
        <w:t xml:space="preserve">Clients pay for convenience and trust</w:t>
      </w:r>
    </w:p>
    <w:p>
      <w:pPr>
        <w:pStyle w:val="Compact"/>
        <w:numPr>
          <w:ilvl w:val="0"/>
          <w:numId w:val="1025"/>
        </w:numPr>
      </w:pPr>
      <w:r>
        <w:t xml:space="preserve">Taskers earn flexible income</w:t>
      </w:r>
    </w:p>
    <w:p>
      <w:pPr>
        <w:pStyle w:val="Compact"/>
        <w:numPr>
          <w:ilvl w:val="0"/>
          <w:numId w:val="1025"/>
        </w:numPr>
      </w:pPr>
      <w:r>
        <w:t xml:space="preserve">Platform monetizes transactions and partnerships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revenue-streams"/>
    <w:p>
      <w:pPr>
        <w:pStyle w:val="Heading2"/>
      </w:pPr>
      <w:r>
        <w:t xml:space="preserve">15. Revenue Streams</w:t>
      </w:r>
    </w:p>
    <w:bookmarkStart w:id="64" w:name="core-marketplace-revenue"/>
    <w:p>
      <w:pPr>
        <w:pStyle w:val="Heading3"/>
      </w:pPr>
      <w:r>
        <w:t xml:space="preserve">Core Marketplace Revenue</w:t>
      </w:r>
    </w:p>
    <w:p>
      <w:pPr>
        <w:pStyle w:val="Compact"/>
        <w:numPr>
          <w:ilvl w:val="0"/>
          <w:numId w:val="1026"/>
        </w:numPr>
      </w:pPr>
      <w:r>
        <w:t xml:space="preserve">Client-paid service fee (typically 15–30% of GMV)</w:t>
      </w:r>
    </w:p>
    <w:bookmarkEnd w:id="64"/>
    <w:bookmarkStart w:id="65" w:name="partner-enterprise-revenue"/>
    <w:p>
      <w:pPr>
        <w:pStyle w:val="Heading3"/>
      </w:pPr>
      <w:r>
        <w:t xml:space="preserve">Partner &amp; Enterprise Revenue</w:t>
      </w:r>
    </w:p>
    <w:p>
      <w:pPr>
        <w:pStyle w:val="Compact"/>
        <w:numPr>
          <w:ilvl w:val="0"/>
          <w:numId w:val="1027"/>
        </w:numPr>
      </w:pPr>
      <w:r>
        <w:t xml:space="preserve">Retail integrations</w:t>
      </w:r>
    </w:p>
    <w:p>
      <w:pPr>
        <w:pStyle w:val="Compact"/>
        <w:numPr>
          <w:ilvl w:val="0"/>
          <w:numId w:val="1027"/>
        </w:numPr>
      </w:pPr>
      <w:r>
        <w:t xml:space="preserve">Property management contracts</w:t>
      </w:r>
    </w:p>
    <w:p>
      <w:pPr>
        <w:pStyle w:val="Compact"/>
        <w:numPr>
          <w:ilvl w:val="0"/>
          <w:numId w:val="1027"/>
        </w:numPr>
      </w:pPr>
      <w:r>
        <w:t xml:space="preserve">White-labeled booking</w:t>
      </w:r>
    </w:p>
    <w:bookmarkEnd w:id="65"/>
    <w:bookmarkStart w:id="66" w:name="ancillary-revenue"/>
    <w:p>
      <w:pPr>
        <w:pStyle w:val="Heading3"/>
      </w:pPr>
      <w:r>
        <w:t xml:space="preserve">Ancillary Revenue</w:t>
      </w:r>
    </w:p>
    <w:p>
      <w:pPr>
        <w:pStyle w:val="Compact"/>
        <w:numPr>
          <w:ilvl w:val="0"/>
          <w:numId w:val="1028"/>
        </w:numPr>
      </w:pPr>
      <w:r>
        <w:t xml:space="preserve">Featured Tasker placements</w:t>
      </w:r>
    </w:p>
    <w:p>
      <w:pPr>
        <w:pStyle w:val="Compact"/>
        <w:numPr>
          <w:ilvl w:val="0"/>
          <w:numId w:val="1028"/>
        </w:numPr>
      </w:pPr>
      <w:r>
        <w:t xml:space="preserve">Subscriptions (future)</w:t>
      </w:r>
    </w:p>
    <w:p>
      <w:pPr>
        <w:pStyle w:val="Compact"/>
        <w:numPr>
          <w:ilvl w:val="0"/>
          <w:numId w:val="1028"/>
        </w:numPr>
      </w:pPr>
      <w:r>
        <w:t xml:space="preserve">Insurance upsells</w:t>
      </w:r>
    </w:p>
    <w:p>
      <w:pPr>
        <w:pStyle w:val="Compact"/>
        <w:numPr>
          <w:ilvl w:val="0"/>
          <w:numId w:val="1028"/>
        </w:numPr>
      </w:pPr>
      <w:r>
        <w:t xml:space="preserve">Training and certification programs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ost-structure"/>
    <w:p>
      <w:pPr>
        <w:pStyle w:val="Heading2"/>
      </w:pPr>
      <w:r>
        <w:t xml:space="preserve">16. Cost Structure</w:t>
      </w:r>
    </w:p>
    <w:bookmarkStart w:id="68" w:name="variable-costs"/>
    <w:p>
      <w:pPr>
        <w:pStyle w:val="Heading3"/>
      </w:pPr>
      <w:r>
        <w:t xml:space="preserve">Variable Costs</w:t>
      </w:r>
    </w:p>
    <w:p>
      <w:pPr>
        <w:pStyle w:val="Compact"/>
        <w:numPr>
          <w:ilvl w:val="0"/>
          <w:numId w:val="1029"/>
        </w:numPr>
      </w:pPr>
      <w:r>
        <w:t xml:space="preserve">Payment processing</w:t>
      </w:r>
    </w:p>
    <w:p>
      <w:pPr>
        <w:pStyle w:val="Compact"/>
        <w:numPr>
          <w:ilvl w:val="0"/>
          <w:numId w:val="1029"/>
        </w:numPr>
      </w:pPr>
      <w:r>
        <w:t xml:space="preserve">Insurance</w:t>
      </w:r>
    </w:p>
    <w:p>
      <w:pPr>
        <w:pStyle w:val="Compact"/>
        <w:numPr>
          <w:ilvl w:val="0"/>
          <w:numId w:val="1029"/>
        </w:numPr>
      </w:pPr>
      <w:r>
        <w:t xml:space="preserve">Background checks</w:t>
      </w:r>
    </w:p>
    <w:p>
      <w:pPr>
        <w:pStyle w:val="Compact"/>
        <w:numPr>
          <w:ilvl w:val="0"/>
          <w:numId w:val="1029"/>
        </w:numPr>
      </w:pPr>
      <w:r>
        <w:t xml:space="preserve">Customer support</w:t>
      </w:r>
    </w:p>
    <w:p>
      <w:pPr>
        <w:pStyle w:val="Compact"/>
        <w:numPr>
          <w:ilvl w:val="0"/>
          <w:numId w:val="1029"/>
        </w:numPr>
      </w:pPr>
      <w:r>
        <w:t xml:space="preserve">Fraud operations</w:t>
      </w:r>
    </w:p>
    <w:bookmarkEnd w:id="68"/>
    <w:bookmarkStart w:id="69" w:name="fixed-costs"/>
    <w:p>
      <w:pPr>
        <w:pStyle w:val="Heading3"/>
      </w:pPr>
      <w:r>
        <w:t xml:space="preserve">Fixed Costs</w:t>
      </w:r>
    </w:p>
    <w:p>
      <w:pPr>
        <w:pStyle w:val="Compact"/>
        <w:numPr>
          <w:ilvl w:val="0"/>
          <w:numId w:val="1030"/>
        </w:numPr>
      </w:pPr>
      <w:r>
        <w:t xml:space="preserve">Engineering and product</w:t>
      </w:r>
    </w:p>
    <w:p>
      <w:pPr>
        <w:pStyle w:val="Compact"/>
        <w:numPr>
          <w:ilvl w:val="0"/>
          <w:numId w:val="1030"/>
        </w:numPr>
      </w:pPr>
      <w:r>
        <w:t xml:space="preserve">Trust and safety operations</w:t>
      </w:r>
    </w:p>
    <w:p>
      <w:pPr>
        <w:pStyle w:val="Compact"/>
        <w:numPr>
          <w:ilvl w:val="0"/>
          <w:numId w:val="1030"/>
        </w:numPr>
      </w:pPr>
      <w:r>
        <w:t xml:space="preserve">Legal and compliance</w:t>
      </w:r>
    </w:p>
    <w:p>
      <w:pPr>
        <w:pStyle w:val="Compact"/>
        <w:numPr>
          <w:ilvl w:val="0"/>
          <w:numId w:val="1030"/>
        </w:numPr>
      </w:pPr>
      <w:r>
        <w:t xml:space="preserve">Sales and partnerships</w:t>
      </w:r>
    </w:p>
    <w:p>
      <w:pPr>
        <w:pStyle w:val="Compact"/>
        <w:numPr>
          <w:ilvl w:val="0"/>
          <w:numId w:val="1030"/>
        </w:numPr>
      </w:pPr>
      <w:r>
        <w:t xml:space="preserve">General and administrative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unit-economics-illustrative"/>
    <w:p>
      <w:pPr>
        <w:pStyle w:val="Heading2"/>
      </w:pPr>
      <w:r>
        <w:t xml:space="preserve">17. Unit Economics (Illustrative)</w:t>
      </w:r>
    </w:p>
    <w:p>
      <w:pPr>
        <w:pStyle w:val="Compact"/>
        <w:numPr>
          <w:ilvl w:val="0"/>
          <w:numId w:val="1031"/>
        </w:numPr>
      </w:pPr>
      <w:r>
        <w:t xml:space="preserve">Average task price: $120</w:t>
      </w:r>
    </w:p>
    <w:p>
      <w:pPr>
        <w:pStyle w:val="Compact"/>
        <w:numPr>
          <w:ilvl w:val="0"/>
          <w:numId w:val="1031"/>
        </w:numPr>
      </w:pPr>
      <w:r>
        <w:t xml:space="preserve">Take rate: 22%</w:t>
      </w:r>
    </w:p>
    <w:p>
      <w:pPr>
        <w:pStyle w:val="Compact"/>
        <w:numPr>
          <w:ilvl w:val="0"/>
          <w:numId w:val="1031"/>
        </w:numPr>
      </w:pPr>
      <w:r>
        <w:t xml:space="preserve">Revenue per task: $26.40</w:t>
      </w:r>
    </w:p>
    <w:p>
      <w:pPr>
        <w:pStyle w:val="Compact"/>
        <w:numPr>
          <w:ilvl w:val="0"/>
          <w:numId w:val="1031"/>
        </w:numPr>
      </w:pPr>
      <w:r>
        <w:t xml:space="preserve">Variable cost per task: $8–10</w:t>
      </w:r>
    </w:p>
    <w:p>
      <w:pPr>
        <w:pStyle w:val="FirstParagraph"/>
      </w:pPr>
      <w:r>
        <w:rPr>
          <w:b/>
          <w:bCs/>
        </w:rPr>
        <w:t xml:space="preserve">Contribution margin:</w:t>
      </w:r>
      <w:r>
        <w:t xml:space="preserve"> </w:t>
      </w:r>
      <w:r>
        <w:t xml:space="preserve">approximately $17 per task</w:t>
      </w:r>
    </w:p>
    <w:p>
      <w:r>
        <w:pict>
          <v:rect style="width:0;height:1.5pt" o:hralign="center" o:hrstd="t" o:hr="t"/>
        </w:pict>
      </w:r>
    </w:p>
    <w:bookmarkEnd w:id="71"/>
    <w:bookmarkStart w:id="75" w:name="acquisition-retention-growth"/>
    <w:p>
      <w:pPr>
        <w:pStyle w:val="Heading2"/>
      </w:pPr>
      <w:r>
        <w:t xml:space="preserve">18. Acquisition, Retention &amp; Growth</w:t>
      </w:r>
    </w:p>
    <w:bookmarkStart w:id="72" w:name="client-acquisition"/>
    <w:p>
      <w:pPr>
        <w:pStyle w:val="Heading3"/>
      </w:pPr>
      <w:r>
        <w:t xml:space="preserve">Client Acquisition</w:t>
      </w:r>
    </w:p>
    <w:p>
      <w:pPr>
        <w:pStyle w:val="Compact"/>
        <w:numPr>
          <w:ilvl w:val="0"/>
          <w:numId w:val="1032"/>
        </w:numPr>
      </w:pPr>
      <w:r>
        <w:t xml:space="preserve">High-intent search</w:t>
      </w:r>
    </w:p>
    <w:p>
      <w:pPr>
        <w:pStyle w:val="Compact"/>
        <w:numPr>
          <w:ilvl w:val="0"/>
          <w:numId w:val="1032"/>
        </w:numPr>
      </w:pPr>
      <w:r>
        <w:t xml:space="preserve">App store discovery</w:t>
      </w:r>
    </w:p>
    <w:p>
      <w:pPr>
        <w:pStyle w:val="Compact"/>
        <w:numPr>
          <w:ilvl w:val="0"/>
          <w:numId w:val="1032"/>
        </w:numPr>
      </w:pPr>
      <w:r>
        <w:t xml:space="preserve">Partner checkout embeds</w:t>
      </w:r>
    </w:p>
    <w:p>
      <w:pPr>
        <w:pStyle w:val="Compact"/>
        <w:numPr>
          <w:ilvl w:val="0"/>
          <w:numId w:val="1032"/>
        </w:numPr>
      </w:pPr>
      <w:r>
        <w:t xml:space="preserve">Referrals</w:t>
      </w:r>
    </w:p>
    <w:bookmarkEnd w:id="72"/>
    <w:bookmarkStart w:id="73" w:name="tasker-acquisition"/>
    <w:p>
      <w:pPr>
        <w:pStyle w:val="Heading3"/>
      </w:pPr>
      <w:r>
        <w:t xml:space="preserve">Tasker Acquisition</w:t>
      </w:r>
    </w:p>
    <w:p>
      <w:pPr>
        <w:pStyle w:val="Compact"/>
        <w:numPr>
          <w:ilvl w:val="0"/>
          <w:numId w:val="1033"/>
        </w:numPr>
      </w:pPr>
      <w:r>
        <w:t xml:space="preserve">Paid ads</w:t>
      </w:r>
    </w:p>
    <w:p>
      <w:pPr>
        <w:pStyle w:val="Compact"/>
        <w:numPr>
          <w:ilvl w:val="0"/>
          <w:numId w:val="1033"/>
        </w:numPr>
      </w:pPr>
      <w:r>
        <w:t xml:space="preserve">Word of mouth</w:t>
      </w:r>
    </w:p>
    <w:p>
      <w:pPr>
        <w:pStyle w:val="Compact"/>
        <w:numPr>
          <w:ilvl w:val="0"/>
          <w:numId w:val="1033"/>
        </w:numPr>
      </w:pPr>
      <w:r>
        <w:t xml:space="preserve">Early incentives</w:t>
      </w:r>
    </w:p>
    <w:bookmarkEnd w:id="73"/>
    <w:bookmarkStart w:id="74" w:name="retention-drivers"/>
    <w:p>
      <w:pPr>
        <w:pStyle w:val="Heading3"/>
      </w:pPr>
      <w:r>
        <w:t xml:space="preserve">Retention Drivers</w:t>
      </w:r>
    </w:p>
    <w:p>
      <w:pPr>
        <w:pStyle w:val="Compact"/>
        <w:numPr>
          <w:ilvl w:val="0"/>
          <w:numId w:val="1034"/>
        </w:numPr>
      </w:pPr>
      <w:r>
        <w:t xml:space="preserve">Repeat bookings</w:t>
      </w:r>
    </w:p>
    <w:p>
      <w:pPr>
        <w:pStyle w:val="Compact"/>
        <w:numPr>
          <w:ilvl w:val="0"/>
          <w:numId w:val="1034"/>
        </w:numPr>
      </w:pPr>
      <w:r>
        <w:t xml:space="preserve">Favorites and rebooking</w:t>
      </w:r>
    </w:p>
    <w:p>
      <w:pPr>
        <w:pStyle w:val="Compact"/>
        <w:numPr>
          <w:ilvl w:val="0"/>
          <w:numId w:val="1034"/>
        </w:numPr>
      </w:pPr>
      <w:r>
        <w:t xml:space="preserve">Earnings predictability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marketplace-flywheel"/>
    <w:p>
      <w:pPr>
        <w:pStyle w:val="Heading2"/>
      </w:pPr>
      <w:r>
        <w:t xml:space="preserve">19. Marketplace Flywheel</w:t>
      </w:r>
    </w:p>
    <w:p>
      <w:pPr>
        <w:pStyle w:val="FirstParagraph"/>
      </w:pPr>
      <w:r>
        <w:t xml:space="preserve">More Taskers → Better Availability → Faster Fulfillment → More Clients → Higher GMV → Higher Tasker Earnings → More Taskers</w:t>
      </w:r>
    </w:p>
    <w:p>
      <w:pPr>
        <w:pStyle w:val="BodyText"/>
      </w:pPr>
      <w:r>
        <w:t xml:space="preserve">Local density is the primary moat.</w:t>
      </w:r>
    </w:p>
    <w:p>
      <w:r>
        <w:pict>
          <v:rect style="width:0;height:1.5pt" o:hralign="center" o:hrstd="t" o:hr="t"/>
        </w:pict>
      </w:r>
    </w:p>
    <w:bookmarkEnd w:id="76"/>
    <w:bookmarkStart w:id="77" w:name="regulatory-legal-considerations"/>
    <w:p>
      <w:pPr>
        <w:pStyle w:val="Heading2"/>
      </w:pPr>
      <w:r>
        <w:t xml:space="preserve">20. Regulatory &amp; Legal Considerations</w:t>
      </w:r>
    </w:p>
    <w:p>
      <w:pPr>
        <w:pStyle w:val="Compact"/>
        <w:numPr>
          <w:ilvl w:val="0"/>
          <w:numId w:val="1035"/>
        </w:numPr>
      </w:pPr>
      <w:r>
        <w:t xml:space="preserve">Independent contractor classification</w:t>
      </w:r>
    </w:p>
    <w:p>
      <w:pPr>
        <w:pStyle w:val="Compact"/>
        <w:numPr>
          <w:ilvl w:val="0"/>
          <w:numId w:val="1035"/>
        </w:numPr>
      </w:pPr>
      <w:r>
        <w:t xml:space="preserve">Regional labor law compliance</w:t>
      </w:r>
    </w:p>
    <w:p>
      <w:pPr>
        <w:pStyle w:val="Compact"/>
        <w:numPr>
          <w:ilvl w:val="0"/>
          <w:numId w:val="1035"/>
        </w:numPr>
      </w:pPr>
      <w:r>
        <w:t xml:space="preserve">Insurance exclusions</w:t>
      </w:r>
    </w:p>
    <w:p>
      <w:pPr>
        <w:pStyle w:val="Compact"/>
        <w:numPr>
          <w:ilvl w:val="0"/>
          <w:numId w:val="1035"/>
        </w:numPr>
      </w:pPr>
      <w:r>
        <w:t xml:space="preserve">Data privacy (GDPR, CCPA)</w:t>
      </w:r>
    </w:p>
    <w:p>
      <w:r>
        <w:pict>
          <v:rect style="width:0;height:1.5pt" o:hralign="center" o:hrstd="t" o:hr="t"/>
        </w:pict>
      </w:r>
    </w:p>
    <w:bookmarkEnd w:id="77"/>
    <w:bookmarkStart w:id="78" w:name="risks-mitigations"/>
    <w:p>
      <w:pPr>
        <w:pStyle w:val="Heading2"/>
      </w:pPr>
      <w:r>
        <w:t xml:space="preserve">21. Risks &amp; Mitigations</w:t>
      </w:r>
    </w:p>
    <w:p>
      <w:pPr>
        <w:pStyle w:val="Compact"/>
        <w:numPr>
          <w:ilvl w:val="0"/>
          <w:numId w:val="1036"/>
        </w:numPr>
      </w:pPr>
      <w:r>
        <w:t xml:space="preserve">Labor reclassification risk</w:t>
      </w:r>
    </w:p>
    <w:p>
      <w:pPr>
        <w:pStyle w:val="Compact"/>
        <w:numPr>
          <w:ilvl w:val="0"/>
          <w:numId w:val="1036"/>
        </w:numPr>
      </w:pPr>
      <w:r>
        <w:t xml:space="preserve">Supply churn</w:t>
      </w:r>
    </w:p>
    <w:p>
      <w:pPr>
        <w:pStyle w:val="Compact"/>
        <w:numPr>
          <w:ilvl w:val="0"/>
          <w:numId w:val="1036"/>
        </w:numPr>
      </w:pPr>
      <w:r>
        <w:t xml:space="preserve">Quality variance</w:t>
      </w:r>
    </w:p>
    <w:p>
      <w:pPr>
        <w:pStyle w:val="Compact"/>
        <w:numPr>
          <w:ilvl w:val="0"/>
          <w:numId w:val="1036"/>
        </w:numPr>
      </w:pPr>
      <w:r>
        <w:t xml:space="preserve">Disintermediation</w:t>
      </w:r>
    </w:p>
    <w:p>
      <w:pPr>
        <w:pStyle w:val="Compact"/>
        <w:numPr>
          <w:ilvl w:val="0"/>
          <w:numId w:val="1036"/>
        </w:numPr>
      </w:pPr>
      <w:r>
        <w:t xml:space="preserve">Competition from large platforms</w:t>
      </w:r>
    </w:p>
    <w:p>
      <w:pPr>
        <w:pStyle w:val="FirstParagraph"/>
      </w:pPr>
      <w:r>
        <w:t xml:space="preserve">Mitigated through density, trust systems, and enterprise partnerships.</w:t>
      </w:r>
    </w:p>
    <w:p>
      <w:r>
        <w:pict>
          <v:rect style="width:0;height:1.5pt" o:hralign="center" o:hrstd="t" o:hr="t"/>
        </w:pict>
      </w:r>
    </w:p>
    <w:bookmarkEnd w:id="78"/>
    <w:bookmarkStart w:id="79" w:name="long-term-strategy-vision"/>
    <w:p>
      <w:pPr>
        <w:pStyle w:val="Heading2"/>
      </w:pPr>
      <w:r>
        <w:t xml:space="preserve">22. Long-Term Strategy &amp; Vision</w:t>
      </w:r>
    </w:p>
    <w:p>
      <w:pPr>
        <w:pStyle w:val="Compact"/>
        <w:numPr>
          <w:ilvl w:val="0"/>
          <w:numId w:val="1037"/>
        </w:numPr>
      </w:pPr>
      <w:r>
        <w:t xml:space="preserve">Expansion into B2B recurring labor</w:t>
      </w:r>
    </w:p>
    <w:p>
      <w:pPr>
        <w:pStyle w:val="Compact"/>
        <w:numPr>
          <w:ilvl w:val="0"/>
          <w:numId w:val="1037"/>
        </w:numPr>
      </w:pPr>
      <w:r>
        <w:t xml:space="preserve">Subscription households</w:t>
      </w:r>
    </w:p>
    <w:p>
      <w:pPr>
        <w:pStyle w:val="Compact"/>
        <w:numPr>
          <w:ilvl w:val="0"/>
          <w:numId w:val="1037"/>
        </w:numPr>
      </w:pPr>
      <w:r>
        <w:t xml:space="preserve">AI-assisted task scoping</w:t>
      </w:r>
    </w:p>
    <w:p>
      <w:pPr>
        <w:pStyle w:val="Compact"/>
        <w:numPr>
          <w:ilvl w:val="0"/>
          <w:numId w:val="1037"/>
        </w:numPr>
      </w:pPr>
      <w:r>
        <w:t xml:space="preserve">Embedded labor APIs</w:t>
      </w:r>
    </w:p>
    <w:p>
      <w:pPr>
        <w:pStyle w:val="Compact"/>
        <w:numPr>
          <w:ilvl w:val="0"/>
          <w:numId w:val="1037"/>
        </w:numPr>
      </w:pPr>
      <w:r>
        <w:t xml:space="preserve">Human + automation hybrid workflows</w:t>
      </w:r>
    </w:p>
    <w:p>
      <w:r>
        <w:pict>
          <v:rect style="width:0;height:1.5pt" o:hralign="center" o:hrstd="t" o:hr="t"/>
        </w:pict>
      </w:r>
    </w:p>
    <w:bookmarkEnd w:id="79"/>
    <w:bookmarkStart w:id="80" w:name="non-goals"/>
    <w:p>
      <w:pPr>
        <w:pStyle w:val="Heading2"/>
      </w:pPr>
      <w:r>
        <w:t xml:space="preserve">23. Non-Goals</w:t>
      </w:r>
    </w:p>
    <w:p>
      <w:pPr>
        <w:pStyle w:val="Compact"/>
        <w:numPr>
          <w:ilvl w:val="0"/>
          <w:numId w:val="1038"/>
        </w:numPr>
      </w:pPr>
      <w:r>
        <w:t xml:space="preserve">Full-time employment</w:t>
      </w:r>
    </w:p>
    <w:p>
      <w:pPr>
        <w:pStyle w:val="Compact"/>
        <w:numPr>
          <w:ilvl w:val="0"/>
          <w:numId w:val="1038"/>
        </w:numPr>
      </w:pPr>
      <w:r>
        <w:t xml:space="preserve">Licensed professional trades (in many regions)</w:t>
      </w:r>
    </w:p>
    <w:p>
      <w:pPr>
        <w:pStyle w:val="Compact"/>
        <w:numPr>
          <w:ilvl w:val="0"/>
          <w:numId w:val="1038"/>
        </w:numPr>
      </w:pPr>
      <w:r>
        <w:t xml:space="preserve">Large construction projects</w:t>
      </w:r>
    </w:p>
    <w:p>
      <w:pPr>
        <w:pStyle w:val="Compact"/>
        <w:numPr>
          <w:ilvl w:val="0"/>
          <w:numId w:val="1038"/>
        </w:numPr>
      </w:pPr>
      <w:r>
        <w:t xml:space="preserve">Long-term staffing engagements</w:t>
      </w:r>
    </w:p>
    <w:p>
      <w:r>
        <w:pict>
          <v:rect style="width:0;height:1.5pt" o:hralign="center" o:hrstd="t" o:hr="t"/>
        </w:pict>
      </w:r>
    </w:p>
    <w:bookmarkEnd w:id="80"/>
    <w:bookmarkStart w:id="81" w:name="conclusion"/>
    <w:p>
      <w:pPr>
        <w:pStyle w:val="Heading2"/>
      </w:pPr>
      <w:r>
        <w:t xml:space="preserve">24. Conclusion</w:t>
      </w:r>
    </w:p>
    <w:p>
      <w:pPr>
        <w:pStyle w:val="FirstParagraph"/>
      </w:pPr>
      <w:r>
        <w:t xml:space="preserve">TaskRabbit’s model succeeds through an asset-light structure, strong local network effects, diversified revenue streams, and deep operational playbooks. Its long-term defensibility is rooted in marketplace density, trust infrastructure, and embedded enterprise integrations.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2026-01-18T22:06:01Z</dcterms:created>
  <dcterms:modified xsi:type="dcterms:W3CDTF">2026-01-18T22:06:01Z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